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方正楷体_GBK" w:cs="Times New Roman"/>
          <w:color w:val="000000"/>
          <w:kern w:val="2"/>
          <w:sz w:val="32"/>
          <w:szCs w:val="32"/>
          <w:highlight w:val="none"/>
          <w:lang w:val="zh-CN" w:eastAsia="zh-CN" w:bidi="ar-SA"/>
        </w:rPr>
      </w:pPr>
      <w:bookmarkStart w:id="0" w:name="_GoBack"/>
      <w:r>
        <w:rPr>
          <w:rFonts w:hint="eastAsia" w:ascii="Times New Roman" w:hAnsi="Times New Roman" w:eastAsia="方正小标宋_GBK" w:cs="Times New Roman"/>
          <w:color w:val="000000"/>
          <w:spacing w:val="-10"/>
          <w:kern w:val="2"/>
          <w:sz w:val="44"/>
          <w:szCs w:val="44"/>
          <w:highlight w:val="none"/>
          <w:lang w:val="en-US" w:eastAsia="zh-CN" w:bidi="ar-SA"/>
        </w:rPr>
        <w:t>垫江县</w:t>
      </w:r>
      <w:r>
        <w:rPr>
          <w:rFonts w:hint="default" w:ascii="Times New Roman" w:hAnsi="Times New Roman" w:eastAsia="方正小标宋_GBK" w:cs="Times New Roman"/>
          <w:color w:val="000000"/>
          <w:spacing w:val="-10"/>
          <w:kern w:val="2"/>
          <w:sz w:val="44"/>
          <w:szCs w:val="44"/>
          <w:highlight w:val="none"/>
          <w:lang w:val="en-US" w:eastAsia="zh-CN" w:bidi="ar-SA"/>
        </w:rPr>
        <w:t>2023年县级预算调整报告</w:t>
      </w:r>
      <w:bookmarkEnd w:id="0"/>
    </w:p>
    <w:p>
      <w:pPr>
        <w:pStyle w:val="16"/>
        <w:widowControl/>
        <w:shd w:val="clear" w:color="auto" w:fill="FFFFFF"/>
        <w:spacing w:before="0" w:beforeAutospacing="0" w:after="0" w:afterAutospacing="0" w:line="640" w:lineRule="exact"/>
        <w:jc w:val="center"/>
        <w:rPr>
          <w:rFonts w:hint="eastAsia" w:ascii="方正仿宋_GBK" w:hAnsi="方正仿宋_GBK" w:eastAsia="方正仿宋_GBK" w:cs="方正仿宋_GBK"/>
          <w:bCs/>
          <w:color w:val="000000"/>
          <w:sz w:val="32"/>
          <w:szCs w:val="32"/>
        </w:rPr>
      </w:pPr>
      <w:r>
        <w:rPr>
          <w:rFonts w:hint="eastAsia" w:eastAsia="方正楷体_GBK"/>
          <w:spacing w:val="-12"/>
          <w:sz w:val="32"/>
          <w:szCs w:val="32"/>
        </w:rPr>
        <w:t>（</w:t>
      </w:r>
      <w:r>
        <w:rPr>
          <w:rFonts w:hint="eastAsia" w:eastAsia="方正楷体_GBK"/>
          <w:spacing w:val="-12"/>
          <w:sz w:val="32"/>
          <w:szCs w:val="32"/>
          <w:lang w:eastAsia="zh-CN"/>
        </w:rPr>
        <w:t>经</w:t>
      </w:r>
      <w:r>
        <w:rPr>
          <w:rFonts w:eastAsia="方正楷体_GBK"/>
          <w:spacing w:val="-12"/>
          <w:sz w:val="32"/>
          <w:szCs w:val="32"/>
        </w:rPr>
        <w:t>202</w:t>
      </w:r>
      <w:r>
        <w:rPr>
          <w:rFonts w:hint="eastAsia" w:eastAsia="方正楷体_GBK"/>
          <w:spacing w:val="-12"/>
          <w:sz w:val="32"/>
          <w:szCs w:val="32"/>
          <w:lang w:val="en-US" w:eastAsia="zh-CN"/>
        </w:rPr>
        <w:t>3</w:t>
      </w:r>
      <w:r>
        <w:rPr>
          <w:rFonts w:hint="eastAsia" w:eastAsia="方正楷体_GBK"/>
          <w:spacing w:val="-12"/>
          <w:sz w:val="32"/>
          <w:szCs w:val="32"/>
        </w:rPr>
        <w:t>年</w:t>
      </w:r>
      <w:r>
        <w:rPr>
          <w:rFonts w:hint="eastAsia" w:eastAsia="方正楷体_GBK"/>
          <w:spacing w:val="-12"/>
          <w:sz w:val="32"/>
          <w:szCs w:val="32"/>
          <w:lang w:val="en-US" w:eastAsia="zh-CN"/>
        </w:rPr>
        <w:t>6</w:t>
      </w:r>
      <w:r>
        <w:rPr>
          <w:rFonts w:hint="eastAsia" w:eastAsia="方正楷体_GBK"/>
          <w:spacing w:val="-12"/>
          <w:sz w:val="32"/>
          <w:szCs w:val="32"/>
        </w:rPr>
        <w:t>月</w:t>
      </w:r>
      <w:r>
        <w:rPr>
          <w:rFonts w:hint="eastAsia" w:eastAsia="方正楷体_GBK"/>
          <w:spacing w:val="-12"/>
          <w:sz w:val="32"/>
          <w:szCs w:val="32"/>
          <w:lang w:val="en-US" w:eastAsia="zh-CN"/>
        </w:rPr>
        <w:t>26</w:t>
      </w:r>
      <w:r>
        <w:rPr>
          <w:rFonts w:hint="eastAsia" w:eastAsia="方正楷体_GBK"/>
          <w:spacing w:val="-12"/>
          <w:sz w:val="32"/>
          <w:szCs w:val="32"/>
        </w:rPr>
        <w:t>日垫江县第十八届人大常委会第</w:t>
      </w:r>
      <w:r>
        <w:rPr>
          <w:rFonts w:hint="eastAsia" w:eastAsia="方正楷体_GBK"/>
          <w:spacing w:val="-12"/>
          <w:sz w:val="32"/>
          <w:szCs w:val="32"/>
          <w:lang w:eastAsia="zh-CN"/>
        </w:rPr>
        <w:t>十一</w:t>
      </w:r>
      <w:r>
        <w:rPr>
          <w:rFonts w:hint="eastAsia" w:eastAsia="方正楷体_GBK"/>
          <w:spacing w:val="-12"/>
          <w:sz w:val="32"/>
          <w:szCs w:val="32"/>
        </w:rPr>
        <w:t>次会议通过）</w:t>
      </w:r>
    </w:p>
    <w:p>
      <w:pPr>
        <w:pStyle w:val="4"/>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default" w:ascii="Times New Roman" w:hAnsi="Times New Roman" w:cs="Times New Roman"/>
          <w:color w:val="000000"/>
        </w:rPr>
      </w:pP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方正黑体_GBK" w:cs="Times New Roman"/>
          <w:color w:val="000000"/>
          <w:spacing w:val="0"/>
          <w:sz w:val="32"/>
          <w:szCs w:val="32"/>
          <w:highlight w:val="none"/>
          <w:lang w:val="en-US"/>
        </w:rPr>
      </w:pPr>
      <w:r>
        <w:rPr>
          <w:rFonts w:hint="default" w:ascii="Times New Roman" w:hAnsi="Times New Roman" w:eastAsia="方正黑体_GBK" w:cs="Times New Roman"/>
          <w:color w:val="000000"/>
          <w:spacing w:val="0"/>
          <w:kern w:val="2"/>
          <w:sz w:val="32"/>
          <w:szCs w:val="32"/>
          <w:highlight w:val="none"/>
          <w:lang w:val="en-US" w:eastAsia="zh-CN" w:bidi="ar-SA"/>
        </w:rPr>
        <w:t>一、县级预算调整事由</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根据《重庆市财政局关于下达2023年第二批新增政府债务限额的通知》(渝财债〔2023〕29号)精神，市财政局核定我县2023年第二批新增政府债务限额15.82亿元，其中：一般债务1.82亿元(含新增政府债务外贷额度0.1亿元)，专项债务14亿元。按照规定，新增政府债券须纳入地方政府预算并编制预算调整方案，报同级人大常委会审查批准。通过此次预算调整后，我县政府债务余额为156.16亿元(一般债务余额48.38亿元，专项债务余额107.78亿元)，政府债务余额在市财政局累计下达政府债务限额156.22亿元以内。</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方正黑体_GBK" w:cs="Times New Roman"/>
          <w:color w:val="000000"/>
          <w:spacing w:val="0"/>
          <w:sz w:val="32"/>
          <w:szCs w:val="32"/>
          <w:highlight w:val="none"/>
          <w:lang w:val="en-US"/>
        </w:rPr>
      </w:pPr>
      <w:r>
        <w:rPr>
          <w:rFonts w:hint="default" w:ascii="Times New Roman" w:hAnsi="Times New Roman" w:eastAsia="方正黑体_GBK" w:cs="Times New Roman"/>
          <w:color w:val="000000"/>
          <w:spacing w:val="0"/>
          <w:kern w:val="2"/>
          <w:sz w:val="32"/>
          <w:szCs w:val="32"/>
          <w:highlight w:val="none"/>
          <w:lang w:val="en-US" w:eastAsia="zh-CN" w:bidi="ar-SA"/>
        </w:rPr>
        <w:t>二、县级预算调整方案</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为推进全县重点项目建设，促进经济社会持续发展，拟对新增政府债券15.82亿元分配如下：</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一般债券1.82亿元，专项债券14亿元(市政和产业园区基础设施11.07亿元，文化旅游1.2亿元，生态环保1.2亿元，民生服务0.53亿元)。</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根据上述事项，相应调整经县十八届人民代表大会第三次会议批准的县级一般公共预算和县级政府性基金预算。</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县级一般公共预算收入预算总计调整为80.2116亿元，较年初预算数调增1.82亿元。其中，县本级预算收入19.1876亿元，保持不变；转移性收入调整为61.0240亿元，调增地方政府一般债券转贷收入1.82亿元。</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县级一般公共预算支出预算总计调整为80.2116亿元，较年初预算数调增1.82亿元。其中，县本级预算支出73.2662亿元，较年初预算数调增1.82亿元；转移性支出6.9454亿元，保持不变。</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县级政府性基金收入预算总计调整为63.7189亿元，较年初预算数调增14亿元。其中，县本级预算收入32.16亿元，保持不变；转移性收入调整为31.5589亿元，调增地方政府专项债券转贷收入14亿元。</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sz w:val="32"/>
          <w:szCs w:val="32"/>
          <w:highlight w:val="none"/>
          <w:lang w:val="en-US"/>
        </w:rPr>
      </w:pPr>
      <w:r>
        <w:rPr>
          <w:rFonts w:hint="default" w:ascii="Times New Roman" w:hAnsi="Times New Roman" w:eastAsia="方正仿宋_GBK" w:cs="Times New Roman"/>
          <w:color w:val="000000"/>
          <w:spacing w:val="0"/>
          <w:kern w:val="2"/>
          <w:sz w:val="32"/>
          <w:szCs w:val="32"/>
          <w:highlight w:val="none"/>
          <w:lang w:val="en-US" w:eastAsia="zh-CN" w:bidi="ar-SA"/>
        </w:rPr>
        <w:t>县级政府性基金支出预算总计调整为63.7189亿元，较年初预算数调增14亿元。其中，县本级预算支出调整为37.5894亿元，较年初预算数调增14亿元；转移性支出26.1295亿元，保持不变。</w:t>
      </w:r>
    </w:p>
    <w:p>
      <w:pPr>
        <w:keepNext w:val="0"/>
        <w:keepLines w:val="0"/>
        <w:pageBreakBefore w:val="0"/>
        <w:widowControl w:val="0"/>
        <w:kinsoku/>
        <w:wordWrap/>
        <w:overflowPunct/>
        <w:topLinePunct w:val="0"/>
        <w:autoSpaceDE/>
        <w:autoSpaceDN/>
        <w:bidi w:val="0"/>
        <w:snapToGrid/>
        <w:spacing w:line="548" w:lineRule="exact"/>
        <w:ind w:firstLine="632" w:firstLineChars="200"/>
        <w:jc w:val="both"/>
        <w:textAlignment w:val="auto"/>
        <w:outlineLvl w:val="9"/>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仿宋_GBK" w:cs="Times New Roman"/>
          <w:color w:val="000000"/>
          <w:spacing w:val="0"/>
          <w:kern w:val="2"/>
          <w:sz w:val="32"/>
          <w:szCs w:val="32"/>
          <w:highlight w:val="none"/>
          <w:lang w:val="en-US" w:eastAsia="zh-CN" w:bidi="ar-SA"/>
        </w:rPr>
        <w:t>附件：1. 垫江县2023年新增地方政府专项债券资金安排表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8"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spacing w:val="0"/>
          <w:kern w:val="2"/>
          <w:sz w:val="32"/>
          <w:szCs w:val="32"/>
          <w:highlight w:val="none"/>
          <w:lang w:val="en-US" w:eastAsia="zh-CN" w:bidi="ar-SA"/>
        </w:rPr>
      </w:pPr>
      <w:r>
        <w:rPr>
          <w:rFonts w:hint="default" w:ascii="Times New Roman" w:hAnsi="Times New Roman" w:eastAsia="方正仿宋_GBK" w:cs="Times New Roman"/>
          <w:color w:val="000000"/>
          <w:spacing w:val="0"/>
          <w:kern w:val="2"/>
          <w:sz w:val="32"/>
          <w:szCs w:val="32"/>
          <w:highlight w:val="none"/>
          <w:lang w:val="en-US" w:eastAsia="zh-CN" w:bidi="ar-SA"/>
        </w:rPr>
        <w:t xml:space="preserve">      2. 垫江县2023年县级一般公共预算收支调整预算表</w:t>
      </w:r>
    </w:p>
    <w:p>
      <w:pPr>
        <w:keepNext w:val="0"/>
        <w:keepLines w:val="0"/>
        <w:pageBreakBefore w:val="0"/>
        <w:widowControl w:val="0"/>
        <w:kinsoku/>
        <w:wordWrap/>
        <w:overflowPunct/>
        <w:topLinePunct w:val="0"/>
        <w:autoSpaceDE/>
        <w:autoSpaceDN/>
        <w:bidi w:val="0"/>
        <w:adjustRightInd/>
        <w:snapToGrid/>
        <w:spacing w:line="548"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6"/>
          <w:kern w:val="2"/>
          <w:sz w:val="32"/>
          <w:szCs w:val="32"/>
          <w:highlight w:val="none"/>
          <w:lang w:val="en-US" w:eastAsia="zh-CN" w:bidi="ar-SA"/>
        </w:rPr>
      </w:pPr>
      <w:r>
        <w:rPr>
          <w:rFonts w:hint="default" w:ascii="Times New Roman" w:hAnsi="Times New Roman" w:eastAsia="方正仿宋_GBK" w:cs="Times New Roman"/>
          <w:color w:val="000000"/>
          <w:spacing w:val="0"/>
          <w:kern w:val="2"/>
          <w:sz w:val="32"/>
          <w:szCs w:val="32"/>
          <w:highlight w:val="none"/>
          <w:lang w:val="en-US" w:eastAsia="zh-CN" w:bidi="ar-SA"/>
        </w:rPr>
        <w:t xml:space="preserve">     </w:t>
      </w:r>
      <w:r>
        <w:rPr>
          <w:rFonts w:hint="eastAsia" w:ascii="Times New Roman" w:hAnsi="Times New Roman" w:eastAsia="方正仿宋_GBK" w:cs="Times New Roman"/>
          <w:color w:val="000000"/>
          <w:spacing w:val="0"/>
          <w:kern w:val="2"/>
          <w:sz w:val="32"/>
          <w:szCs w:val="32"/>
          <w:highlight w:val="none"/>
          <w:lang w:val="en-US" w:eastAsia="zh-CN" w:bidi="ar-SA"/>
        </w:rPr>
        <w:t xml:space="preserve">  </w:t>
      </w:r>
      <w:r>
        <w:rPr>
          <w:rFonts w:hint="default" w:ascii="Times New Roman" w:hAnsi="Times New Roman" w:eastAsia="方正仿宋_GBK" w:cs="Times New Roman"/>
          <w:color w:val="000000"/>
          <w:spacing w:val="0"/>
          <w:kern w:val="2"/>
          <w:sz w:val="32"/>
          <w:szCs w:val="32"/>
          <w:highlight w:val="none"/>
          <w:lang w:val="en-US" w:eastAsia="zh-CN" w:bidi="ar-SA"/>
        </w:rPr>
        <w:t xml:space="preserve">   3. </w:t>
      </w:r>
      <w:r>
        <w:rPr>
          <w:rFonts w:hint="default" w:ascii="Times New Roman" w:hAnsi="Times New Roman" w:eastAsia="方正仿宋_GBK" w:cs="Times New Roman"/>
          <w:color w:val="000000"/>
          <w:spacing w:val="-6"/>
          <w:kern w:val="2"/>
          <w:sz w:val="32"/>
          <w:szCs w:val="32"/>
          <w:highlight w:val="none"/>
          <w:lang w:val="en-US" w:eastAsia="zh-CN" w:bidi="ar-SA"/>
        </w:rPr>
        <w:t>垫江县2023年县级政府性基金预算收支调整预算表</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48" w:lineRule="exact"/>
        <w:ind w:left="0" w:right="0"/>
        <w:jc w:val="both"/>
        <w:textAlignment w:val="auto"/>
        <w:rPr>
          <w:rFonts w:hint="default" w:ascii="Times New Roman" w:hAnsi="Times New Roman" w:eastAsia="方正仿宋_GBK" w:cs="Times New Roman"/>
          <w:color w:val="000000"/>
          <w:spacing w:val="-6"/>
          <w:kern w:val="2"/>
          <w:sz w:val="32"/>
          <w:szCs w:val="32"/>
          <w:highlight w:val="none"/>
          <w:lang w:val="en-US" w:eastAsia="zh-CN" w:bidi="ar-SA"/>
        </w:rPr>
        <w:sectPr>
          <w:footerReference r:id="rId3" w:type="default"/>
          <w:footerReference r:id="rId4" w:type="even"/>
          <w:pgSz w:w="11906" w:h="16838"/>
          <w:pgMar w:top="2098" w:right="1474" w:bottom="1985" w:left="1588" w:header="851" w:footer="1474" w:gutter="0"/>
          <w:cols w:space="720" w:num="1"/>
          <w:docGrid w:type="linesAndChars" w:linePitch="579" w:charSpace="-1024"/>
        </w:sectPr>
      </w:pPr>
    </w:p>
    <w:p>
      <w:pPr>
        <w:keepNext w:val="0"/>
        <w:keepLines w:val="0"/>
        <w:widowControl/>
        <w:suppressLineNumbers w:val="0"/>
        <w:spacing w:before="0" w:beforeAutospacing="0" w:after="0" w:afterAutospacing="0" w:line="360" w:lineRule="exact"/>
        <w:ind w:left="0" w:right="0"/>
        <w:jc w:val="both"/>
        <w:rPr>
          <w:rFonts w:hint="default" w:ascii="Times New Roman" w:hAnsi="Times New Roman" w:eastAsia="仿宋_GB2312" w:cs="Times New Roman"/>
          <w:color w:val="000000"/>
          <w:sz w:val="33"/>
          <w:szCs w:val="33"/>
          <w:highlight w:val="none"/>
          <w:lang w:val="en-US"/>
        </w:rPr>
      </w:pPr>
      <w:r>
        <w:rPr>
          <w:rFonts w:hint="default" w:ascii="Times New Roman" w:hAnsi="Times New Roman" w:eastAsia="方正黑体_GBK" w:cs="Times New Roman"/>
          <w:color w:val="000000"/>
          <w:kern w:val="0"/>
          <w:sz w:val="33"/>
          <w:szCs w:val="33"/>
          <w:highlight w:val="none"/>
          <w:lang w:val="en-US" w:eastAsia="zh-CN" w:bidi="ar-SA"/>
        </w:rPr>
        <w:t>附件1</w:t>
      </w:r>
    </w:p>
    <w:p>
      <w:pPr>
        <w:keepNext w:val="0"/>
        <w:keepLines w:val="0"/>
        <w:widowControl w:val="0"/>
        <w:suppressLineNumbers w:val="0"/>
        <w:spacing w:before="0" w:beforeAutospacing="0" w:after="0" w:afterAutospacing="0" w:line="596" w:lineRule="exact"/>
        <w:ind w:left="0" w:right="0"/>
        <w:jc w:val="center"/>
        <w:rPr>
          <w:rFonts w:hint="default" w:ascii="Times New Roman" w:hAnsi="Times New Roman" w:eastAsia="方正小标宋_GBK" w:cs="Times New Roman"/>
          <w:color w:val="000000"/>
          <w:kern w:val="2"/>
          <w:sz w:val="44"/>
          <w:szCs w:val="44"/>
          <w:highlight w:val="none"/>
          <w:lang w:val="en-US" w:eastAsia="zh-CN" w:bidi="ar-SA"/>
        </w:rPr>
      </w:pPr>
      <w:r>
        <w:rPr>
          <w:rFonts w:hint="default" w:ascii="Times New Roman" w:hAnsi="Times New Roman" w:eastAsia="方正小标宋_GBK" w:cs="Times New Roman"/>
          <w:color w:val="000000"/>
          <w:kern w:val="2"/>
          <w:sz w:val="44"/>
          <w:szCs w:val="44"/>
          <w:highlight w:val="none"/>
          <w:lang w:val="en-US" w:eastAsia="zh-CN" w:bidi="ar-SA"/>
        </w:rPr>
        <w:t>垫江县2023年新增地方政府专项债券资金安排表</w:t>
      </w:r>
    </w:p>
    <w:p>
      <w:pPr>
        <w:pStyle w:val="24"/>
        <w:spacing w:line="360" w:lineRule="exact"/>
        <w:jc w:val="right"/>
        <w:rPr>
          <w:rFonts w:hint="default" w:ascii="Times New Roman" w:hAnsi="Times New Roman" w:cs="Times New Roman"/>
          <w:color w:val="000000"/>
          <w:highlight w:val="none"/>
          <w:lang w:val="en-US"/>
        </w:rPr>
      </w:pPr>
      <w:r>
        <w:rPr>
          <w:rFonts w:hint="default" w:ascii="Times New Roman" w:hAnsi="Times New Roman" w:eastAsia="宋体" w:cs="Times New Roman"/>
          <w:color w:val="000000"/>
          <w:kern w:val="2"/>
          <w:sz w:val="21"/>
          <w:szCs w:val="21"/>
          <w:highlight w:val="none"/>
          <w:lang w:val="en-US" w:eastAsia="zh-CN" w:bidi="ar-SA"/>
        </w:rPr>
        <w:t>单位：万元</w:t>
      </w:r>
    </w:p>
    <w:tbl>
      <w:tblPr>
        <w:tblStyle w:val="21"/>
        <w:tblW w:w="13955" w:type="dxa"/>
        <w:jc w:val="center"/>
        <w:tblInd w:w="0" w:type="dxa"/>
        <w:tblLayout w:type="fixed"/>
        <w:tblCellMar>
          <w:top w:w="0" w:type="dxa"/>
          <w:left w:w="0" w:type="dxa"/>
          <w:bottom w:w="0" w:type="dxa"/>
          <w:right w:w="0" w:type="dxa"/>
        </w:tblCellMar>
      </w:tblPr>
      <w:tblGrid>
        <w:gridCol w:w="550"/>
        <w:gridCol w:w="1083"/>
        <w:gridCol w:w="2087"/>
        <w:gridCol w:w="638"/>
        <w:gridCol w:w="6375"/>
        <w:gridCol w:w="1350"/>
        <w:gridCol w:w="1058"/>
        <w:gridCol w:w="814"/>
      </w:tblGrid>
      <w:tr>
        <w:tblPrEx>
          <w:tblLayout w:type="fixed"/>
          <w:tblCellMar>
            <w:top w:w="0" w:type="dxa"/>
            <w:left w:w="0" w:type="dxa"/>
            <w:bottom w:w="0" w:type="dxa"/>
            <w:right w:w="0" w:type="dxa"/>
          </w:tblCellMar>
        </w:tblPrEx>
        <w:trPr>
          <w:trHeight w:val="465"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序号</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项目名称</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项目单位</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2"/>
                <w:sz w:val="21"/>
                <w:szCs w:val="21"/>
                <w:highlight w:val="none"/>
                <w:lang w:val="en-US" w:eastAsia="zh-CN" w:bidi="ar-SA"/>
              </w:rPr>
              <w:t>项目类型</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建设内容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预算科目</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sz w:val="21"/>
                <w:szCs w:val="21"/>
                <w:highlight w:val="none"/>
                <w:lang w:val="en-US"/>
              </w:rPr>
            </w:pPr>
            <w:r>
              <w:rPr>
                <w:rFonts w:hint="eastAsia" w:ascii="宋体" w:hAnsi="宋体" w:eastAsia="宋体" w:cs="宋体"/>
                <w:b/>
                <w:color w:val="000000"/>
                <w:kern w:val="0"/>
                <w:sz w:val="21"/>
                <w:szCs w:val="21"/>
                <w:highlight w:val="none"/>
                <w:lang w:val="en-US" w:eastAsia="zh-CN" w:bidi="ar-SA"/>
              </w:rPr>
              <w:t>债券规模</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color w:val="000000"/>
                <w:kern w:val="0"/>
                <w:sz w:val="21"/>
                <w:szCs w:val="21"/>
                <w:highlight w:val="none"/>
                <w:lang w:val="en-US"/>
              </w:rPr>
            </w:pPr>
            <w:r>
              <w:rPr>
                <w:rFonts w:hint="eastAsia" w:ascii="宋体" w:hAnsi="宋体" w:eastAsia="宋体" w:cs="宋体"/>
                <w:b/>
                <w:color w:val="000000"/>
                <w:kern w:val="0"/>
                <w:sz w:val="21"/>
                <w:szCs w:val="21"/>
                <w:highlight w:val="none"/>
                <w:lang w:val="en-US" w:eastAsia="zh-CN" w:bidi="ar-SA"/>
              </w:rPr>
              <w:t>批次</w:t>
            </w:r>
          </w:p>
        </w:tc>
      </w:tr>
      <w:tr>
        <w:tblPrEx>
          <w:tblLayout w:type="fixed"/>
          <w:tblCellMar>
            <w:top w:w="0" w:type="dxa"/>
            <w:left w:w="0" w:type="dxa"/>
            <w:bottom w:w="0" w:type="dxa"/>
            <w:right w:w="0" w:type="dxa"/>
          </w:tblCellMar>
        </w:tblPrEx>
        <w:trPr>
          <w:trHeight w:val="412" w:hRule="atLeast"/>
          <w:jc w:val="center"/>
        </w:trPr>
        <w:tc>
          <w:tcPr>
            <w:tcW w:w="435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合  计</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b/>
                <w:bCs/>
                <w:color w:val="000000"/>
                <w:kern w:val="2"/>
                <w:sz w:val="21"/>
                <w:szCs w:val="21"/>
                <w:highlight w:val="none"/>
                <w:lang w:val="en-US" w:eastAsia="zh-CN" w:bidi="ar-SA"/>
              </w:rPr>
            </w:pP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b/>
                <w:bCs/>
                <w:color w:val="000000"/>
                <w:kern w:val="2"/>
                <w:sz w:val="21"/>
                <w:szCs w:val="21"/>
                <w:highlight w:val="none"/>
                <w:lang w:val="en-US" w:eastAsia="zh-CN" w:bidi="ar-SA"/>
              </w:rPr>
            </w:pP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140000.00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b/>
                <w:bCs/>
                <w:color w:val="000000"/>
                <w:kern w:val="0"/>
                <w:sz w:val="21"/>
                <w:szCs w:val="21"/>
                <w:highlight w:val="none"/>
                <w:lang w:val="en-US" w:eastAsia="zh-CN" w:bidi="ar-SA"/>
              </w:rPr>
            </w:pPr>
          </w:p>
        </w:tc>
      </w:tr>
      <w:tr>
        <w:tblPrEx>
          <w:tblLayout w:type="fixed"/>
          <w:tblCellMar>
            <w:top w:w="0" w:type="dxa"/>
            <w:left w:w="0" w:type="dxa"/>
            <w:bottom w:w="0" w:type="dxa"/>
            <w:right w:w="0" w:type="dxa"/>
          </w:tblCellMar>
        </w:tblPrEx>
        <w:trPr>
          <w:trHeight w:val="925"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1</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垫江县三合湖牡丹文化旅游建设项目</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重庆东鸿城市运营管理有限责任公司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新建及改造三合湖周边相关基础设施，对三合湖进行提档升级。包括生态修复、水环境治理、新建总建筑面积15400㎡，建设室外管网、室外铺装、灯饰等基础设施工程；建设亲子乐园、水上乐园等休闲娱乐设施；购置安装导览标识，安防，景区智慧系统，露营设施设备等。</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8000.00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691"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垫江县乡镇污水处理综合功能提升工程</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垫江县兴垫交通旅游开发有限公司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本项目新建配套道路129600㎡，共改造41个乡镇污水处理厂/站，设计污水处理能力70000㎡/d(改造24个大中型乡镇污水处理厂/站，设计污水处理能力66000㎡/d，改造17个小型乡镇污水处理站，设计污水处理能力4000㎡/d)。建设内容包括道路路基路面、管网、建筑物、构筑物、挡墙、排水沟、场地硬化、道路等，采购安装污水处理设备等配套工程建设。</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12000.00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922"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3</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垫江县高安镇水生态环境综合治理工程</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垫江县兴垫交通旅游开发有限公司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(一)管网完善工程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本工程对高安场镇污水收集管网设施进行完善，完善面积1.85 k</w:t>
            </w:r>
            <w:r>
              <w:rPr>
                <w:rFonts w:hint="eastAsia" w:ascii="宋体" w:hAnsi="宋体" w:eastAsia="宋体" w:cs="宋体"/>
                <w:color w:val="000000"/>
                <w:spacing w:val="0"/>
                <w:kern w:val="2"/>
                <w:sz w:val="24"/>
                <w:szCs w:val="24"/>
                <w:highlight w:val="none"/>
                <w:lang w:val="en-US" w:eastAsia="zh-CN" w:bidi="ar-SA"/>
              </w:rPr>
              <w:t>m</w:t>
            </w:r>
            <w:r>
              <w:rPr>
                <w:rFonts w:hint="eastAsia" w:ascii="宋体" w:hAnsi="宋体" w:eastAsia="宋体" w:cs="宋体"/>
                <w:color w:val="000000"/>
                <w:spacing w:val="0"/>
                <w:kern w:val="2"/>
                <w:sz w:val="24"/>
                <w:szCs w:val="24"/>
                <w:highlight w:val="none"/>
                <w:vertAlign w:val="superscript"/>
                <w:lang w:val="en-US" w:eastAsia="zh-CN" w:bidi="ar-SA"/>
              </w:rPr>
              <w:t>2</w:t>
            </w:r>
            <w:r>
              <w:rPr>
                <w:rFonts w:hint="eastAsia" w:ascii="宋体" w:hAnsi="宋体" w:eastAsia="宋体" w:cs="宋体"/>
                <w:color w:val="000000"/>
                <w:kern w:val="2"/>
                <w:sz w:val="21"/>
                <w:szCs w:val="21"/>
                <w:highlight w:val="none"/>
                <w:lang w:val="en-US" w:eastAsia="zh-CN" w:bidi="ar-SA"/>
              </w:rPr>
              <w:t>，新建污水管网9.5km，改造缺陷管道11.5km，新建污水提升泵站1座，改造污水提升泵站1座。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(二)污水处理厂扩建工程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 xml:space="preserve">完成高安镇污水处理厂异地扩建工程，新增污水处理能力2500 </w:t>
            </w:r>
            <w:r>
              <w:rPr>
                <w:rFonts w:hint="eastAsia" w:ascii="宋体" w:hAnsi="宋体" w:eastAsia="宋体" w:cs="宋体"/>
                <w:color w:val="000000"/>
                <w:spacing w:val="0"/>
                <w:kern w:val="2"/>
                <w:sz w:val="24"/>
                <w:szCs w:val="24"/>
                <w:highlight w:val="none"/>
                <w:lang w:val="en-US" w:eastAsia="zh-CN" w:bidi="ar-SA"/>
              </w:rPr>
              <w:t>m</w:t>
            </w:r>
            <w:r>
              <w:rPr>
                <w:rFonts w:hint="eastAsia" w:ascii="宋体" w:hAnsi="宋体" w:eastAsia="宋体" w:cs="宋体"/>
                <w:color w:val="000000"/>
                <w:spacing w:val="0"/>
                <w:kern w:val="2"/>
                <w:sz w:val="24"/>
                <w:szCs w:val="24"/>
                <w:highlight w:val="none"/>
                <w:vertAlign w:val="superscript"/>
                <w:lang w:val="en-US" w:eastAsia="zh-CN" w:bidi="ar-SA"/>
              </w:rPr>
              <w:t>3</w:t>
            </w:r>
            <w:r>
              <w:rPr>
                <w:rFonts w:hint="eastAsia" w:ascii="宋体" w:hAnsi="宋体" w:eastAsia="宋体" w:cs="宋体"/>
                <w:color w:val="000000"/>
                <w:kern w:val="2"/>
                <w:sz w:val="21"/>
                <w:szCs w:val="21"/>
                <w:highlight w:val="none"/>
                <w:lang w:val="en-US" w:eastAsia="zh-CN" w:bidi="ar-SA"/>
              </w:rPr>
              <w:t>/d，采用A2O工艺，出水执行《城镇污水处理厂污染物排放标准》一级B标。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(三)实施高安镇入河沟渠、高安镇场镇河流生态修复，清淤12600</w:t>
            </w:r>
            <w:r>
              <w:rPr>
                <w:rFonts w:hint="eastAsia" w:ascii="宋体" w:hAnsi="宋体" w:eastAsia="宋体" w:cs="宋体"/>
                <w:color w:val="000000"/>
                <w:spacing w:val="0"/>
                <w:kern w:val="2"/>
                <w:sz w:val="24"/>
                <w:szCs w:val="24"/>
                <w:highlight w:val="none"/>
                <w:lang w:val="en-US" w:eastAsia="zh-CN" w:bidi="ar-SA"/>
              </w:rPr>
              <w:t>m</w:t>
            </w:r>
            <w:r>
              <w:rPr>
                <w:rFonts w:hint="eastAsia" w:ascii="宋体" w:hAnsi="宋体" w:eastAsia="宋体" w:cs="宋体"/>
                <w:color w:val="000000"/>
                <w:spacing w:val="0"/>
                <w:kern w:val="2"/>
                <w:sz w:val="24"/>
                <w:szCs w:val="24"/>
                <w:highlight w:val="none"/>
                <w:vertAlign w:val="superscript"/>
                <w:lang w:val="en-US" w:eastAsia="zh-CN" w:bidi="ar-SA"/>
              </w:rPr>
              <w:t>3</w:t>
            </w:r>
            <w:r>
              <w:rPr>
                <w:rFonts w:hint="eastAsia" w:ascii="宋体" w:hAnsi="宋体" w:eastAsia="宋体" w:cs="宋体"/>
                <w:color w:val="000000"/>
                <w:kern w:val="2"/>
                <w:sz w:val="21"/>
                <w:szCs w:val="21"/>
                <w:highlight w:val="none"/>
                <w:lang w:val="en-US" w:eastAsia="zh-CN" w:bidi="ar-SA"/>
              </w:rPr>
              <w:t>，建设砾间湿地6400㎡，种植水生植物隔离带14800㎡，建设生态石笼10700m、排水沟300m。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(四)建设污泥干化厂1座，处理湿污泥(含水率80%)能力40吨/天。</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5300.00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582"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4</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垫江县明月山露营基地及配套基础设施建设项目</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重庆明月山建设开发有限公司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新建露营基地帐篷位750个，汽车营位900个，户外拓展生态广场6500㎡，自行车环道4000m，越野道5000m，生态停车场19500㎡，购置观光车20辆，房车210辆，移动木屋105套，帐篷550个，配套道路等旅游基础设施。</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2000.00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1000"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5</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垫江县峰门铺景区改造提升项目(一期)</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重庆明月山建设开发有限公司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修复古驿站消费体验区15000㎡，新建民宿218间，配套建设生态停车位170个，道路场3800m等。</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2000.00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1033"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县城产业转型升级示范园区基础设施建设项目(一期)</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重庆兴垫交通枢纽建设有限公司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1.拆迁工程：征地动迁66000万㎡，拆除原有建筑15000㎡，挖土石方95.65万</w:t>
            </w:r>
            <w:r>
              <w:rPr>
                <w:rFonts w:hint="eastAsia" w:ascii="宋体" w:hAnsi="宋体" w:eastAsia="宋体" w:cs="宋体"/>
                <w:color w:val="000000"/>
                <w:spacing w:val="0"/>
                <w:kern w:val="2"/>
                <w:sz w:val="24"/>
                <w:szCs w:val="24"/>
                <w:highlight w:val="none"/>
                <w:lang w:val="en-US" w:eastAsia="zh-CN" w:bidi="ar-SA"/>
              </w:rPr>
              <w:t>m</w:t>
            </w:r>
            <w:r>
              <w:rPr>
                <w:rFonts w:hint="eastAsia" w:ascii="宋体" w:hAnsi="宋体" w:eastAsia="宋体" w:cs="宋体"/>
                <w:color w:val="000000"/>
                <w:spacing w:val="0"/>
                <w:kern w:val="2"/>
                <w:sz w:val="24"/>
                <w:szCs w:val="24"/>
                <w:highlight w:val="none"/>
                <w:vertAlign w:val="superscript"/>
                <w:lang w:val="en-US" w:eastAsia="zh-CN" w:bidi="ar-SA"/>
              </w:rPr>
              <w:t>3</w:t>
            </w:r>
            <w:r>
              <w:rPr>
                <w:rFonts w:hint="eastAsia" w:ascii="宋体" w:hAnsi="宋体" w:eastAsia="宋体" w:cs="宋体"/>
                <w:color w:val="000000"/>
                <w:kern w:val="2"/>
                <w:sz w:val="21"/>
                <w:szCs w:val="21"/>
                <w:highlight w:val="none"/>
                <w:lang w:val="en-US" w:eastAsia="zh-CN" w:bidi="ar-SA"/>
              </w:rPr>
              <w:t>，填土石方57.82</w:t>
            </w:r>
            <w:r>
              <w:rPr>
                <w:rFonts w:hint="eastAsia" w:ascii="宋体" w:hAnsi="宋体" w:eastAsia="宋体" w:cs="宋体"/>
                <w:color w:val="000000"/>
                <w:spacing w:val="0"/>
                <w:kern w:val="2"/>
                <w:sz w:val="24"/>
                <w:szCs w:val="24"/>
                <w:highlight w:val="none"/>
                <w:lang w:val="en-US" w:eastAsia="zh-CN" w:bidi="ar-SA"/>
              </w:rPr>
              <w:t>m</w:t>
            </w:r>
            <w:r>
              <w:rPr>
                <w:rFonts w:hint="eastAsia" w:ascii="宋体" w:hAnsi="宋体" w:eastAsia="宋体" w:cs="宋体"/>
                <w:color w:val="000000"/>
                <w:spacing w:val="0"/>
                <w:kern w:val="2"/>
                <w:sz w:val="24"/>
                <w:szCs w:val="24"/>
                <w:highlight w:val="none"/>
                <w:vertAlign w:val="superscript"/>
                <w:lang w:val="en-US" w:eastAsia="zh-CN" w:bidi="ar-SA"/>
              </w:rPr>
              <w:t>3</w:t>
            </w:r>
            <w:r>
              <w:rPr>
                <w:rFonts w:hint="eastAsia" w:ascii="宋体" w:hAnsi="宋体" w:eastAsia="宋体" w:cs="宋体"/>
                <w:color w:val="000000"/>
                <w:kern w:val="2"/>
                <w:sz w:val="21"/>
                <w:szCs w:val="21"/>
                <w:highlight w:val="none"/>
                <w:lang w:val="en-US" w:eastAsia="zh-CN" w:bidi="ar-SA"/>
              </w:rPr>
              <w:t>。2.建筑安装工程：建设停车场、孵化研发中心，占地面积35000㎡，建筑面积100000㎡，其中，地上建筑70000㎡，地下建筑30000㎡；建设中试基地，占地面积10000㎡，建筑面积50000㎡，其中，地上建筑40000㎡，地下建筑10000㎡。3.道路桥梁工程：建设一级双向6车道道路4.89km，二级双向2车道道路5.48km；建设桥梁3座，桥梁总长0.03km。4.管线工程：铺设供排水管网10km。5.其他主要配套工程：建设新能源充电桩100座。</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18000.00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r>
        <w:tblPrEx>
          <w:tblLayout w:type="fixed"/>
          <w:tblCellMar>
            <w:top w:w="0" w:type="dxa"/>
            <w:left w:w="0" w:type="dxa"/>
            <w:bottom w:w="0" w:type="dxa"/>
            <w:right w:w="0" w:type="dxa"/>
          </w:tblCellMar>
        </w:tblPrEx>
        <w:trPr>
          <w:trHeight w:val="1033"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7</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shd w:val="clear" w:color="auto" w:fill="auto"/>
                <w:lang w:val="en-US"/>
              </w:rPr>
            </w:pPr>
            <w:r>
              <w:rPr>
                <w:rFonts w:hint="eastAsia" w:ascii="宋体" w:hAnsi="宋体" w:eastAsia="宋体" w:cs="宋体"/>
                <w:i w:val="0"/>
                <w:caps w:val="0"/>
                <w:color w:val="000000"/>
                <w:spacing w:val="0"/>
                <w:sz w:val="21"/>
                <w:szCs w:val="21"/>
                <w:shd w:val="clear" w:color="auto" w:fill="auto"/>
              </w:rPr>
              <w:t>垫江县城市建设、乡村振兴和产业发展项目</w:t>
            </w:r>
          </w:p>
        </w:tc>
        <w:tc>
          <w:tcPr>
            <w:tcW w:w="2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sz w:val="21"/>
                <w:szCs w:val="21"/>
                <w:highlight w:val="none"/>
                <w:shd w:val="clear" w:color="auto" w:fill="auto"/>
                <w:lang w:val="en-US"/>
              </w:rPr>
            </w:pPr>
            <w:r>
              <w:rPr>
                <w:rFonts w:hint="eastAsia" w:ascii="宋体" w:hAnsi="宋体" w:eastAsia="宋体" w:cs="宋体"/>
                <w:i w:val="0"/>
                <w:caps w:val="0"/>
                <w:color w:val="000000"/>
                <w:spacing w:val="0"/>
                <w:sz w:val="21"/>
                <w:szCs w:val="21"/>
                <w:shd w:val="clear" w:color="auto" w:fill="auto"/>
              </w:rPr>
              <w:t>重庆渝垫国有资产经营集团有限公司、垫江县朝阳实业有限公司、垫江县兴垫交通旅游开发有限公司、重庆明月山建设开发有限公司</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其他专项债券</w:t>
            </w:r>
          </w:p>
        </w:tc>
        <w:tc>
          <w:tcPr>
            <w:tcW w:w="6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both"/>
              <w:textAlignment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用于乡村振兴产业融合发展、乡镇水生态综合治理、老旧小区改造项目建设，主要实施农村人居环境整治提升，农村生活垃圾治理、完善污水收集管网设施。</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color w:val="000000"/>
                <w:sz w:val="21"/>
                <w:szCs w:val="21"/>
                <w:highlight w:val="none"/>
                <w:lang w:val="en-US"/>
              </w:rPr>
            </w:pPr>
            <w:r>
              <w:rPr>
                <w:rFonts w:hint="eastAsia" w:ascii="宋体" w:hAnsi="宋体" w:eastAsia="宋体" w:cs="宋体"/>
                <w:color w:val="000000"/>
                <w:kern w:val="2"/>
                <w:sz w:val="21"/>
                <w:szCs w:val="21"/>
                <w:highlight w:val="none"/>
                <w:lang w:val="en-US" w:eastAsia="zh-CN" w:bidi="ar-SA"/>
              </w:rPr>
              <w:t>2290402-其他地方自行试点项目收益专项债券收入安排的支出</w:t>
            </w:r>
          </w:p>
        </w:tc>
        <w:tc>
          <w:tcPr>
            <w:tcW w:w="10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92700.00</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第二批</w:t>
            </w:r>
          </w:p>
        </w:tc>
      </w:tr>
    </w:tbl>
    <w:p>
      <w:pPr>
        <w:keepNext w:val="0"/>
        <w:keepLines w:val="0"/>
        <w:widowControl w:val="0"/>
        <w:suppressLineNumbers w:val="0"/>
        <w:spacing w:before="0" w:beforeAutospacing="0" w:after="0" w:afterAutospacing="0" w:line="400" w:lineRule="exact"/>
        <w:ind w:left="0" w:right="206"/>
        <w:jc w:val="right"/>
        <w:rPr>
          <w:rFonts w:hint="default" w:ascii="Times New Roman" w:hAnsi="Times New Roman" w:eastAsia="宋体" w:cs="Times New Roman"/>
          <w:color w:val="000000"/>
          <w:szCs w:val="21"/>
          <w:highlight w:val="none"/>
          <w:lang w:val="en-US"/>
        </w:rPr>
      </w:pPr>
    </w:p>
    <w:p>
      <w:pPr>
        <w:keepNext w:val="0"/>
        <w:keepLines w:val="0"/>
        <w:widowControl w:val="0"/>
        <w:suppressLineNumbers w:val="0"/>
        <w:spacing w:before="0" w:beforeAutospacing="0" w:after="0" w:afterAutospacing="0" w:line="596" w:lineRule="exact"/>
        <w:ind w:left="0" w:right="0"/>
        <w:jc w:val="both"/>
        <w:rPr>
          <w:rFonts w:hint="default" w:ascii="Times New Roman" w:hAnsi="Times New Roman" w:eastAsia="方正黑体_GBK" w:cs="Times New Roman"/>
          <w:color w:val="000000"/>
          <w:sz w:val="33"/>
          <w:szCs w:val="33"/>
          <w:highlight w:val="none"/>
          <w:lang w:val="en-US"/>
        </w:rPr>
      </w:pPr>
      <w:r>
        <w:rPr>
          <w:rFonts w:hint="default" w:ascii="Times New Roman" w:hAnsi="Times New Roman" w:eastAsia="方正仿宋_GBK" w:cs="Times New Roman"/>
          <w:color w:val="000000"/>
          <w:kern w:val="2"/>
          <w:sz w:val="32"/>
          <w:szCs w:val="32"/>
          <w:highlight w:val="none"/>
          <w:lang w:val="en-US" w:eastAsia="zh-CN" w:bidi="ar-SA"/>
        </w:rPr>
        <w:br w:type="page"/>
      </w:r>
      <w:r>
        <w:rPr>
          <w:rFonts w:hint="default" w:ascii="Times New Roman" w:hAnsi="Times New Roman" w:eastAsia="方正黑体_GBK" w:cs="Times New Roman"/>
          <w:color w:val="000000"/>
          <w:kern w:val="2"/>
          <w:sz w:val="33"/>
          <w:szCs w:val="33"/>
          <w:highlight w:val="none"/>
          <w:lang w:val="en-US" w:eastAsia="zh-CN" w:bidi="ar-SA"/>
        </w:rPr>
        <w:t>附件2</w:t>
      </w:r>
    </w:p>
    <w:p>
      <w:pPr>
        <w:keepNext w:val="0"/>
        <w:keepLines w:val="0"/>
        <w:widowControl w:val="0"/>
        <w:suppressLineNumbers w:val="0"/>
        <w:spacing w:before="0" w:beforeAutospacing="0" w:after="0" w:afterAutospacing="0" w:line="596" w:lineRule="exact"/>
        <w:ind w:left="0" w:right="0"/>
        <w:jc w:val="center"/>
        <w:rPr>
          <w:rFonts w:hint="default" w:ascii="Times New Roman" w:hAnsi="Times New Roman" w:eastAsia="方正小标宋_GBK" w:cs="Times New Roman"/>
          <w:color w:val="000000"/>
          <w:sz w:val="44"/>
          <w:szCs w:val="44"/>
          <w:highlight w:val="none"/>
          <w:lang w:val="en-US"/>
        </w:rPr>
      </w:pPr>
      <w:r>
        <w:rPr>
          <w:rFonts w:hint="default" w:ascii="Times New Roman" w:hAnsi="Times New Roman" w:eastAsia="方正小标宋_GBK" w:cs="Times New Roman"/>
          <w:color w:val="000000"/>
          <w:kern w:val="2"/>
          <w:sz w:val="44"/>
          <w:szCs w:val="44"/>
          <w:highlight w:val="none"/>
          <w:lang w:val="en-US" w:eastAsia="zh-CN" w:bidi="ar-SA"/>
        </w:rPr>
        <w:t>垫江县2023年县级一般公共预算收支调整预算表</w:t>
      </w:r>
    </w:p>
    <w:p>
      <w:pPr>
        <w:keepNext w:val="0"/>
        <w:keepLines w:val="0"/>
        <w:widowControl w:val="0"/>
        <w:suppressLineNumbers w:val="0"/>
        <w:spacing w:before="0" w:beforeAutospacing="0" w:after="0" w:afterAutospacing="0" w:line="360" w:lineRule="exact"/>
        <w:ind w:left="7638" w:leftChars="3708" w:right="309" w:firstLine="412" w:firstLineChars="200"/>
        <w:jc w:val="right"/>
        <w:rPr>
          <w:rFonts w:hint="default" w:ascii="Times New Roman" w:hAnsi="Times New Roman" w:eastAsia="宋体" w:cs="Times New Roman"/>
          <w:color w:val="000000"/>
          <w:szCs w:val="21"/>
          <w:highlight w:val="none"/>
          <w:lang w:val="en-US"/>
        </w:rPr>
      </w:pPr>
      <w:r>
        <w:rPr>
          <w:rFonts w:hint="default" w:ascii="Times New Roman" w:hAnsi="Times New Roman" w:eastAsia="宋体" w:cs="Times New Roman"/>
          <w:color w:val="000000"/>
          <w:kern w:val="2"/>
          <w:sz w:val="21"/>
          <w:szCs w:val="21"/>
          <w:highlight w:val="none"/>
          <w:lang w:val="en-US" w:eastAsia="zh-CN" w:bidi="ar-SA"/>
        </w:rPr>
        <w:t>单位：万元</w:t>
      </w:r>
    </w:p>
    <w:tbl>
      <w:tblPr>
        <w:tblStyle w:val="21"/>
        <w:tblW w:w="13785" w:type="dxa"/>
        <w:jc w:val="center"/>
        <w:tblInd w:w="0" w:type="dxa"/>
        <w:tblLayout w:type="fixed"/>
        <w:tblCellMar>
          <w:top w:w="0" w:type="dxa"/>
          <w:left w:w="108" w:type="dxa"/>
          <w:bottom w:w="0" w:type="dxa"/>
          <w:right w:w="108" w:type="dxa"/>
        </w:tblCellMar>
      </w:tblPr>
      <w:tblGrid>
        <w:gridCol w:w="3232"/>
        <w:gridCol w:w="1077"/>
        <w:gridCol w:w="1370"/>
        <w:gridCol w:w="1052"/>
        <w:gridCol w:w="3434"/>
        <w:gridCol w:w="1110"/>
        <w:gridCol w:w="1260"/>
        <w:gridCol w:w="1250"/>
      </w:tblGrid>
      <w:tr>
        <w:tblPrEx>
          <w:tblLayout w:type="fixed"/>
          <w:tblCellMar>
            <w:top w:w="0" w:type="dxa"/>
            <w:left w:w="108" w:type="dxa"/>
            <w:bottom w:w="0" w:type="dxa"/>
            <w:right w:w="108" w:type="dxa"/>
          </w:tblCellMar>
        </w:tblPrEx>
        <w:trPr>
          <w:trHeight w:val="498"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项   目</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预算数</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调整预算数</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增减额</w:t>
            </w: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项   目</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预算数</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调整预算数</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增减额</w:t>
            </w:r>
          </w:p>
        </w:tc>
      </w:tr>
      <w:tr>
        <w:tblPrEx>
          <w:tblLayout w:type="fixed"/>
          <w:tblCellMar>
            <w:top w:w="0" w:type="dxa"/>
            <w:left w:w="108" w:type="dxa"/>
            <w:bottom w:w="0" w:type="dxa"/>
            <w:right w:w="108" w:type="dxa"/>
          </w:tblCellMar>
        </w:tblPrEx>
        <w:trPr>
          <w:trHeight w:val="30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一般公共预算收入总计</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783916</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802116</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18200</w:t>
            </w: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一般公共预算支出总计</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783916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802116</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18200</w:t>
            </w:r>
          </w:p>
        </w:tc>
      </w:tr>
      <w:tr>
        <w:tblPrEx>
          <w:tblLayout w:type="fixed"/>
          <w:tblCellMar>
            <w:top w:w="0" w:type="dxa"/>
            <w:left w:w="108" w:type="dxa"/>
            <w:bottom w:w="0" w:type="dxa"/>
            <w:right w:w="108" w:type="dxa"/>
          </w:tblCellMar>
        </w:tblPrEx>
        <w:trPr>
          <w:trHeight w:val="9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一、本级收入合计</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191876</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191876</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一、本级支出合计</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714462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732662</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18200</w:t>
            </w:r>
          </w:p>
        </w:tc>
      </w:tr>
      <w:tr>
        <w:tblPrEx>
          <w:tblLayout w:type="fixed"/>
          <w:tblCellMar>
            <w:top w:w="0" w:type="dxa"/>
            <w:left w:w="108" w:type="dxa"/>
            <w:bottom w:w="0" w:type="dxa"/>
            <w:right w:w="108" w:type="dxa"/>
          </w:tblCellMar>
        </w:tblPrEx>
        <w:trPr>
          <w:trHeight w:val="15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(一)税收收入</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94952</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94952</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(一)一般公共服务支出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36329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36969</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640</w:t>
            </w:r>
          </w:p>
        </w:tc>
      </w:tr>
      <w:tr>
        <w:tblPrEx>
          <w:tblLayout w:type="fixed"/>
          <w:tblCellMar>
            <w:top w:w="0" w:type="dxa"/>
            <w:left w:w="108" w:type="dxa"/>
            <w:bottom w:w="0" w:type="dxa"/>
            <w:right w:w="108" w:type="dxa"/>
          </w:tblCellMar>
        </w:tblPrEx>
        <w:trPr>
          <w:trHeight w:val="15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(二)非税收入</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96924</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96924</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(二)国防支出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419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419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9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(三)公共安全支出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20331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22331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2000</w:t>
            </w:r>
          </w:p>
        </w:tc>
      </w:tr>
      <w:tr>
        <w:tblPrEx>
          <w:tblLayout w:type="fixed"/>
          <w:tblCellMar>
            <w:top w:w="0" w:type="dxa"/>
            <w:left w:w="108" w:type="dxa"/>
            <w:bottom w:w="0" w:type="dxa"/>
            <w:right w:w="108" w:type="dxa"/>
          </w:tblCellMar>
        </w:tblPrEx>
        <w:trPr>
          <w:trHeight w:val="12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(四)教育支出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139929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139929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4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(五)科学技术支出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8053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8053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3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(六)文化旅游体育与传媒支出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4653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4653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4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(七)社会保障和就业支出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87644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87644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p>
        </w:tc>
      </w:tr>
      <w:tr>
        <w:tblPrEx>
          <w:tblLayout w:type="fixed"/>
          <w:tblCellMar>
            <w:top w:w="0" w:type="dxa"/>
            <w:left w:w="108" w:type="dxa"/>
            <w:bottom w:w="0" w:type="dxa"/>
            <w:right w:w="108" w:type="dxa"/>
          </w:tblCellMar>
        </w:tblPrEx>
        <w:trPr>
          <w:trHeight w:val="9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(八)卫生健康支出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56267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58767</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2500</w:t>
            </w:r>
          </w:p>
        </w:tc>
      </w:tr>
      <w:tr>
        <w:tblPrEx>
          <w:tblLayout w:type="fixed"/>
          <w:tblCellMar>
            <w:top w:w="0" w:type="dxa"/>
            <w:left w:w="108" w:type="dxa"/>
            <w:bottom w:w="0" w:type="dxa"/>
            <w:right w:w="108" w:type="dxa"/>
          </w:tblCellMar>
        </w:tblPrEx>
        <w:trPr>
          <w:trHeight w:val="14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(九)节能环保支出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15178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15178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12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(十)城乡社区支出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74699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81099</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6400</w:t>
            </w:r>
          </w:p>
        </w:tc>
      </w:tr>
      <w:tr>
        <w:tblPrEx>
          <w:tblLayout w:type="fixed"/>
          <w:tblCellMar>
            <w:top w:w="0" w:type="dxa"/>
            <w:left w:w="108" w:type="dxa"/>
            <w:bottom w:w="0" w:type="dxa"/>
            <w:right w:w="108" w:type="dxa"/>
          </w:tblCellMar>
        </w:tblPrEx>
        <w:trPr>
          <w:trHeight w:val="21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(十一)农林水支出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62240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67740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5500</w:t>
            </w:r>
          </w:p>
        </w:tc>
      </w:tr>
      <w:tr>
        <w:tblPrEx>
          <w:tblLayout w:type="fixed"/>
          <w:tblCellMar>
            <w:top w:w="0" w:type="dxa"/>
            <w:left w:w="108" w:type="dxa"/>
            <w:bottom w:w="0" w:type="dxa"/>
            <w:right w:w="108" w:type="dxa"/>
          </w:tblCellMar>
        </w:tblPrEx>
        <w:trPr>
          <w:trHeight w:val="18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(十二)交通运输支出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25684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25684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9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(十三)资源勘探工业信息等支出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3311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3311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1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(十四)商业服务业等支出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1620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1620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15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(十五)自然资源海洋气象等支出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4337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4337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12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(十六)住房保障支出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23176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23176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3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(十七)粮油物资储备支出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84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84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15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(十八)灾害防治及应急管理支出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3312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4472</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1160</w:t>
            </w:r>
          </w:p>
        </w:tc>
      </w:tr>
      <w:tr>
        <w:tblPrEx>
          <w:tblLayout w:type="fixed"/>
          <w:tblCellMar>
            <w:top w:w="0" w:type="dxa"/>
            <w:left w:w="108" w:type="dxa"/>
            <w:bottom w:w="0" w:type="dxa"/>
            <w:right w:w="108" w:type="dxa"/>
          </w:tblCellMar>
        </w:tblPrEx>
        <w:trPr>
          <w:trHeight w:val="367"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(十九)预备费</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8000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8000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9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(二十)其他支出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124196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124196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15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(二十一)债务付息支出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14996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14996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3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2"/>
                <w:sz w:val="21"/>
                <w:szCs w:val="21"/>
                <w:highlight w:val="none"/>
                <w:lang w:val="en-US" w:eastAsia="zh-CN" w:bidi="ar-SA"/>
              </w:rPr>
            </w:pP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eastAsia="zh-CN" w:bidi="ar-SA"/>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(二十二)债务发行费用支出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3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二、转移性收入合计</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592040</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610240</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18200</w:t>
            </w: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sz w:val="21"/>
                <w:szCs w:val="21"/>
                <w:highlight w:val="none"/>
                <w:lang w:val="en-US"/>
              </w:rPr>
            </w:pPr>
            <w:r>
              <w:rPr>
                <w:rFonts w:hint="eastAsia" w:ascii="宋体" w:hAnsi="宋体" w:eastAsia="宋体" w:cs="宋体"/>
                <w:b/>
                <w:bCs w:val="0"/>
                <w:color w:val="000000"/>
                <w:kern w:val="2"/>
                <w:sz w:val="21"/>
                <w:szCs w:val="21"/>
                <w:highlight w:val="none"/>
                <w:lang w:val="en-US" w:eastAsia="zh-CN" w:bidi="ar-SA"/>
              </w:rPr>
              <w:t>二、转移性支出合计</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69454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 xml:space="preserve">69454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
                <w:bCs w:val="0"/>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9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(一)市级补助收入</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248262</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248262</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(一)上解支出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23857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23857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7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(二)乡镇上解收入</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9278</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9278</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(二)补助乡镇支出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44297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44297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0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(三)调入预算稳定调节基金</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15000</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15000</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 xml:space="preserve">    一般性转移支付补助</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43112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43112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26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(四)调入资金</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270675</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270675</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 xml:space="preserve">    专项转移支付补助</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1185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1185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95"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(五)地方政府一般债券转贷收入</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18200</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color w:val="000000"/>
                <w:highlight w:val="none"/>
                <w:lang w:val="en-US"/>
              </w:rPr>
            </w:pPr>
            <w:r>
              <w:rPr>
                <w:rFonts w:hint="eastAsia" w:ascii="宋体" w:hAnsi="宋体" w:eastAsia="宋体" w:cs="宋体"/>
                <w:color w:val="000000"/>
                <w:highlight w:val="none"/>
                <w:lang w:val="en-US" w:eastAsia="zh-CN"/>
              </w:rPr>
              <w:t>18200</w:t>
            </w: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sz w:val="21"/>
                <w:szCs w:val="21"/>
                <w:highlight w:val="none"/>
                <w:lang w:val="en-US"/>
              </w:rPr>
            </w:pPr>
            <w:r>
              <w:rPr>
                <w:rFonts w:hint="eastAsia" w:ascii="宋体" w:hAnsi="宋体" w:eastAsia="宋体" w:cs="宋体"/>
                <w:color w:val="000000"/>
                <w:kern w:val="0"/>
                <w:sz w:val="21"/>
                <w:szCs w:val="21"/>
                <w:highlight w:val="none"/>
                <w:lang w:val="en-US" w:eastAsia="zh-CN" w:bidi="ar-SA"/>
              </w:rPr>
              <w:t>(三)地方政府一般债务还本支出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1300 </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1300 </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330" w:hRule="atLeast"/>
          <w:jc w:val="center"/>
        </w:trPr>
        <w:tc>
          <w:tcPr>
            <w:tcW w:w="32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both"/>
              <w:textAlignment w:val="center"/>
              <w:rPr>
                <w:rFonts w:hint="eastAsia" w:ascii="宋体" w:hAnsi="宋体" w:eastAsia="宋体" w:cs="宋体"/>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(六)上年结转</w:t>
            </w:r>
          </w:p>
        </w:tc>
        <w:tc>
          <w:tcPr>
            <w:tcW w:w="10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48825</w:t>
            </w:r>
          </w:p>
        </w:tc>
        <w:tc>
          <w:tcPr>
            <w:tcW w:w="137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48825</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4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exact"/>
              <w:ind w:left="0" w:right="0"/>
              <w:jc w:val="both"/>
              <w:rPr>
                <w:rFonts w:hint="eastAsia" w:ascii="宋体" w:hAnsi="宋体" w:eastAsia="宋体" w:cs="宋体"/>
                <w:color w:val="000000"/>
                <w:sz w:val="21"/>
                <w:szCs w:val="21"/>
                <w:highlight w:val="none"/>
                <w:lang w:val="en-US"/>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eastAsia" w:ascii="宋体" w:hAnsi="宋体" w:eastAsia="宋体" w:cs="宋体"/>
                <w:bCs/>
                <w:color w:val="000000"/>
                <w:kern w:val="0"/>
                <w:sz w:val="21"/>
                <w:szCs w:val="21"/>
                <w:highlight w:val="none"/>
                <w:lang w:val="en-US"/>
              </w:rPr>
            </w:pPr>
          </w:p>
        </w:tc>
      </w:tr>
    </w:tbl>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auto"/>
        <w:ind w:right="0" w:rightChars="0"/>
        <w:jc w:val="both"/>
        <w:textAlignment w:val="auto"/>
        <w:outlineLvl w:val="9"/>
        <w:rPr>
          <w:rFonts w:hint="default" w:ascii="Times New Roman" w:hAnsi="Times New Roman" w:eastAsia="方正仿宋_GBK" w:cs="Times New Roman"/>
          <w:color w:val="000000"/>
          <w:kern w:val="2"/>
          <w:sz w:val="32"/>
          <w:szCs w:val="32"/>
          <w:highlight w:val="none"/>
          <w:lang w:val="en-US" w:eastAsia="zh-CN" w:bidi="ar-SA"/>
        </w:rPr>
      </w:pPr>
    </w:p>
    <w:p>
      <w:pPr>
        <w:keepNext w:val="0"/>
        <w:keepLines w:val="0"/>
        <w:widowControl w:val="0"/>
        <w:suppressLineNumbers w:val="0"/>
        <w:spacing w:before="0" w:beforeAutospacing="0" w:after="0" w:afterAutospacing="0" w:line="596" w:lineRule="exact"/>
        <w:ind w:left="0" w:right="0"/>
        <w:jc w:val="both"/>
        <w:rPr>
          <w:rFonts w:hint="default" w:ascii="Times New Roman" w:hAnsi="Times New Roman" w:eastAsia="方正黑体_GBK" w:cs="Times New Roman"/>
          <w:color w:val="000000"/>
          <w:sz w:val="33"/>
          <w:szCs w:val="33"/>
          <w:highlight w:val="none"/>
          <w:lang w:val="en-US"/>
        </w:rPr>
      </w:pPr>
      <w:r>
        <w:rPr>
          <w:rFonts w:hint="default" w:ascii="Times New Roman" w:hAnsi="Times New Roman" w:cs="Times New Roman"/>
          <w:color w:val="000000"/>
          <w:lang w:val="en-US" w:eastAsia="zh-CN"/>
        </w:rPr>
        <w:br w:type="page"/>
      </w:r>
      <w:r>
        <w:rPr>
          <w:rFonts w:hint="default" w:ascii="Times New Roman" w:hAnsi="Times New Roman" w:eastAsia="方正黑体_GBK" w:cs="Times New Roman"/>
          <w:color w:val="000000"/>
          <w:kern w:val="2"/>
          <w:sz w:val="33"/>
          <w:szCs w:val="33"/>
          <w:highlight w:val="none"/>
          <w:lang w:val="en-US" w:eastAsia="zh-CN" w:bidi="ar-SA"/>
        </w:rPr>
        <w:t>附件3</w:t>
      </w:r>
    </w:p>
    <w:p>
      <w:pPr>
        <w:keepNext w:val="0"/>
        <w:keepLines w:val="0"/>
        <w:widowControl w:val="0"/>
        <w:suppressLineNumbers w:val="0"/>
        <w:spacing w:before="0" w:beforeAutospacing="0" w:after="0" w:afterAutospacing="0" w:line="596" w:lineRule="exact"/>
        <w:ind w:left="0" w:right="0"/>
        <w:jc w:val="center"/>
        <w:rPr>
          <w:rFonts w:hint="default" w:ascii="Times New Roman" w:hAnsi="Times New Roman" w:eastAsia="方正小标宋_GBK" w:cs="Times New Roman"/>
          <w:color w:val="000000"/>
          <w:sz w:val="44"/>
          <w:szCs w:val="44"/>
          <w:highlight w:val="none"/>
          <w:lang w:val="en-US"/>
        </w:rPr>
      </w:pPr>
      <w:r>
        <w:rPr>
          <w:rFonts w:hint="default" w:ascii="Times New Roman" w:hAnsi="Times New Roman" w:eastAsia="方正小标宋_GBK" w:cs="Times New Roman"/>
          <w:color w:val="000000"/>
          <w:kern w:val="2"/>
          <w:sz w:val="44"/>
          <w:szCs w:val="44"/>
          <w:highlight w:val="none"/>
          <w:lang w:val="en-US" w:eastAsia="zh-CN" w:bidi="ar-SA"/>
        </w:rPr>
        <w:t>垫江县2023年县级政府性基金预算收支调整预算表</w:t>
      </w:r>
    </w:p>
    <w:p>
      <w:pPr>
        <w:keepNext w:val="0"/>
        <w:keepLines w:val="0"/>
        <w:widowControl w:val="0"/>
        <w:suppressLineNumbers w:val="0"/>
        <w:spacing w:before="0" w:beforeAutospacing="0" w:after="0" w:afterAutospacing="0" w:line="400" w:lineRule="exact"/>
        <w:ind w:left="0" w:right="420" w:firstLine="10506" w:firstLineChars="5100"/>
        <w:jc w:val="both"/>
        <w:rPr>
          <w:rFonts w:hint="default" w:ascii="Times New Roman" w:hAnsi="Times New Roman" w:eastAsia="宋体" w:cs="Times New Roman"/>
          <w:color w:val="000000"/>
          <w:sz w:val="21"/>
          <w:szCs w:val="21"/>
          <w:highlight w:val="none"/>
          <w:lang w:val="en-US"/>
        </w:rPr>
      </w:pPr>
      <w:r>
        <w:rPr>
          <w:rFonts w:hint="default" w:ascii="Times New Roman" w:hAnsi="Times New Roman" w:eastAsia="方正仿宋_GBK" w:cs="Times New Roman"/>
          <w:color w:val="000000"/>
          <w:kern w:val="2"/>
          <w:sz w:val="21"/>
          <w:szCs w:val="21"/>
          <w:highlight w:val="none"/>
          <w:lang w:val="en-US" w:eastAsia="zh-CN" w:bidi="ar-SA"/>
        </w:rPr>
        <w:t xml:space="preserve">                </w:t>
      </w:r>
      <w:r>
        <w:rPr>
          <w:rFonts w:hint="eastAsia" w:ascii="Times New Roman" w:hAnsi="Times New Roman" w:eastAsia="方正仿宋_GBK" w:cs="Times New Roman"/>
          <w:color w:val="000000"/>
          <w:kern w:val="2"/>
          <w:sz w:val="21"/>
          <w:szCs w:val="21"/>
          <w:highlight w:val="none"/>
          <w:lang w:val="en-US" w:eastAsia="zh-CN" w:bidi="ar-SA"/>
        </w:rPr>
        <w:t xml:space="preserve">  </w:t>
      </w:r>
      <w:r>
        <w:rPr>
          <w:rFonts w:hint="default" w:ascii="Times New Roman" w:hAnsi="Times New Roman" w:eastAsia="方正仿宋_GBK" w:cs="Times New Roman"/>
          <w:color w:val="000000"/>
          <w:kern w:val="2"/>
          <w:sz w:val="21"/>
          <w:szCs w:val="21"/>
          <w:highlight w:val="none"/>
          <w:lang w:val="en-US" w:eastAsia="zh-CN" w:bidi="ar-SA"/>
        </w:rPr>
        <w:t xml:space="preserve"> </w:t>
      </w:r>
      <w:r>
        <w:rPr>
          <w:rFonts w:hint="default" w:ascii="Times New Roman" w:hAnsi="Times New Roman" w:eastAsia="宋体" w:cs="Times New Roman"/>
          <w:color w:val="000000"/>
          <w:kern w:val="2"/>
          <w:sz w:val="21"/>
          <w:szCs w:val="21"/>
          <w:highlight w:val="none"/>
          <w:lang w:val="en-US" w:eastAsia="zh-CN" w:bidi="ar-SA"/>
        </w:rPr>
        <w:t>单位：万元</w:t>
      </w:r>
    </w:p>
    <w:tbl>
      <w:tblPr>
        <w:tblStyle w:val="21"/>
        <w:tblW w:w="13641" w:type="dxa"/>
        <w:jc w:val="center"/>
        <w:tblInd w:w="-1149" w:type="dxa"/>
        <w:tblLayout w:type="fixed"/>
        <w:tblCellMar>
          <w:top w:w="0" w:type="dxa"/>
          <w:left w:w="108" w:type="dxa"/>
          <w:bottom w:w="0" w:type="dxa"/>
          <w:right w:w="108" w:type="dxa"/>
        </w:tblCellMar>
      </w:tblPr>
      <w:tblGrid>
        <w:gridCol w:w="3919"/>
        <w:gridCol w:w="954"/>
        <w:gridCol w:w="1050"/>
        <w:gridCol w:w="1154"/>
        <w:gridCol w:w="3819"/>
        <w:gridCol w:w="1004"/>
        <w:gridCol w:w="819"/>
        <w:gridCol w:w="922"/>
      </w:tblGrid>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财政收入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预算数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spacing w:val="-4"/>
                <w:kern w:val="0"/>
                <w:sz w:val="21"/>
                <w:szCs w:val="21"/>
                <w:highlight w:val="none"/>
                <w:lang w:val="en-US"/>
              </w:rPr>
            </w:pPr>
            <w:r>
              <w:rPr>
                <w:rFonts w:hint="eastAsia" w:ascii="宋体" w:hAnsi="宋体" w:eastAsia="宋体" w:cs="宋体"/>
                <w:b/>
                <w:bCs w:val="0"/>
                <w:color w:val="000000"/>
                <w:spacing w:val="-4"/>
                <w:kern w:val="0"/>
                <w:sz w:val="21"/>
                <w:szCs w:val="21"/>
                <w:highlight w:val="none"/>
                <w:lang w:val="en-US" w:eastAsia="zh-CN" w:bidi="ar-SA"/>
              </w:rPr>
              <w:t>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spacing w:val="-4"/>
                <w:kern w:val="0"/>
                <w:sz w:val="21"/>
                <w:szCs w:val="21"/>
                <w:highlight w:val="none"/>
                <w:lang w:val="en-US" w:eastAsia="zh-CN" w:bidi="ar-SA"/>
              </w:rPr>
              <w:t>预算数</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增减额</w:t>
            </w: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财政支出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预算数</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spacing w:val="-4"/>
                <w:kern w:val="0"/>
                <w:sz w:val="21"/>
                <w:szCs w:val="21"/>
                <w:highlight w:val="none"/>
                <w:lang w:val="en-US"/>
              </w:rPr>
            </w:pPr>
            <w:r>
              <w:rPr>
                <w:rFonts w:hint="eastAsia" w:ascii="宋体" w:hAnsi="宋体" w:eastAsia="宋体" w:cs="宋体"/>
                <w:b/>
                <w:bCs w:val="0"/>
                <w:color w:val="000000"/>
                <w:spacing w:val="-4"/>
                <w:kern w:val="0"/>
                <w:sz w:val="21"/>
                <w:szCs w:val="21"/>
                <w:highlight w:val="none"/>
                <w:lang w:val="en-US" w:eastAsia="zh-CN" w:bidi="ar-SA"/>
              </w:rPr>
              <w:t>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spacing w:val="-4"/>
                <w:kern w:val="0"/>
                <w:sz w:val="21"/>
                <w:szCs w:val="21"/>
                <w:highlight w:val="none"/>
                <w:lang w:val="en-US" w:eastAsia="zh-CN" w:bidi="ar-SA"/>
              </w:rPr>
              <w:t>预算数</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增减额</w:t>
            </w:r>
          </w:p>
        </w:tc>
      </w:tr>
      <w:tr>
        <w:tblPrEx>
          <w:tblLayout w:type="fixed"/>
          <w:tblCellMar>
            <w:top w:w="0" w:type="dxa"/>
            <w:left w:w="108" w:type="dxa"/>
            <w:bottom w:w="0" w:type="dxa"/>
            <w:right w:w="108" w:type="dxa"/>
          </w:tblCellMar>
        </w:tblPrEx>
        <w:trPr>
          <w:trHeight w:val="305" w:hRule="atLeast"/>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总  计</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497189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 xml:space="preserve">637189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140000</w:t>
            </w: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总  计</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497189 </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637189 </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140000</w:t>
            </w: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一、本级收入合计</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321600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 xml:space="preserve">321600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一、本级支出合计</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235894 </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 xml:space="preserve">375894 </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140000</w:t>
            </w: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(一)国有土地收益基金收入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color w:val="000000"/>
                <w:kern w:val="0"/>
                <w:sz w:val="21"/>
                <w:szCs w:val="21"/>
                <w:highlight w:val="none"/>
                <w:lang w:val="en-US" w:eastAsia="zh-CN" w:bidi="ar-SA"/>
              </w:rPr>
              <w:t>(一)社会保障和就业支出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2776</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2776</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(二)农业土地开发资金收入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(二)城乡社区支出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40706</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40706</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(三)国有土地使用权出让收入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305755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305755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(三)农林水支出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3645</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3645</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305" w:hRule="atLeast"/>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(四)大中型水库库区基金收入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(四)其他支出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159432</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299432</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140000</w:t>
            </w:r>
          </w:p>
        </w:tc>
      </w:tr>
      <w:tr>
        <w:tblPrEx>
          <w:tblLayout w:type="fixed"/>
          <w:tblCellMar>
            <w:top w:w="0" w:type="dxa"/>
            <w:left w:w="108" w:type="dxa"/>
            <w:bottom w:w="0" w:type="dxa"/>
            <w:right w:w="108" w:type="dxa"/>
          </w:tblCellMar>
        </w:tblPrEx>
        <w:trPr>
          <w:trHeight w:val="305" w:hRule="atLeast"/>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(五)彩票公益金收入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leftChars="0" w:right="0" w:rightChars="0" w:firstLine="0" w:firstLineChars="0"/>
              <w:jc w:val="left"/>
              <w:textAlignment w:val="center"/>
              <w:outlineLvl w:val="9"/>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    其他地方自行试点项目收益专项债券收入安排的支出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157030</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297030</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140000</w:t>
            </w: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(六)城市基础设施配套费收入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4000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4000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    彩票公益金安排的支出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2402</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2402</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(七)小型水库移民扶助基金收入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(五)债务付息支出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28599</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28599</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trHeight w:val="451" w:hRule="atLeast"/>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(八)污水处理费收入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1000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1000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(六)债务发行费用支出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1</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1</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(九)其他政府性基金收入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10845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10845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(七)抗疫特别国债安排的支出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735</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color w:val="000000"/>
                <w:highlight w:val="none"/>
                <w:lang w:val="en-US" w:eastAsia="zh-CN"/>
              </w:rPr>
              <w:t>735</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二、转移性收入合计</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
                <w:bCs w:val="0"/>
                <w:color w:val="000000"/>
                <w:kern w:val="0"/>
                <w:sz w:val="21"/>
                <w:szCs w:val="21"/>
                <w:highlight w:val="none"/>
                <w:lang w:val="en-US" w:eastAsia="zh-CN" w:bidi="ar-SA"/>
              </w:rPr>
              <w:t>175589</w:t>
            </w:r>
            <w:r>
              <w:rPr>
                <w:rFonts w:hint="eastAsia" w:ascii="宋体" w:hAnsi="宋体" w:eastAsia="宋体" w:cs="宋体"/>
                <w:bCs/>
                <w:color w:val="000000"/>
                <w:kern w:val="0"/>
                <w:sz w:val="21"/>
                <w:szCs w:val="21"/>
                <w:highlight w:val="none"/>
                <w:lang w:val="en-US" w:eastAsia="zh-CN" w:bidi="ar-SA"/>
              </w:rPr>
              <w:t xml:space="preserve">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315589</w:t>
            </w:r>
            <w:r>
              <w:rPr>
                <w:rFonts w:hint="eastAsia" w:ascii="宋体" w:hAnsi="宋体" w:eastAsia="宋体" w:cs="宋体"/>
                <w:bCs/>
                <w:color w:val="000000"/>
                <w:kern w:val="0"/>
                <w:sz w:val="21"/>
                <w:szCs w:val="21"/>
                <w:highlight w:val="none"/>
                <w:lang w:val="en-US" w:eastAsia="zh-CN" w:bidi="ar-SA"/>
              </w:rPr>
              <w:t xml:space="preserve">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140000</w:t>
            </w: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二、转移性支出合计</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261295</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
                <w:bCs w:val="0"/>
                <w:color w:val="000000"/>
                <w:kern w:val="0"/>
                <w:sz w:val="21"/>
                <w:szCs w:val="21"/>
                <w:highlight w:val="none"/>
                <w:lang w:val="en-US"/>
              </w:rPr>
            </w:pPr>
            <w:r>
              <w:rPr>
                <w:rFonts w:hint="eastAsia" w:ascii="宋体" w:hAnsi="宋体" w:eastAsia="宋体" w:cs="宋体"/>
                <w:b/>
                <w:bCs w:val="0"/>
                <w:color w:val="000000"/>
                <w:kern w:val="0"/>
                <w:sz w:val="21"/>
                <w:szCs w:val="21"/>
                <w:highlight w:val="none"/>
                <w:lang w:val="en-US" w:eastAsia="zh-CN" w:bidi="ar-SA"/>
              </w:rPr>
              <w:t>261295</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
                <w:bCs w:val="0"/>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(一)市级补助收入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9099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9099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(一)上解支出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(二)乡镇上解收入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(二)调出资金</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261295</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rPr>
              <w:t>261295</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(三)地方政府专项债券转贷收入</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160000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300000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140000</w:t>
            </w: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(三)地方政府专项债务还本支出</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r>
        <w:tblPrEx>
          <w:tblLayout w:type="fixed"/>
          <w:tblCellMar>
            <w:top w:w="0" w:type="dxa"/>
            <w:left w:w="108" w:type="dxa"/>
            <w:bottom w:w="0" w:type="dxa"/>
            <w:right w:w="108" w:type="dxa"/>
          </w:tblCellMar>
        </w:tblPrEx>
        <w:trPr>
          <w:jc w:val="center"/>
        </w:trPr>
        <w:tc>
          <w:tcPr>
            <w:tcW w:w="39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(四)上年结转</w:t>
            </w:r>
          </w:p>
        </w:tc>
        <w:tc>
          <w:tcPr>
            <w:tcW w:w="9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eastAsia="zh-CN" w:bidi="ar-SA"/>
              </w:rPr>
            </w:pPr>
            <w:r>
              <w:rPr>
                <w:rFonts w:hint="eastAsia" w:ascii="宋体" w:hAnsi="宋体" w:eastAsia="宋体" w:cs="宋体"/>
                <w:bCs/>
                <w:color w:val="000000"/>
                <w:kern w:val="0"/>
                <w:sz w:val="21"/>
                <w:szCs w:val="21"/>
                <w:highlight w:val="none"/>
                <w:lang w:val="en-US" w:eastAsia="zh-CN" w:bidi="ar-SA"/>
              </w:rPr>
              <w:t xml:space="preserve">6490 </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center"/>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 xml:space="preserve">6490 </w:t>
            </w:r>
          </w:p>
        </w:tc>
        <w:tc>
          <w:tcPr>
            <w:tcW w:w="11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3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宋体" w:hAnsi="宋体" w:eastAsia="宋体" w:cs="宋体"/>
                <w:bCs/>
                <w:color w:val="000000"/>
                <w:kern w:val="0"/>
                <w:sz w:val="21"/>
                <w:szCs w:val="21"/>
                <w:highlight w:val="none"/>
                <w:lang w:val="en-US"/>
              </w:rPr>
            </w:pPr>
            <w:r>
              <w:rPr>
                <w:rFonts w:hint="eastAsia" w:ascii="宋体" w:hAnsi="宋体" w:eastAsia="宋体" w:cs="宋体"/>
                <w:bCs/>
                <w:color w:val="000000"/>
                <w:kern w:val="0"/>
                <w:sz w:val="21"/>
                <w:szCs w:val="21"/>
                <w:highlight w:val="none"/>
                <w:lang w:val="en-US" w:eastAsia="zh-CN" w:bidi="ar-SA"/>
              </w:rPr>
              <w:t>(四)结转下年</w:t>
            </w:r>
          </w:p>
        </w:tc>
        <w:tc>
          <w:tcPr>
            <w:tcW w:w="10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宋体" w:hAnsi="宋体" w:eastAsia="宋体" w:cs="宋体"/>
                <w:bCs/>
                <w:color w:val="000000"/>
                <w:kern w:val="0"/>
                <w:sz w:val="21"/>
                <w:szCs w:val="21"/>
                <w:highlight w:val="none"/>
                <w:lang w:val="en-US"/>
              </w:rPr>
            </w:pPr>
          </w:p>
        </w:tc>
      </w:tr>
    </w:tbl>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default" w:ascii="Times New Roman" w:hAnsi="Times New Roman" w:cs="Times New Roman"/>
          <w:color w:val="000000"/>
          <w:lang w:val="en-US" w:eastAsia="zh-CN"/>
        </w:rPr>
      </w:pPr>
    </w:p>
    <w:sectPr>
      <w:pgSz w:w="16838" w:h="11906" w:orient="landscape"/>
      <w:pgMar w:top="1587" w:right="1417" w:bottom="1474" w:left="1417" w:header="851" w:footer="1304" w:gutter="0"/>
      <w:paperSrc/>
      <w:cols w:space="720" w:num="1"/>
      <w:rtlGutter w:val="0"/>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
    <w:altName w:val="方正仿宋_GBK"/>
    <w:panose1 w:val="03000509000000000000"/>
    <w:charset w:val="86"/>
    <w:family w:val="script"/>
    <w:pitch w:val="default"/>
    <w:sig w:usb0="00000001" w:usb1="080E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57" w:right="357"/>
      <w:jc w:val="right"/>
    </w:pPr>
    <w:r>
      <w:rPr>
        <w:rFonts w:ascii="宋体" w:hAnsi="宋体"/>
        <w:sz w:val="28"/>
      </w:rPr>
      <w:t xml:space="preserve">— </w:t>
    </w:r>
    <w:r>
      <w:rPr>
        <w:rFonts w:ascii="宋体" w:hAnsi="宋体"/>
        <w:sz w:val="28"/>
      </w:rPr>
      <w:fldChar w:fldCharType="begin"/>
    </w:r>
    <w:r>
      <w:rPr>
        <w:rStyle w:val="20"/>
        <w:rFonts w:ascii="宋体" w:hAnsi="宋体"/>
        <w:sz w:val="28"/>
      </w:rPr>
      <w:instrText xml:space="preserve">PAGE  </w:instrText>
    </w:r>
    <w:r>
      <w:rPr>
        <w:rFonts w:ascii="宋体" w:hAnsi="宋体"/>
        <w:sz w:val="28"/>
      </w:rPr>
      <w:fldChar w:fldCharType="separate"/>
    </w:r>
    <w:r>
      <w:rPr>
        <w:rStyle w:val="20"/>
        <w:rFonts w:ascii="宋体" w:hAnsi="宋体"/>
        <w:sz w:val="28"/>
      </w:rPr>
      <w:t>1</w:t>
    </w:r>
    <w:r>
      <w:rPr>
        <w:rFonts w:ascii="宋体" w:hAnsi="宋体"/>
        <w:sz w:val="28"/>
      </w:rPr>
      <w:fldChar w:fldCharType="end"/>
    </w:r>
    <w:r>
      <w:rPr>
        <w:rStyle w:val="20"/>
        <w:rFonts w:ascii="宋体" w:hAnsi="宋体"/>
        <w:sz w:val="28"/>
      </w:rPr>
      <w:t xml:space="preserve"> </w:t>
    </w:r>
    <w:r>
      <w:rPr>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57" w:right="357"/>
      <w:jc w:val="both"/>
      <w:rPr>
        <w:rFonts w:hint="eastAsia" w:ascii="宋体" w:hAnsi="宋体"/>
        <w:sz w:val="28"/>
      </w:rPr>
    </w:pPr>
    <w:r>
      <w:rPr>
        <w:rFonts w:ascii="宋体" w:hAnsi="宋体"/>
        <w:sz w:val="28"/>
      </w:rPr>
      <w:t xml:space="preserve">— </w:t>
    </w:r>
    <w:r>
      <w:rPr>
        <w:rFonts w:ascii="宋体" w:hAnsi="宋体"/>
        <w:sz w:val="28"/>
      </w:rPr>
      <w:fldChar w:fldCharType="begin"/>
    </w:r>
    <w:r>
      <w:rPr>
        <w:rStyle w:val="20"/>
        <w:rFonts w:ascii="宋体" w:hAnsi="宋体"/>
        <w:sz w:val="28"/>
      </w:rPr>
      <w:instrText xml:space="preserve">PAGE  </w:instrText>
    </w:r>
    <w:r>
      <w:rPr>
        <w:rFonts w:ascii="宋体" w:hAnsi="宋体"/>
        <w:sz w:val="28"/>
      </w:rPr>
      <w:fldChar w:fldCharType="separate"/>
    </w:r>
    <w:r>
      <w:rPr>
        <w:rStyle w:val="20"/>
        <w:rFonts w:ascii="宋体" w:hAnsi="宋体"/>
        <w:sz w:val="28"/>
      </w:rPr>
      <w:t>2</w:t>
    </w:r>
    <w:r>
      <w:rPr>
        <w:rFonts w:ascii="宋体" w:hAnsi="宋体"/>
        <w:sz w:val="28"/>
      </w:rPr>
      <w:fldChar w:fldCharType="end"/>
    </w:r>
    <w:r>
      <w:rPr>
        <w:rStyle w:val="20"/>
        <w:rFonts w:ascii="宋体" w:hAnsi="宋体"/>
        <w:sz w:val="28"/>
      </w:rPr>
      <w:t xml:space="preserve"> </w:t>
    </w:r>
    <w:r>
      <w:rPr>
        <w:rFonts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hyphenationZone w:val="360"/>
  <w:evenAndOddHeaders w:val="1"/>
  <w:drawingGridHorizontalSpacing w:val="31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0813"/>
    <w:rsid w:val="000030BE"/>
    <w:rsid w:val="00004A82"/>
    <w:rsid w:val="00007DAC"/>
    <w:rsid w:val="000134F2"/>
    <w:rsid w:val="0001357A"/>
    <w:rsid w:val="000208FE"/>
    <w:rsid w:val="00023A38"/>
    <w:rsid w:val="00033FAA"/>
    <w:rsid w:val="0004044D"/>
    <w:rsid w:val="00047CA8"/>
    <w:rsid w:val="0005147D"/>
    <w:rsid w:val="00055D00"/>
    <w:rsid w:val="00057F1D"/>
    <w:rsid w:val="000640BA"/>
    <w:rsid w:val="000729A3"/>
    <w:rsid w:val="00074998"/>
    <w:rsid w:val="000755C0"/>
    <w:rsid w:val="00076253"/>
    <w:rsid w:val="00077CE0"/>
    <w:rsid w:val="00083A59"/>
    <w:rsid w:val="00087753"/>
    <w:rsid w:val="00091909"/>
    <w:rsid w:val="0009205A"/>
    <w:rsid w:val="000A3E65"/>
    <w:rsid w:val="000B3058"/>
    <w:rsid w:val="000B3335"/>
    <w:rsid w:val="000B4BB4"/>
    <w:rsid w:val="000B7B75"/>
    <w:rsid w:val="000C421C"/>
    <w:rsid w:val="000C731D"/>
    <w:rsid w:val="000E7228"/>
    <w:rsid w:val="000F4835"/>
    <w:rsid w:val="00104D50"/>
    <w:rsid w:val="001063D0"/>
    <w:rsid w:val="0011182C"/>
    <w:rsid w:val="00113561"/>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80143"/>
    <w:rsid w:val="001851FB"/>
    <w:rsid w:val="001B3E63"/>
    <w:rsid w:val="001B6A33"/>
    <w:rsid w:val="001B793F"/>
    <w:rsid w:val="001C28B6"/>
    <w:rsid w:val="001C600E"/>
    <w:rsid w:val="001E02A1"/>
    <w:rsid w:val="001E3685"/>
    <w:rsid w:val="001E461F"/>
    <w:rsid w:val="001F164D"/>
    <w:rsid w:val="001F6E5F"/>
    <w:rsid w:val="00204134"/>
    <w:rsid w:val="00212D2B"/>
    <w:rsid w:val="002144E5"/>
    <w:rsid w:val="00216F1D"/>
    <w:rsid w:val="0022672F"/>
    <w:rsid w:val="0023638D"/>
    <w:rsid w:val="00240A4B"/>
    <w:rsid w:val="00247B75"/>
    <w:rsid w:val="002509E2"/>
    <w:rsid w:val="0025421C"/>
    <w:rsid w:val="002542A4"/>
    <w:rsid w:val="0025718D"/>
    <w:rsid w:val="00264096"/>
    <w:rsid w:val="002734E0"/>
    <w:rsid w:val="00286EAC"/>
    <w:rsid w:val="00291410"/>
    <w:rsid w:val="00296FBA"/>
    <w:rsid w:val="002A6E74"/>
    <w:rsid w:val="002B0A00"/>
    <w:rsid w:val="002B48E7"/>
    <w:rsid w:val="002B6E94"/>
    <w:rsid w:val="002C0303"/>
    <w:rsid w:val="002C15D5"/>
    <w:rsid w:val="002C3CE2"/>
    <w:rsid w:val="002D02C7"/>
    <w:rsid w:val="002D6F70"/>
    <w:rsid w:val="002E45CB"/>
    <w:rsid w:val="002F0405"/>
    <w:rsid w:val="002F2257"/>
    <w:rsid w:val="002F342D"/>
    <w:rsid w:val="00307940"/>
    <w:rsid w:val="00310A1B"/>
    <w:rsid w:val="00312022"/>
    <w:rsid w:val="0032127C"/>
    <w:rsid w:val="0033472B"/>
    <w:rsid w:val="00350BA0"/>
    <w:rsid w:val="00354E44"/>
    <w:rsid w:val="0035502B"/>
    <w:rsid w:val="0035586A"/>
    <w:rsid w:val="00364A36"/>
    <w:rsid w:val="00383541"/>
    <w:rsid w:val="003931D5"/>
    <w:rsid w:val="00395CC2"/>
    <w:rsid w:val="003A4156"/>
    <w:rsid w:val="003A52F3"/>
    <w:rsid w:val="003C257D"/>
    <w:rsid w:val="003C26A7"/>
    <w:rsid w:val="003E4D8A"/>
    <w:rsid w:val="003E6CC7"/>
    <w:rsid w:val="00400970"/>
    <w:rsid w:val="004030A6"/>
    <w:rsid w:val="004054ED"/>
    <w:rsid w:val="00405845"/>
    <w:rsid w:val="00425B0C"/>
    <w:rsid w:val="00430DEE"/>
    <w:rsid w:val="0043208F"/>
    <w:rsid w:val="004371A9"/>
    <w:rsid w:val="00443158"/>
    <w:rsid w:val="00443D5C"/>
    <w:rsid w:val="00445320"/>
    <w:rsid w:val="00453888"/>
    <w:rsid w:val="0045392E"/>
    <w:rsid w:val="00453A42"/>
    <w:rsid w:val="00455337"/>
    <w:rsid w:val="00456048"/>
    <w:rsid w:val="00457D7C"/>
    <w:rsid w:val="00463B1B"/>
    <w:rsid w:val="0046447D"/>
    <w:rsid w:val="00476CB0"/>
    <w:rsid w:val="00476F4F"/>
    <w:rsid w:val="00483539"/>
    <w:rsid w:val="00491446"/>
    <w:rsid w:val="00491DA4"/>
    <w:rsid w:val="00494BD3"/>
    <w:rsid w:val="004A373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7AB2"/>
    <w:rsid w:val="0063637C"/>
    <w:rsid w:val="006368BB"/>
    <w:rsid w:val="00637048"/>
    <w:rsid w:val="00637E40"/>
    <w:rsid w:val="00647039"/>
    <w:rsid w:val="006473DA"/>
    <w:rsid w:val="006501DC"/>
    <w:rsid w:val="00650753"/>
    <w:rsid w:val="00651111"/>
    <w:rsid w:val="00656A85"/>
    <w:rsid w:val="00665830"/>
    <w:rsid w:val="00666B5A"/>
    <w:rsid w:val="006712FD"/>
    <w:rsid w:val="006748A9"/>
    <w:rsid w:val="00686C93"/>
    <w:rsid w:val="00690221"/>
    <w:rsid w:val="006A15CF"/>
    <w:rsid w:val="006C596A"/>
    <w:rsid w:val="006F45EC"/>
    <w:rsid w:val="006F4649"/>
    <w:rsid w:val="006F466C"/>
    <w:rsid w:val="00704674"/>
    <w:rsid w:val="007142CB"/>
    <w:rsid w:val="00717AA8"/>
    <w:rsid w:val="00717FD5"/>
    <w:rsid w:val="00732C97"/>
    <w:rsid w:val="0073445B"/>
    <w:rsid w:val="00735B3F"/>
    <w:rsid w:val="007375CD"/>
    <w:rsid w:val="00751D7F"/>
    <w:rsid w:val="0075235A"/>
    <w:rsid w:val="0075338B"/>
    <w:rsid w:val="0075616D"/>
    <w:rsid w:val="00756416"/>
    <w:rsid w:val="00770155"/>
    <w:rsid w:val="00770FED"/>
    <w:rsid w:val="00782262"/>
    <w:rsid w:val="007825DE"/>
    <w:rsid w:val="007844BD"/>
    <w:rsid w:val="00784FA3"/>
    <w:rsid w:val="00790569"/>
    <w:rsid w:val="00793BCF"/>
    <w:rsid w:val="007A3080"/>
    <w:rsid w:val="007C1CF3"/>
    <w:rsid w:val="007C474F"/>
    <w:rsid w:val="007C4F09"/>
    <w:rsid w:val="007C663C"/>
    <w:rsid w:val="007C722C"/>
    <w:rsid w:val="007D08D6"/>
    <w:rsid w:val="007D0C3B"/>
    <w:rsid w:val="007D2AE8"/>
    <w:rsid w:val="007F13E9"/>
    <w:rsid w:val="007F6198"/>
    <w:rsid w:val="0080171A"/>
    <w:rsid w:val="00807F90"/>
    <w:rsid w:val="008101B6"/>
    <w:rsid w:val="00810C1B"/>
    <w:rsid w:val="0081418F"/>
    <w:rsid w:val="00815C92"/>
    <w:rsid w:val="0083154F"/>
    <w:rsid w:val="00845E2D"/>
    <w:rsid w:val="00846B23"/>
    <w:rsid w:val="00870AC7"/>
    <w:rsid w:val="00883195"/>
    <w:rsid w:val="00885F43"/>
    <w:rsid w:val="008B2239"/>
    <w:rsid w:val="008B76A0"/>
    <w:rsid w:val="008C0C67"/>
    <w:rsid w:val="008C573C"/>
    <w:rsid w:val="008C7ECB"/>
    <w:rsid w:val="008E22B5"/>
    <w:rsid w:val="008E357B"/>
    <w:rsid w:val="008E616F"/>
    <w:rsid w:val="008F3BAD"/>
    <w:rsid w:val="0090351C"/>
    <w:rsid w:val="0090395B"/>
    <w:rsid w:val="00904C42"/>
    <w:rsid w:val="00906E9F"/>
    <w:rsid w:val="00907BA8"/>
    <w:rsid w:val="00910480"/>
    <w:rsid w:val="00916235"/>
    <w:rsid w:val="00917E5F"/>
    <w:rsid w:val="00936FA7"/>
    <w:rsid w:val="00940F9F"/>
    <w:rsid w:val="00946538"/>
    <w:rsid w:val="0095786E"/>
    <w:rsid w:val="00957D13"/>
    <w:rsid w:val="00960783"/>
    <w:rsid w:val="00962988"/>
    <w:rsid w:val="009734DC"/>
    <w:rsid w:val="00976A16"/>
    <w:rsid w:val="00991230"/>
    <w:rsid w:val="009919DB"/>
    <w:rsid w:val="009956A0"/>
    <w:rsid w:val="0099576E"/>
    <w:rsid w:val="009A4D42"/>
    <w:rsid w:val="009A66A9"/>
    <w:rsid w:val="009B367F"/>
    <w:rsid w:val="009B581F"/>
    <w:rsid w:val="009C05FC"/>
    <w:rsid w:val="009C5485"/>
    <w:rsid w:val="009C6FBE"/>
    <w:rsid w:val="009D59F0"/>
    <w:rsid w:val="009E7ECE"/>
    <w:rsid w:val="009F0EE7"/>
    <w:rsid w:val="009F6D9E"/>
    <w:rsid w:val="009F7445"/>
    <w:rsid w:val="009F74DE"/>
    <w:rsid w:val="00A02353"/>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6D2B"/>
    <w:rsid w:val="00AA2011"/>
    <w:rsid w:val="00AA62B0"/>
    <w:rsid w:val="00AC610A"/>
    <w:rsid w:val="00AD3523"/>
    <w:rsid w:val="00AF1BF7"/>
    <w:rsid w:val="00AF7B1B"/>
    <w:rsid w:val="00B026E2"/>
    <w:rsid w:val="00B0739E"/>
    <w:rsid w:val="00B078C0"/>
    <w:rsid w:val="00B1212D"/>
    <w:rsid w:val="00B20F6B"/>
    <w:rsid w:val="00B244C2"/>
    <w:rsid w:val="00B26744"/>
    <w:rsid w:val="00B364B7"/>
    <w:rsid w:val="00B40170"/>
    <w:rsid w:val="00B416E0"/>
    <w:rsid w:val="00B424CB"/>
    <w:rsid w:val="00B530A0"/>
    <w:rsid w:val="00B57356"/>
    <w:rsid w:val="00B7618C"/>
    <w:rsid w:val="00B94B73"/>
    <w:rsid w:val="00BA1262"/>
    <w:rsid w:val="00BA6F30"/>
    <w:rsid w:val="00BA7430"/>
    <w:rsid w:val="00BC120E"/>
    <w:rsid w:val="00BC1880"/>
    <w:rsid w:val="00BD15E0"/>
    <w:rsid w:val="00BD44A6"/>
    <w:rsid w:val="00BD6509"/>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2D21"/>
    <w:rsid w:val="00C7296F"/>
    <w:rsid w:val="00C73BA7"/>
    <w:rsid w:val="00CB4433"/>
    <w:rsid w:val="00CC661D"/>
    <w:rsid w:val="00CD52A1"/>
    <w:rsid w:val="00CE0147"/>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677AB"/>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23BD"/>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4448"/>
    <w:rsid w:val="00E651AF"/>
    <w:rsid w:val="00E73078"/>
    <w:rsid w:val="00E80517"/>
    <w:rsid w:val="00E811EF"/>
    <w:rsid w:val="00ED24F7"/>
    <w:rsid w:val="00ED490D"/>
    <w:rsid w:val="00ED5A3B"/>
    <w:rsid w:val="00EF1117"/>
    <w:rsid w:val="00EF5C27"/>
    <w:rsid w:val="00EF5FCB"/>
    <w:rsid w:val="00EF683E"/>
    <w:rsid w:val="00F04C94"/>
    <w:rsid w:val="00F04EB8"/>
    <w:rsid w:val="00F06610"/>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03BB"/>
    <w:rsid w:val="00F84D34"/>
    <w:rsid w:val="00F927AE"/>
    <w:rsid w:val="00F94696"/>
    <w:rsid w:val="00F97268"/>
    <w:rsid w:val="00FA0415"/>
    <w:rsid w:val="00FB1256"/>
    <w:rsid w:val="00FE155D"/>
    <w:rsid w:val="00FE56E4"/>
    <w:rsid w:val="00FF0646"/>
    <w:rsid w:val="00FF12B7"/>
    <w:rsid w:val="00FF2460"/>
    <w:rsid w:val="00FF6758"/>
    <w:rsid w:val="018D2AD8"/>
    <w:rsid w:val="07B24EDC"/>
    <w:rsid w:val="0C77050D"/>
    <w:rsid w:val="0F9F790C"/>
    <w:rsid w:val="17BE431F"/>
    <w:rsid w:val="17E905F4"/>
    <w:rsid w:val="1C744CBF"/>
    <w:rsid w:val="1D2A14E0"/>
    <w:rsid w:val="24A45A29"/>
    <w:rsid w:val="24B45352"/>
    <w:rsid w:val="2C3FAE49"/>
    <w:rsid w:val="2F987E77"/>
    <w:rsid w:val="2FA35613"/>
    <w:rsid w:val="30F94D25"/>
    <w:rsid w:val="334B2535"/>
    <w:rsid w:val="372E2F59"/>
    <w:rsid w:val="37FD2716"/>
    <w:rsid w:val="38180A03"/>
    <w:rsid w:val="38C80B79"/>
    <w:rsid w:val="39F90126"/>
    <w:rsid w:val="3B654B55"/>
    <w:rsid w:val="3CDD5198"/>
    <w:rsid w:val="3EC229EC"/>
    <w:rsid w:val="3FFB4EA7"/>
    <w:rsid w:val="3FFC5CD3"/>
    <w:rsid w:val="460B2BE1"/>
    <w:rsid w:val="4714760F"/>
    <w:rsid w:val="4BFD6BD6"/>
    <w:rsid w:val="4DF47B3D"/>
    <w:rsid w:val="506138F2"/>
    <w:rsid w:val="51995205"/>
    <w:rsid w:val="547B282F"/>
    <w:rsid w:val="591166C0"/>
    <w:rsid w:val="59CD824B"/>
    <w:rsid w:val="5ABE0C5D"/>
    <w:rsid w:val="5B5D909F"/>
    <w:rsid w:val="5C8B1BB7"/>
    <w:rsid w:val="5DCC270D"/>
    <w:rsid w:val="629F25C1"/>
    <w:rsid w:val="640E3D34"/>
    <w:rsid w:val="66CF0479"/>
    <w:rsid w:val="67BD3490"/>
    <w:rsid w:val="69A8BA07"/>
    <w:rsid w:val="6D5E1634"/>
    <w:rsid w:val="6F68556C"/>
    <w:rsid w:val="7233AF30"/>
    <w:rsid w:val="74FF6513"/>
    <w:rsid w:val="75FB55E1"/>
    <w:rsid w:val="77B7E528"/>
    <w:rsid w:val="7BF61645"/>
    <w:rsid w:val="7D5B6EBA"/>
    <w:rsid w:val="7E0F5D80"/>
    <w:rsid w:val="7F4B4027"/>
    <w:rsid w:val="7FDD24DA"/>
    <w:rsid w:val="7FFE41B7"/>
    <w:rsid w:val="7FFF64B3"/>
    <w:rsid w:val="A77FC00C"/>
    <w:rsid w:val="BFFF719E"/>
    <w:rsid w:val="C3F771D7"/>
    <w:rsid w:val="D6DF6915"/>
    <w:rsid w:val="DDBF1C5A"/>
    <w:rsid w:val="DDFE757B"/>
    <w:rsid w:val="DFF11302"/>
    <w:rsid w:val="E9071DAF"/>
    <w:rsid w:val="EEDB483C"/>
    <w:rsid w:val="EF1FE601"/>
    <w:rsid w:val="F9D75BDD"/>
    <w:rsid w:val="FBFF0462"/>
    <w:rsid w:val="FD88313E"/>
    <w:rsid w:val="FDBD68E5"/>
    <w:rsid w:val="FFFFBED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Cambria" w:hAnsi="Cambria" w:eastAsia="宋体"/>
      <w:b/>
      <w:bCs/>
      <w:szCs w:val="32"/>
    </w:rPr>
  </w:style>
  <w:style w:type="paragraph" w:styleId="2">
    <w:name w:val="heading 4"/>
    <w:basedOn w:val="3"/>
    <w:next w:val="1"/>
    <w:unhideWhenUsed/>
    <w:qFormat/>
    <w:uiPriority w:val="0"/>
    <w:pPr>
      <w:spacing w:before="280" w:beforeLines="0" w:after="290" w:afterLines="0" w:line="376" w:lineRule="auto"/>
      <w:outlineLvl w:val="3"/>
    </w:pPr>
    <w:rPr>
      <w:rFonts w:ascii="Calibri Light" w:hAnsi="Calibri Light" w:eastAsia="宋体" w:cs="Times New Roman"/>
      <w:sz w:val="28"/>
      <w:szCs w:val="28"/>
    </w:rPr>
  </w:style>
  <w:style w:type="character" w:default="1" w:styleId="17">
    <w:name w:val="Default Paragraph Font"/>
    <w:link w:val="18"/>
    <w:semiHidden/>
    <w:qFormat/>
    <w:uiPriority w:val="0"/>
  </w:style>
  <w:style w:type="table" w:default="1" w:styleId="21">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21"/>
      <w:tblLayout w:type="fixed"/>
      <w:tblCellMar>
        <w:top w:w="0" w:type="dxa"/>
        <w:left w:w="108" w:type="dxa"/>
        <w:bottom w:w="0" w:type="dxa"/>
        <w:right w:w="108" w:type="dxa"/>
      </w:tblCellMar>
    </w:tblPr>
    <w:tcPr>
      <w:textDirection w:val="lrTb"/>
    </w:tcPr>
  </w:style>
  <w:style w:type="paragraph" w:styleId="4">
    <w:name w:val="Body Text First Indent"/>
    <w:basedOn w:val="5"/>
    <w:uiPriority w:val="0"/>
    <w:pPr>
      <w:ind w:firstLine="420" w:firstLineChars="100"/>
    </w:pPr>
  </w:style>
  <w:style w:type="paragraph" w:styleId="5">
    <w:name w:val="Body Text"/>
    <w:basedOn w:val="1"/>
    <w:next w:val="4"/>
    <w:link w:val="34"/>
    <w:uiPriority w:val="0"/>
    <w:rPr>
      <w:sz w:val="28"/>
    </w:rPr>
  </w:style>
  <w:style w:type="paragraph" w:styleId="6">
    <w:name w:val="Normal Indent"/>
    <w:basedOn w:val="1"/>
    <w:qFormat/>
    <w:uiPriority w:val="0"/>
    <w:pPr>
      <w:ind w:firstLine="420" w:firstLineChars="200"/>
    </w:pPr>
  </w:style>
  <w:style w:type="paragraph" w:styleId="7">
    <w:name w:val="Body Text Indent"/>
    <w:basedOn w:val="1"/>
    <w:uiPriority w:val="0"/>
    <w:pPr>
      <w:ind w:firstLine="630" w:firstLineChars="200"/>
    </w:pPr>
    <w:rPr>
      <w:rFonts w:ascii="仿宋_GB2312" w:eastAsia="仿宋_GB2312"/>
    </w:rPr>
  </w:style>
  <w:style w:type="paragraph" w:styleId="8">
    <w:name w:val="toc 5"/>
    <w:basedOn w:val="1"/>
    <w:next w:val="1"/>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9">
    <w:name w:val="Date"/>
    <w:basedOn w:val="1"/>
    <w:next w:val="1"/>
    <w:uiPriority w:val="0"/>
    <w:pPr>
      <w:ind w:left="100" w:leftChars="2500"/>
    </w:pPr>
    <w:rPr>
      <w:rFonts w:eastAsia="宋体"/>
    </w:rPr>
  </w:style>
  <w:style w:type="paragraph" w:styleId="10">
    <w:name w:val="Body Text Indent 2"/>
    <w:basedOn w:val="1"/>
    <w:uiPriority w:val="0"/>
    <w:pPr>
      <w:spacing w:line="580" w:lineRule="exact"/>
      <w:ind w:firstLine="645"/>
    </w:pPr>
    <w:rPr>
      <w:rFonts w:ascii="仿宋_GB2312" w:eastAsia="仿宋_GB2312"/>
    </w:rPr>
  </w:style>
  <w:style w:type="paragraph" w:styleId="11">
    <w:name w:val="Balloon Text"/>
    <w:basedOn w:val="1"/>
    <w:uiPriority w:val="0"/>
    <w:rPr>
      <w:sz w:val="18"/>
      <w:szCs w:val="18"/>
    </w:rPr>
  </w:style>
  <w:style w:type="paragraph" w:styleId="12">
    <w:name w:val="footer"/>
    <w:basedOn w:val="1"/>
    <w:link w:val="31"/>
    <w:qFormat/>
    <w:uiPriority w:val="0"/>
    <w:pPr>
      <w:tabs>
        <w:tab w:val="center" w:pos="4153"/>
        <w:tab w:val="right" w:pos="8306"/>
      </w:tabs>
      <w:snapToGrid w:val="0"/>
      <w:jc w:val="left"/>
    </w:pPr>
    <w:rPr>
      <w:sz w:val="18"/>
      <w:szCs w:val="18"/>
    </w:rPr>
  </w:style>
  <w:style w:type="paragraph" w:styleId="13">
    <w:name w:val="Body Text First Indent 2"/>
    <w:basedOn w:val="7"/>
    <w:next w:val="1"/>
    <w:qFormat/>
    <w:uiPriority w:val="0"/>
    <w:pPr>
      <w:ind w:firstLine="420" w:firstLineChars="200"/>
    </w:pPr>
    <w:rPr>
      <w:sz w:val="30"/>
    </w:rPr>
  </w:style>
  <w:style w:type="paragraph" w:styleId="14">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next w:val="13"/>
    <w:semiHidden/>
    <w:qFormat/>
    <w:uiPriority w:val="0"/>
    <w:pPr>
      <w:snapToGrid w:val="0"/>
    </w:pPr>
    <w:rPr>
      <w:sz w:val="18"/>
      <w:szCs w:val="18"/>
    </w:rPr>
  </w:style>
  <w:style w:type="paragraph" w:styleId="16">
    <w:name w:val="Normal (Web)"/>
    <w:basedOn w:val="1"/>
    <w:uiPriority w:val="0"/>
    <w:pPr>
      <w:widowControl/>
      <w:spacing w:before="100" w:beforeAutospacing="1" w:after="100" w:afterAutospacing="1" w:line="480" w:lineRule="auto"/>
      <w:jc w:val="left"/>
    </w:pPr>
    <w:rPr>
      <w:rFonts w:ascii="宋体" w:hAnsi="宋体"/>
      <w:kern w:val="0"/>
      <w:sz w:val="24"/>
    </w:rPr>
  </w:style>
  <w:style w:type="paragraph" w:customStyle="1" w:styleId="18">
    <w:name w:val=" Char"/>
    <w:basedOn w:val="1"/>
    <w:link w:val="17"/>
    <w:uiPriority w:val="0"/>
    <w:pPr>
      <w:widowControl/>
      <w:spacing w:after="160" w:line="240" w:lineRule="exact"/>
      <w:jc w:val="left"/>
    </w:pPr>
    <w:rPr>
      <w:rFonts w:ascii="Verdana" w:hAnsi="Verdana" w:eastAsia="仿宋_GB2312"/>
      <w:kern w:val="0"/>
      <w:sz w:val="24"/>
      <w:szCs w:val="20"/>
      <w:lang w:eastAsia="en-US"/>
    </w:rPr>
  </w:style>
  <w:style w:type="character" w:styleId="19">
    <w:name w:val="Strong"/>
    <w:qFormat/>
    <w:uiPriority w:val="0"/>
    <w:rPr>
      <w:b/>
      <w:bCs/>
    </w:rPr>
  </w:style>
  <w:style w:type="character" w:styleId="20">
    <w:name w:val="page number"/>
    <w:basedOn w:val="17"/>
    <w:qFormat/>
    <w:uiPriority w:val="0"/>
    <w:rPr>
      <w:rFonts w:ascii="Arial" w:hAnsi="Arial" w:cs="Arial"/>
      <w:sz w:val="20"/>
      <w:szCs w:val="20"/>
    </w:r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3">
    <w:name w:val="Char"/>
    <w:basedOn w:val="1"/>
    <w:uiPriority w:val="0"/>
    <w:pPr>
      <w:spacing w:before="100" w:beforeAutospacing="1" w:after="100" w:afterAutospacing="1"/>
    </w:pPr>
    <w:rPr>
      <w:rFonts w:eastAsia="仿宋_GB2312"/>
      <w:sz w:val="32"/>
    </w:rPr>
  </w:style>
  <w:style w:type="paragraph" w:customStyle="1" w:styleId="2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Char Char Char Char"/>
    <w:basedOn w:val="1"/>
    <w:uiPriority w:val="0"/>
  </w:style>
  <w:style w:type="paragraph" w:customStyle="1" w:styleId="26">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7">
    <w:name w:val="Normal Indent1"/>
    <w:basedOn w:val="1"/>
    <w:qFormat/>
    <w:uiPriority w:val="0"/>
    <w:pPr>
      <w:widowControl/>
      <w:ind w:firstLine="567"/>
    </w:pPr>
    <w:rPr>
      <w:szCs w:val="20"/>
    </w:rPr>
  </w:style>
  <w:style w:type="paragraph" w:customStyle="1" w:styleId="28">
    <w:name w:val="默认"/>
    <w:unhideWhenUsed/>
    <w:qFormat/>
    <w:uiPriority w:val="99"/>
    <w:rPr>
      <w:rFonts w:hint="eastAsia" w:ascii="Helvetica" w:hAnsi="Helvetica" w:eastAsia="宋体" w:cs="Times New Roman"/>
      <w:color w:val="000000"/>
      <w:sz w:val="22"/>
      <w:lang w:val="en-US" w:eastAsia="zh-CN" w:bidi="ar-SA"/>
    </w:rPr>
  </w:style>
  <w:style w:type="paragraph" w:customStyle="1" w:styleId="29">
    <w:name w:val="0"/>
    <w:basedOn w:val="1"/>
    <w:uiPriority w:val="0"/>
    <w:pPr>
      <w:widowControl/>
      <w:snapToGrid w:val="0"/>
    </w:pPr>
    <w:rPr>
      <w:kern w:val="0"/>
      <w:szCs w:val="20"/>
    </w:rPr>
  </w:style>
  <w:style w:type="paragraph" w:customStyle="1" w:styleId="30">
    <w:name w:val="UserStyle_1"/>
    <w:basedOn w:val="1"/>
    <w:link w:val="32"/>
    <w:qFormat/>
    <w:uiPriority w:val="0"/>
    <w:rPr>
      <w:rFonts w:ascii="宋体" w:hAnsi="宋体" w:eastAsia="方正仿宋"/>
      <w:color w:val="auto"/>
      <w:spacing w:val="0"/>
      <w:sz w:val="32"/>
      <w:szCs w:val="32"/>
    </w:rPr>
  </w:style>
  <w:style w:type="character" w:customStyle="1" w:styleId="31">
    <w:name w:val="页脚 Char"/>
    <w:basedOn w:val="17"/>
    <w:link w:val="12"/>
    <w:uiPriority w:val="0"/>
    <w:rPr>
      <w:rFonts w:hint="eastAsia" w:ascii="方正仿宋_GBK" w:hAnsi="方正仿宋_GBK" w:eastAsia="方正仿宋_GBK" w:cs="方正仿宋_GBK"/>
      <w:kern w:val="2"/>
      <w:sz w:val="18"/>
      <w:szCs w:val="18"/>
    </w:rPr>
  </w:style>
  <w:style w:type="character" w:customStyle="1" w:styleId="32">
    <w:name w:val="NormalCharacter"/>
    <w:link w:val="30"/>
    <w:qFormat/>
    <w:uiPriority w:val="0"/>
    <w:rPr>
      <w:rFonts w:ascii="宋体" w:hAnsi="宋体" w:eastAsia="方正仿宋"/>
      <w:color w:val="auto"/>
      <w:spacing w:val="0"/>
      <w:sz w:val="32"/>
      <w:szCs w:val="32"/>
    </w:rPr>
  </w:style>
  <w:style w:type="character" w:customStyle="1" w:styleId="33">
    <w:name w:val="页眉 Char"/>
    <w:basedOn w:val="17"/>
    <w:link w:val="14"/>
    <w:uiPriority w:val="0"/>
    <w:rPr>
      <w:rFonts w:hint="eastAsia" w:ascii="方正仿宋_GBK" w:hAnsi="方正仿宋_GBK" w:eastAsia="方正仿宋_GBK" w:cs="方正仿宋_GBK"/>
      <w:kern w:val="2"/>
      <w:sz w:val="18"/>
      <w:szCs w:val="18"/>
    </w:rPr>
  </w:style>
  <w:style w:type="character" w:customStyle="1" w:styleId="34">
    <w:name w:val="正文文本 Char"/>
    <w:basedOn w:val="17"/>
    <w:link w:val="5"/>
    <w:uiPriority w:val="0"/>
    <w:rPr>
      <w:rFonts w:hint="eastAsia" w:ascii="方正仿宋_GBK" w:hAnsi="方正仿宋_GBK" w:eastAsia="方正仿宋_GBK" w:cs="方正仿宋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248</Words>
  <Characters>1418</Characters>
  <Lines>11</Lines>
  <Paragraphs>3</Paragraphs>
  <ScaleCrop>false</ScaleCrop>
  <LinksUpToDate>false</LinksUpToDate>
  <CharactersWithSpaces>1663</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2021-01-26T17:16:00Z</dcterms:created>
  <dc:creator>微软拥护</dc:creator>
  <cp:lastModifiedBy>陈可星</cp:lastModifiedBy>
  <cp:lastPrinted>2023-06-13T09:41:46Z</cp:lastPrinted>
  <dcterms:modified xsi:type="dcterms:W3CDTF">2023-07-05T02:07:43Z</dcterms:modified>
  <dc:title>认真贯彻全市交通建设工作会议精神</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