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720"/>
        <w:rPr>
          <w:rFonts w:hint="eastAsia" w:ascii="方正小标宋_GBK" w:hAnsi="方正小标宋_GBK" w:eastAsia="方正小标宋_GBK" w:cs="方正小标宋_GBK"/>
          <w:sz w:val="44"/>
          <w:szCs w:val="44"/>
        </w:rPr>
      </w:pPr>
    </w:p>
    <w:p>
      <w:pPr>
        <w:pStyle w:val="8"/>
        <w:ind w:firstLine="72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中共垫江县委机构编制委员会办公室</w:t>
      </w:r>
    </w:p>
    <w:p>
      <w:pPr>
        <w:pStyle w:val="8"/>
        <w:ind w:firstLine="72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2021年度部门决算情况说明</w:t>
      </w:r>
    </w:p>
    <w:p>
      <w:pPr>
        <w:pStyle w:val="8"/>
        <w:ind w:firstLine="720"/>
        <w:rPr>
          <w:rFonts w:hint="eastAsia"/>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rFonts w:hint="eastAsia" w:ascii="方正黑体_GBK" w:hAnsi="方正黑体_GBK" w:eastAsia="方正黑体_GBK" w:cs="方正黑体_GBK"/>
          <w:b w:val="0"/>
          <w:bCs/>
          <w:sz w:val="32"/>
          <w:szCs w:val="32"/>
        </w:rPr>
      </w:pPr>
      <w:r>
        <w:rPr>
          <w:rStyle w:val="11"/>
          <w:rFonts w:hint="eastAsia" w:ascii="方正黑体_GBK" w:hAnsi="方正黑体_GBK" w:eastAsia="方正黑体_GBK" w:cs="方正黑体_GBK"/>
          <w:b w:val="0"/>
          <w:bCs/>
          <w:sz w:val="32"/>
          <w:szCs w:val="32"/>
          <w:shd w:val="clear" w:fill="FFFFFF"/>
        </w:rPr>
        <w:t>一、部门基本情况</w:t>
      </w:r>
      <w:bookmarkStart w:id="0" w:name="_GoBack"/>
      <w:bookmarkEnd w:id="0"/>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rFonts w:hint="eastAsia" w:ascii="方正楷体_GBK" w:hAnsi="方正楷体_GBK" w:eastAsia="方正楷体_GBK" w:cs="方正楷体_GBK"/>
          <w:b w:val="0"/>
          <w:bCs/>
          <w:sz w:val="32"/>
          <w:szCs w:val="32"/>
        </w:rPr>
      </w:pPr>
      <w:r>
        <w:rPr>
          <w:rStyle w:val="11"/>
          <w:rFonts w:hint="eastAsia" w:ascii="方正楷体_GBK" w:hAnsi="方正楷体_GBK" w:eastAsia="方正楷体_GBK" w:cs="方正楷体_GBK"/>
          <w:b w:val="0"/>
          <w:bCs/>
          <w:sz w:val="32"/>
          <w:szCs w:val="32"/>
          <w:shd w:val="clear" w:fill="FFFFFF"/>
        </w:rPr>
        <w:t>（一）职能职责</w:t>
      </w:r>
    </w:p>
    <w:p>
      <w:pPr>
        <w:autoSpaceDE w:val="0"/>
        <w:spacing w:line="598" w:lineRule="exact"/>
        <w:ind w:firstLine="640"/>
        <w:rPr>
          <w:rFonts w:hint="default" w:ascii="Times New Roman" w:hAnsi="Times New Roman" w:cs="Times New Roman"/>
          <w:kern w:val="0"/>
          <w:szCs w:val="32"/>
        </w:rPr>
      </w:pPr>
      <w:r>
        <w:rPr>
          <w:rStyle w:val="11"/>
          <w:sz w:val="32"/>
          <w:szCs w:val="32"/>
          <w:shd w:val="clear" w:fill="FFFFFF"/>
        </w:rPr>
        <w:t xml:space="preserve">  </w:t>
      </w:r>
      <w:r>
        <w:rPr>
          <w:rFonts w:hint="default" w:ascii="Times New Roman" w:hAnsi="Times New Roman" w:cs="Times New Roman"/>
          <w:kern w:val="0"/>
          <w:szCs w:val="32"/>
        </w:rPr>
        <w:t>1.贯彻执行中央、市委关于行政管理体制和机构改革、机构编制管理的方针政策、法规制度和决策部署。在县委编委领导下，负责全县党政群机关和事业单位的机构编制管理工作。</w:t>
      </w:r>
    </w:p>
    <w:p>
      <w:pPr>
        <w:autoSpaceDE w:val="0"/>
        <w:spacing w:line="598" w:lineRule="exact"/>
        <w:ind w:firstLine="640"/>
        <w:rPr>
          <w:rFonts w:hint="default" w:ascii="Times New Roman" w:hAnsi="Times New Roman" w:cs="Times New Roman"/>
          <w:kern w:val="0"/>
          <w:szCs w:val="32"/>
        </w:rPr>
      </w:pPr>
      <w:r>
        <w:rPr>
          <w:rFonts w:hint="default" w:ascii="Times New Roman" w:hAnsi="Times New Roman" w:cs="Times New Roman"/>
          <w:kern w:val="0"/>
          <w:szCs w:val="32"/>
        </w:rPr>
        <w:t>2.根据市委的要求和部署，研究拟订全县行政管理体制和机构改革方案，审核县级党政机关，县人大、县政协、县监委机关，各民主党派、群团组织机关以及各乡镇（街道）的机构改革方案。审核以上各类机构的职能配置、内设机构和人员编制规定（以下简称“三定”规定）。</w:t>
      </w:r>
    </w:p>
    <w:p>
      <w:pPr>
        <w:autoSpaceDE w:val="0"/>
        <w:spacing w:line="598" w:lineRule="exact"/>
        <w:ind w:firstLine="640"/>
        <w:rPr>
          <w:rFonts w:hint="default" w:ascii="Times New Roman" w:hAnsi="Times New Roman" w:cs="Times New Roman"/>
          <w:kern w:val="0"/>
          <w:szCs w:val="32"/>
        </w:rPr>
      </w:pPr>
      <w:r>
        <w:rPr>
          <w:rFonts w:hint="default" w:ascii="Times New Roman" w:hAnsi="Times New Roman" w:cs="Times New Roman"/>
          <w:kern w:val="0"/>
          <w:szCs w:val="32"/>
        </w:rPr>
        <w:t>3.负责拟订全县事业单位管理体制和机构改革方案，审核全县事业单位的改革方案及编制调整方案。</w:t>
      </w:r>
    </w:p>
    <w:p>
      <w:pPr>
        <w:autoSpaceDE w:val="0"/>
        <w:spacing w:line="598" w:lineRule="exact"/>
        <w:ind w:firstLine="640"/>
        <w:rPr>
          <w:rFonts w:hint="default" w:ascii="Times New Roman" w:hAnsi="Times New Roman" w:cs="Times New Roman"/>
          <w:kern w:val="0"/>
          <w:szCs w:val="32"/>
        </w:rPr>
      </w:pPr>
      <w:r>
        <w:rPr>
          <w:rFonts w:hint="default" w:ascii="Times New Roman" w:hAnsi="Times New Roman" w:cs="Times New Roman"/>
          <w:kern w:val="0"/>
          <w:szCs w:val="32"/>
        </w:rPr>
        <w:t>4.协调县级各部门的职能配置及其调整，协调县级各部门之间、县级各部门与乡镇（街道）之间的职责分工。</w:t>
      </w:r>
    </w:p>
    <w:p>
      <w:pPr>
        <w:autoSpaceDE w:val="0"/>
        <w:spacing w:line="598" w:lineRule="exact"/>
        <w:ind w:firstLine="640"/>
        <w:rPr>
          <w:rFonts w:hint="default" w:ascii="Times New Roman" w:hAnsi="Times New Roman" w:cs="Times New Roman"/>
          <w:kern w:val="0"/>
          <w:szCs w:val="32"/>
        </w:rPr>
      </w:pPr>
      <w:r>
        <w:rPr>
          <w:rFonts w:hint="default" w:ascii="Times New Roman" w:hAnsi="Times New Roman" w:cs="Times New Roman"/>
          <w:kern w:val="0"/>
          <w:szCs w:val="32"/>
        </w:rPr>
        <w:t>5.按照管理权限，审批、审核全县党政群机关和事业单位的机构设置、人员编制和领导职数。</w:t>
      </w:r>
    </w:p>
    <w:p>
      <w:pPr>
        <w:autoSpaceDE w:val="0"/>
        <w:spacing w:line="598" w:lineRule="exact"/>
        <w:ind w:firstLine="640"/>
        <w:rPr>
          <w:rFonts w:hint="default" w:ascii="Times New Roman" w:hAnsi="Times New Roman" w:cs="Times New Roman"/>
          <w:kern w:val="0"/>
          <w:szCs w:val="32"/>
        </w:rPr>
      </w:pPr>
      <w:r>
        <w:rPr>
          <w:rFonts w:hint="default" w:ascii="Times New Roman" w:hAnsi="Times New Roman" w:cs="Times New Roman"/>
          <w:kern w:val="0"/>
          <w:szCs w:val="32"/>
        </w:rPr>
        <w:t>6.负责全县事业单位登记管理工作，对违反事业单位登记管理有关政策法规的情况进行调查，并提出处理意见。</w:t>
      </w:r>
    </w:p>
    <w:p>
      <w:pPr>
        <w:autoSpaceDE w:val="0"/>
        <w:spacing w:line="598" w:lineRule="exact"/>
        <w:ind w:firstLine="640"/>
        <w:rPr>
          <w:rFonts w:hint="default" w:ascii="Times New Roman" w:hAnsi="Times New Roman" w:cs="Times New Roman"/>
          <w:kern w:val="0"/>
          <w:szCs w:val="32"/>
        </w:rPr>
      </w:pPr>
      <w:r>
        <w:rPr>
          <w:rFonts w:hint="default" w:ascii="Times New Roman" w:hAnsi="Times New Roman" w:cs="Times New Roman"/>
          <w:kern w:val="0"/>
          <w:szCs w:val="32"/>
        </w:rPr>
        <w:t>7.研究拟订全县党政群机关行政编制、专项编制和事业单位事业编制的分配方案，经县委机构编制委员会批准后组织实施并监督落实。</w:t>
      </w:r>
    </w:p>
    <w:p>
      <w:pPr>
        <w:autoSpaceDE w:val="0"/>
        <w:spacing w:line="598" w:lineRule="exact"/>
        <w:ind w:firstLine="640"/>
        <w:rPr>
          <w:rFonts w:hint="default" w:ascii="Times New Roman" w:hAnsi="Times New Roman" w:cs="Times New Roman"/>
          <w:kern w:val="0"/>
          <w:szCs w:val="32"/>
        </w:rPr>
      </w:pPr>
      <w:r>
        <w:rPr>
          <w:rFonts w:hint="default" w:ascii="Times New Roman" w:hAnsi="Times New Roman" w:cs="Times New Roman"/>
          <w:kern w:val="0"/>
          <w:szCs w:val="32"/>
        </w:rPr>
        <w:t>8.调查研究全县行政管理体制和机构改革及机构编制管理情况，监督检查全县行政管理体制和机构改革及“三定”规定的执行情况。负责受理违反机构编制管理规定问题的举报，查处机构编制违法违纪行为。</w:t>
      </w:r>
    </w:p>
    <w:p>
      <w:pPr>
        <w:autoSpaceDE w:val="0"/>
        <w:spacing w:line="598" w:lineRule="exact"/>
        <w:ind w:firstLine="640"/>
        <w:rPr>
          <w:rFonts w:hint="default" w:ascii="Times New Roman" w:hAnsi="Times New Roman" w:cs="Times New Roman"/>
          <w:kern w:val="0"/>
          <w:szCs w:val="32"/>
        </w:rPr>
      </w:pPr>
      <w:r>
        <w:rPr>
          <w:rFonts w:hint="default" w:ascii="Times New Roman" w:hAnsi="Times New Roman" w:cs="Times New Roman"/>
          <w:kern w:val="0"/>
          <w:szCs w:val="32"/>
        </w:rPr>
        <w:t>9.负责机构编制实名制管理和机构编制统计工作。负责全县机构编制系统信息化工作。负责机关群团统一社会信用代码赋码工作。承担党政机关、事业单位的网站开办审核、资格复核和网站标识管理等工作。</w:t>
      </w:r>
    </w:p>
    <w:p>
      <w:pPr>
        <w:autoSpaceDE w:val="0"/>
        <w:spacing w:line="598" w:lineRule="exact"/>
        <w:ind w:firstLine="640"/>
        <w:rPr>
          <w:rFonts w:hint="default" w:ascii="Times New Roman" w:hAnsi="Times New Roman" w:cs="Times New Roman"/>
          <w:kern w:val="0"/>
          <w:szCs w:val="32"/>
        </w:rPr>
      </w:pPr>
      <w:r>
        <w:rPr>
          <w:rFonts w:hint="default" w:ascii="Times New Roman" w:hAnsi="Times New Roman" w:cs="Times New Roman"/>
          <w:kern w:val="0"/>
          <w:szCs w:val="32"/>
        </w:rPr>
        <w:t>10.负责县级议事协调机构设立审核工作。</w:t>
      </w:r>
    </w:p>
    <w:p>
      <w:pPr>
        <w:autoSpaceDE w:val="0"/>
        <w:spacing w:line="598" w:lineRule="exact"/>
        <w:ind w:firstLine="640"/>
        <w:rPr>
          <w:rFonts w:hint="default" w:ascii="Times New Roman" w:hAnsi="Times New Roman" w:cs="Times New Roman"/>
          <w:kern w:val="0"/>
          <w:szCs w:val="32"/>
        </w:rPr>
      </w:pPr>
      <w:r>
        <w:rPr>
          <w:rFonts w:hint="default" w:ascii="Times New Roman" w:hAnsi="Times New Roman" w:cs="Times New Roman"/>
          <w:kern w:val="0"/>
          <w:szCs w:val="32"/>
        </w:rPr>
        <w:t>11.承担县委机构编制委员会的日常工作。</w:t>
      </w:r>
    </w:p>
    <w:p>
      <w:pPr>
        <w:autoSpaceDE w:val="0"/>
        <w:spacing w:line="598" w:lineRule="exact"/>
        <w:ind w:firstLine="640"/>
        <w:rPr>
          <w:rStyle w:val="11"/>
          <w:sz w:val="32"/>
          <w:szCs w:val="32"/>
          <w:shd w:val="clear" w:fill="FFFFFF"/>
        </w:rPr>
      </w:pPr>
      <w:r>
        <w:rPr>
          <w:rFonts w:hint="default" w:ascii="Times New Roman" w:hAnsi="Times New Roman" w:cs="Times New Roman"/>
          <w:kern w:val="0"/>
          <w:szCs w:val="32"/>
        </w:rPr>
        <w:t>12.完成县委、县委机构编制委员会交办的其他任务。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rStyle w:val="11"/>
          <w:rFonts w:hint="eastAsia" w:ascii="方正楷体_GBK" w:hAnsi="方正楷体_GBK" w:eastAsia="方正楷体_GBK" w:cs="方正楷体_GBK"/>
          <w:b w:val="0"/>
          <w:bCs/>
          <w:sz w:val="32"/>
          <w:szCs w:val="32"/>
          <w:shd w:val="clear" w:fill="FFFFFF"/>
        </w:rPr>
      </w:pPr>
      <w:r>
        <w:rPr>
          <w:rStyle w:val="11"/>
          <w:rFonts w:hint="eastAsia" w:ascii="方正楷体_GBK" w:hAnsi="方正楷体_GBK" w:eastAsia="方正楷体_GBK" w:cs="方正楷体_GBK"/>
          <w:b w:val="0"/>
          <w:bCs/>
          <w:sz w:val="32"/>
          <w:szCs w:val="32"/>
          <w:shd w:val="clear" w:fill="FFFFFF"/>
        </w:rPr>
        <w:t>（二）机构设置</w:t>
      </w:r>
    </w:p>
    <w:p>
      <w:pPr>
        <w:autoSpaceDE w:val="0"/>
        <w:spacing w:line="598" w:lineRule="exact"/>
        <w:ind w:firstLine="640"/>
        <w:rPr>
          <w:rFonts w:hint="default" w:ascii="Times New Roman" w:hAnsi="Times New Roman" w:eastAsia="方正仿宋_GBK" w:cs="Times New Roman"/>
          <w:kern w:val="0"/>
          <w:sz w:val="32"/>
          <w:szCs w:val="32"/>
        </w:rPr>
      </w:pPr>
      <w:r>
        <w:rPr>
          <w:color w:val="FF0000"/>
          <w:sz w:val="32"/>
          <w:szCs w:val="32"/>
          <w:shd w:val="clear" w:fill="FFFFFF"/>
        </w:rPr>
        <w:t> </w:t>
      </w:r>
      <w:r>
        <w:rPr>
          <w:rFonts w:hint="default" w:ascii="Times New Roman" w:hAnsi="Times New Roman" w:eastAsia="方正仿宋_GBK" w:cs="Times New Roman"/>
          <w:kern w:val="0"/>
          <w:sz w:val="32"/>
          <w:szCs w:val="32"/>
        </w:rPr>
        <w:t>本部门是县委工作机关，为正科级，是中共垫江县委机构编制委员会的办事机构，归口县委组织部管理。根据职责，本部门下设综合科、机构编制科、机构编制督查科（机构编制信访科）和事业单位登记管理科</w:t>
      </w:r>
      <w:r>
        <w:rPr>
          <w:rFonts w:hint="default" w:ascii="Times New Roman" w:hAnsi="Times New Roman" w:eastAsia="方正仿宋_GBK" w:cs="Times New Roman"/>
          <w:kern w:val="0"/>
          <w:sz w:val="32"/>
          <w:szCs w:val="32"/>
          <w:lang w:eastAsia="zh-CN"/>
        </w:rPr>
        <w:t>（县事业单位登记管理局）</w:t>
      </w:r>
      <w:r>
        <w:rPr>
          <w:rFonts w:hint="default" w:ascii="Times New Roman" w:hAnsi="Times New Roman" w:eastAsia="方正仿宋_GBK" w:cs="Times New Roman"/>
          <w:kern w:val="0"/>
          <w:sz w:val="32"/>
          <w:szCs w:val="32"/>
        </w:rPr>
        <w:t>4个内设机构。核定行政编制8名。设主任１名，副主任2名；内设机构领导职数4名。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rStyle w:val="11"/>
          <w:rFonts w:hint="default" w:ascii="方正楷体_GBK" w:hAnsi="方正楷体_GBK" w:eastAsia="方正楷体_GBK" w:cs="方正楷体_GBK"/>
          <w:b w:val="0"/>
          <w:bCs/>
          <w:sz w:val="32"/>
          <w:szCs w:val="32"/>
          <w:shd w:val="clear" w:fill="FFFFFF"/>
        </w:rPr>
      </w:pPr>
      <w:r>
        <w:rPr>
          <w:rStyle w:val="11"/>
          <w:rFonts w:hint="eastAsia" w:ascii="方正楷体_GBK" w:hAnsi="方正楷体_GBK" w:eastAsia="方正楷体_GBK" w:cs="方正楷体_GBK"/>
          <w:b w:val="0"/>
          <w:bCs/>
          <w:sz w:val="32"/>
          <w:szCs w:val="32"/>
          <w:shd w:val="clear" w:fill="FFFFFF"/>
        </w:rPr>
        <w:t>（三）单位构成</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sz w:val="32"/>
          <w:szCs w:val="32"/>
        </w:rPr>
      </w:pPr>
      <w:r>
        <w:rPr>
          <w:rFonts w:hint="default" w:ascii="Times New Roman" w:hAnsi="Times New Roman" w:eastAsia="方正仿宋_GBK" w:cs="Times New Roman"/>
          <w:kern w:val="0"/>
          <w:sz w:val="32"/>
          <w:szCs w:val="32"/>
        </w:rPr>
        <w:t>本部门所属垫江县</w:t>
      </w:r>
      <w:r>
        <w:rPr>
          <w:rFonts w:hint="default" w:ascii="Times New Roman" w:hAnsi="Times New Roman" w:eastAsia="方正仿宋_GBK" w:cs="Times New Roman"/>
          <w:sz w:val="32"/>
          <w:szCs w:val="32"/>
        </w:rPr>
        <w:t>事业单位登记事务中心</w:t>
      </w:r>
      <w:r>
        <w:rPr>
          <w:rFonts w:hint="eastAsia" w:ascii="Times New Roman" w:hAnsi="Times New Roman" w:cs="Times New Roman"/>
          <w:sz w:val="32"/>
          <w:szCs w:val="32"/>
          <w:lang w:eastAsia="zh-CN"/>
        </w:rPr>
        <w:t>为</w:t>
      </w:r>
      <w:r>
        <w:rPr>
          <w:rFonts w:hint="default" w:ascii="Times New Roman" w:hAnsi="Times New Roman" w:eastAsia="方正仿宋_GBK" w:cs="Times New Roman"/>
          <w:sz w:val="32"/>
        </w:rPr>
        <w:t>相当于行政副科级事业单位（参公）</w:t>
      </w:r>
      <w:r>
        <w:rPr>
          <w:rFonts w:hint="default" w:ascii="Times New Roman" w:hAnsi="Times New Roman" w:eastAsia="方正仿宋_GBK" w:cs="Times New Roman"/>
          <w:kern w:val="0"/>
          <w:sz w:val="32"/>
          <w:szCs w:val="32"/>
        </w:rPr>
        <w:t>，财务未独立核算。</w:t>
      </w:r>
      <w:r>
        <w:rPr>
          <w:rFonts w:hint="default" w:ascii="Times New Roman" w:hAnsi="Times New Roman" w:eastAsia="方正仿宋_GBK" w:cs="Times New Roman"/>
          <w:sz w:val="32"/>
          <w:szCs w:val="32"/>
        </w:rPr>
        <w:t>根据职责，</w:t>
      </w:r>
      <w:r>
        <w:rPr>
          <w:rFonts w:hint="default" w:ascii="Times New Roman" w:hAnsi="Times New Roman" w:eastAsia="方正仿宋_GBK" w:cs="Times New Roman"/>
          <w:sz w:val="32"/>
          <w:szCs w:val="32"/>
          <w:lang w:eastAsia="zh-CN"/>
        </w:rPr>
        <w:t>该单位</w:t>
      </w:r>
      <w:r>
        <w:rPr>
          <w:rFonts w:hint="default" w:ascii="Times New Roman" w:hAnsi="Times New Roman" w:eastAsia="方正仿宋_GBK" w:cs="Times New Roman"/>
          <w:sz w:val="32"/>
          <w:szCs w:val="32"/>
        </w:rPr>
        <w:t>设事业单位登记科1个内设机构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0"/>
          <w:sz w:val="32"/>
          <w:szCs w:val="32"/>
        </w:rPr>
        <w:t>核定事业编制4名。核定</w:t>
      </w:r>
      <w:r>
        <w:rPr>
          <w:rFonts w:hint="eastAsia" w:cs="Times New Roman"/>
          <w:kern w:val="0"/>
          <w:sz w:val="32"/>
          <w:szCs w:val="32"/>
          <w:lang w:eastAsia="zh-CN"/>
        </w:rPr>
        <w:t>主任</w:t>
      </w:r>
      <w:r>
        <w:rPr>
          <w:rFonts w:hint="default" w:ascii="Times New Roman" w:hAnsi="Times New Roman" w:eastAsia="方正仿宋_GBK" w:cs="Times New Roman"/>
          <w:kern w:val="0"/>
          <w:sz w:val="32"/>
          <w:szCs w:val="32"/>
        </w:rPr>
        <w:t>1名，副</w:t>
      </w:r>
      <w:r>
        <w:rPr>
          <w:rFonts w:hint="eastAsia" w:cs="Times New Roman"/>
          <w:kern w:val="0"/>
          <w:sz w:val="32"/>
          <w:szCs w:val="32"/>
          <w:lang w:eastAsia="zh-CN"/>
        </w:rPr>
        <w:t>主任</w:t>
      </w:r>
      <w:r>
        <w:rPr>
          <w:rFonts w:hint="default" w:ascii="Times New Roman" w:hAnsi="Times New Roman" w:eastAsia="方正仿宋_GBK" w:cs="Times New Roman"/>
          <w:kern w:val="0"/>
          <w:sz w:val="32"/>
          <w:szCs w:val="32"/>
        </w:rPr>
        <w:t>1名</w:t>
      </w:r>
      <w:r>
        <w:rPr>
          <w:rFonts w:hint="eastAsia" w:cs="Times New Roman"/>
          <w:kern w:val="0"/>
          <w:sz w:val="32"/>
          <w:szCs w:val="32"/>
          <w:lang w:eastAsia="zh-CN"/>
        </w:rPr>
        <w:t>；</w:t>
      </w:r>
      <w:r>
        <w:rPr>
          <w:rFonts w:hint="default" w:ascii="Times New Roman" w:hAnsi="Times New Roman" w:eastAsia="方正仿宋_GBK" w:cs="Times New Roman"/>
          <w:sz w:val="32"/>
        </w:rPr>
        <w:t>内设机构领导职数1名</w:t>
      </w:r>
      <w:r>
        <w:rPr>
          <w:rFonts w:hint="default" w:ascii="Times New Roman" w:hAnsi="Times New Roman" w:eastAsia="方正仿宋_GBK" w:cs="Times New Roman"/>
          <w:kern w:val="0"/>
          <w:sz w:val="32"/>
          <w:szCs w:val="32"/>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jc w:val="left"/>
        <w:textAlignment w:val="auto"/>
        <w:rPr>
          <w:sz w:val="32"/>
          <w:szCs w:val="32"/>
        </w:rPr>
      </w:pPr>
      <w:r>
        <w:rPr>
          <w:rStyle w:val="11"/>
          <w:sz w:val="32"/>
          <w:szCs w:val="32"/>
          <w:shd w:val="clear" w:fill="FFFFFF"/>
        </w:rPr>
        <w:t> </w:t>
      </w:r>
      <w:r>
        <w:rPr>
          <w:rStyle w:val="11"/>
          <w:rFonts w:hint="eastAsia" w:ascii="方正黑体_GBK" w:hAnsi="方正黑体_GBK" w:eastAsia="方正黑体_GBK" w:cs="方正黑体_GBK"/>
          <w:b w:val="0"/>
          <w:bCs/>
          <w:sz w:val="32"/>
          <w:szCs w:val="32"/>
          <w:shd w:val="clear" w:fill="FFFFFF"/>
        </w:rPr>
        <w:t>二、部门决算情况说明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sz w:val="32"/>
          <w:szCs w:val="32"/>
        </w:rPr>
      </w:pPr>
      <w:r>
        <w:rPr>
          <w:rStyle w:val="11"/>
          <w:rFonts w:hint="eastAsia" w:ascii="方正楷体_GBK" w:hAnsi="方正楷体_GBK" w:eastAsia="方正楷体_GBK" w:cs="方正楷体_GBK"/>
          <w:b w:val="0"/>
          <w:bCs/>
          <w:sz w:val="32"/>
          <w:szCs w:val="32"/>
          <w:shd w:val="clear" w:fill="FFFFFF"/>
        </w:rPr>
        <w:t>（一）收入支出决算总体情况说明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3" w:firstLineChars="200"/>
        <w:jc w:val="left"/>
        <w:textAlignment w:val="auto"/>
        <w:rPr>
          <w:sz w:val="32"/>
          <w:szCs w:val="32"/>
        </w:rPr>
      </w:pPr>
      <w:r>
        <w:rPr>
          <w:rStyle w:val="11"/>
          <w:sz w:val="32"/>
          <w:szCs w:val="32"/>
          <w:shd w:val="clear" w:fill="FFFFFF"/>
        </w:rPr>
        <w:t>1.总体情况。</w:t>
      </w:r>
      <w:r>
        <w:rPr>
          <w:sz w:val="32"/>
          <w:szCs w:val="32"/>
          <w:shd w:val="clear" w:fill="FFFFFF"/>
        </w:rPr>
        <w:t>2021年度收入总计202.21万元，支出总计202.21万元。收支较上年决算数增加46.71万元、增长30%，主要原因</w:t>
      </w:r>
      <w:r>
        <w:rPr>
          <w:rFonts w:hint="eastAsia"/>
          <w:sz w:val="32"/>
          <w:szCs w:val="32"/>
          <w:shd w:val="clear" w:fill="FFFFFF"/>
          <w:lang w:eastAsia="zh-CN"/>
        </w:rPr>
        <w:t>一</w:t>
      </w:r>
      <w:r>
        <w:rPr>
          <w:sz w:val="32"/>
          <w:szCs w:val="32"/>
          <w:shd w:val="clear" w:fill="FFFFFF"/>
        </w:rPr>
        <w:t>是</w:t>
      </w:r>
      <w:r>
        <w:rPr>
          <w:rFonts w:hint="default"/>
          <w:sz w:val="32"/>
          <w:szCs w:val="32"/>
          <w:shd w:val="clear" w:fill="FFFFFF"/>
        </w:rPr>
        <w:t>实有人员增加，增加了人员经费和公用经费</w:t>
      </w:r>
      <w:r>
        <w:rPr>
          <w:rFonts w:hint="eastAsia"/>
          <w:sz w:val="32"/>
          <w:szCs w:val="32"/>
          <w:shd w:val="clear" w:fill="FFFFFF"/>
          <w:lang w:eastAsia="zh-CN"/>
        </w:rPr>
        <w:t>；二是财政下达记实机关事业单位准备期职业年金；三是本年度</w:t>
      </w:r>
      <w:r>
        <w:rPr>
          <w:rFonts w:hint="eastAsia" w:ascii="Times New Roman" w:hAnsi="Times New Roman" w:eastAsia="方正仿宋_GBK" w:cs="Times New Roman"/>
          <w:b w:val="0"/>
          <w:bCs/>
          <w:sz w:val="32"/>
          <w:szCs w:val="32"/>
          <w:shd w:val="clear" w:fill="FFFFFF"/>
          <w:lang w:eastAsia="zh-CN"/>
        </w:rPr>
        <w:t>年初结转结余</w:t>
      </w:r>
      <w:r>
        <w:rPr>
          <w:rFonts w:hint="eastAsia" w:ascii="Times New Roman" w:hAnsi="Times New Roman" w:cs="Times New Roman"/>
          <w:b w:val="0"/>
          <w:bCs/>
          <w:sz w:val="32"/>
          <w:szCs w:val="32"/>
          <w:shd w:val="clear" w:fill="FFFFFF"/>
          <w:lang w:eastAsia="zh-CN"/>
        </w:rPr>
        <w:t>比</w:t>
      </w:r>
      <w:r>
        <w:rPr>
          <w:rFonts w:hint="eastAsia" w:ascii="Times New Roman" w:hAnsi="Times New Roman" w:eastAsia="方正仿宋_GBK" w:cs="Times New Roman"/>
          <w:b w:val="0"/>
          <w:bCs/>
          <w:sz w:val="32"/>
          <w:szCs w:val="32"/>
          <w:shd w:val="clear" w:fill="FFFFFF"/>
          <w:lang w:eastAsia="zh-CN"/>
        </w:rPr>
        <w:t>上年</w:t>
      </w:r>
      <w:r>
        <w:rPr>
          <w:rFonts w:hint="eastAsia" w:ascii="Times New Roman" w:hAnsi="Times New Roman" w:cs="Times New Roman"/>
          <w:b w:val="0"/>
          <w:bCs/>
          <w:sz w:val="32"/>
          <w:szCs w:val="32"/>
          <w:shd w:val="clear" w:fill="FFFFFF"/>
          <w:lang w:eastAsia="zh-CN"/>
        </w:rPr>
        <w:t>度增加。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jc w:val="left"/>
        <w:textAlignment w:val="auto"/>
        <w:rPr>
          <w:sz w:val="32"/>
          <w:szCs w:val="32"/>
        </w:rPr>
      </w:pPr>
      <w:r>
        <w:rPr>
          <w:rStyle w:val="11"/>
          <w:sz w:val="32"/>
          <w:szCs w:val="32"/>
          <w:shd w:val="clear" w:fill="FFFFFF"/>
        </w:rPr>
        <w:t> 2.收入情况。</w:t>
      </w:r>
      <w:r>
        <w:rPr>
          <w:sz w:val="32"/>
          <w:szCs w:val="32"/>
          <w:shd w:val="clear" w:fill="FFFFFF"/>
        </w:rPr>
        <w:t>2021年度收入合计185.05万元，较上年决算数增加35.08万元，增长23.4%，主要原因</w:t>
      </w:r>
      <w:r>
        <w:rPr>
          <w:rFonts w:hint="eastAsia"/>
          <w:sz w:val="32"/>
          <w:szCs w:val="32"/>
          <w:shd w:val="clear" w:fill="FFFFFF"/>
          <w:lang w:eastAsia="zh-CN"/>
        </w:rPr>
        <w:t>一</w:t>
      </w:r>
      <w:r>
        <w:rPr>
          <w:sz w:val="32"/>
          <w:szCs w:val="32"/>
          <w:shd w:val="clear" w:fill="FFFFFF"/>
        </w:rPr>
        <w:t>是</w:t>
      </w:r>
      <w:r>
        <w:rPr>
          <w:rFonts w:hint="default"/>
          <w:sz w:val="32"/>
          <w:szCs w:val="32"/>
          <w:shd w:val="clear" w:fill="FFFFFF"/>
        </w:rPr>
        <w:t>实有人员增加，增加了人员经费和公用经费</w:t>
      </w:r>
      <w:r>
        <w:rPr>
          <w:rFonts w:hint="eastAsia"/>
          <w:sz w:val="32"/>
          <w:szCs w:val="32"/>
          <w:shd w:val="clear" w:fill="FFFFFF"/>
          <w:lang w:eastAsia="zh-CN"/>
        </w:rPr>
        <w:t>；二是财政下达记实机关事业单位准备期职业年金。</w:t>
      </w:r>
      <w:r>
        <w:rPr>
          <w:sz w:val="32"/>
          <w:szCs w:val="32"/>
          <w:shd w:val="clear" w:fill="FFFFFF"/>
        </w:rPr>
        <w:t>其中：财政拨款收入185.05万元，占100%。此外，年初结转和结余17.17万元。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jc w:val="left"/>
        <w:textAlignment w:val="auto"/>
        <w:rPr>
          <w:sz w:val="32"/>
          <w:szCs w:val="32"/>
        </w:rPr>
      </w:pPr>
      <w:r>
        <w:rPr>
          <w:rStyle w:val="11"/>
          <w:sz w:val="32"/>
          <w:szCs w:val="32"/>
          <w:shd w:val="clear" w:fill="FFFFFF"/>
        </w:rPr>
        <w:t xml:space="preserve"> 3.支出情况。</w:t>
      </w:r>
      <w:r>
        <w:rPr>
          <w:sz w:val="32"/>
          <w:szCs w:val="32"/>
          <w:shd w:val="clear" w:fill="FFFFFF"/>
        </w:rPr>
        <w:t>2021年度支出合计201.86万元，较上年决算数增加46.52万元，增长29.9%，主要原因</w:t>
      </w:r>
      <w:r>
        <w:rPr>
          <w:rFonts w:hint="eastAsia"/>
          <w:sz w:val="32"/>
          <w:szCs w:val="32"/>
          <w:shd w:val="clear" w:fill="FFFFFF"/>
          <w:lang w:eastAsia="zh-CN"/>
        </w:rPr>
        <w:t>一</w:t>
      </w:r>
      <w:r>
        <w:rPr>
          <w:sz w:val="32"/>
          <w:szCs w:val="32"/>
          <w:shd w:val="clear" w:fill="FFFFFF"/>
        </w:rPr>
        <w:t>是</w:t>
      </w:r>
      <w:r>
        <w:rPr>
          <w:rFonts w:hint="default"/>
          <w:sz w:val="32"/>
          <w:szCs w:val="32"/>
          <w:shd w:val="clear" w:fill="FFFFFF"/>
        </w:rPr>
        <w:t>实有人员增加，增加了人员经费和公用经费</w:t>
      </w:r>
      <w:r>
        <w:rPr>
          <w:rFonts w:hint="eastAsia"/>
          <w:sz w:val="32"/>
          <w:szCs w:val="32"/>
          <w:shd w:val="clear" w:fill="FFFFFF"/>
          <w:lang w:eastAsia="zh-CN"/>
        </w:rPr>
        <w:t>支出；二是发生记实机关事业单位准备期职业年金支出；三是项目支出增加。</w:t>
      </w:r>
      <w:r>
        <w:rPr>
          <w:sz w:val="32"/>
          <w:szCs w:val="32"/>
          <w:shd w:val="clear" w:fill="FFFFFF"/>
        </w:rPr>
        <w:t>其中：基本支出166.86万元，占82.7%；项目支出35.00万元，占17.3%。</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jc w:val="left"/>
        <w:textAlignment w:val="auto"/>
        <w:rPr>
          <w:sz w:val="32"/>
          <w:szCs w:val="32"/>
        </w:rPr>
      </w:pPr>
      <w:r>
        <w:rPr>
          <w:rStyle w:val="11"/>
          <w:sz w:val="32"/>
          <w:szCs w:val="32"/>
          <w:shd w:val="clear" w:fill="FFFFFF"/>
        </w:rPr>
        <w:t> 4.结转结余情况。</w:t>
      </w:r>
      <w:r>
        <w:rPr>
          <w:sz w:val="32"/>
          <w:szCs w:val="32"/>
          <w:shd w:val="clear" w:fill="FFFFFF"/>
        </w:rPr>
        <w:t>2021年度年末结转和结余0.36万元，较上年决算数增加0.19万元，增长111.8%，主要原因是</w:t>
      </w:r>
      <w:r>
        <w:rPr>
          <w:rFonts w:hint="eastAsia" w:ascii="Times New Roman" w:hAnsi="Times New Roman" w:eastAsia="方正仿宋_GBK" w:cs="Times New Roman"/>
          <w:b w:val="0"/>
          <w:bCs/>
          <w:sz w:val="32"/>
          <w:szCs w:val="32"/>
          <w:shd w:val="clear" w:fill="FFFFFF"/>
          <w:lang w:eastAsia="zh-CN"/>
        </w:rPr>
        <w:t>库存现金结余增加</w:t>
      </w:r>
      <w:r>
        <w:rPr>
          <w:rFonts w:hint="eastAsia" w:ascii="Times New Roman" w:hAnsi="Times New Roman" w:eastAsia="方正仿宋_GBK" w:cs="Times New Roman"/>
          <w:b w:val="0"/>
          <w:bCs/>
          <w:sz w:val="32"/>
          <w:szCs w:val="32"/>
          <w:shd w:val="clear" w:fill="FFFFFF"/>
          <w:lang w:val="en-US" w:eastAsia="zh-CN"/>
        </w:rPr>
        <w:t>0.</w:t>
      </w:r>
      <w:r>
        <w:rPr>
          <w:rFonts w:hint="eastAsia" w:ascii="Times New Roman" w:hAnsi="Times New Roman" w:cs="Times New Roman"/>
          <w:b w:val="0"/>
          <w:bCs/>
          <w:sz w:val="32"/>
          <w:szCs w:val="32"/>
          <w:shd w:val="clear" w:fill="FFFFFF"/>
          <w:lang w:val="en-US" w:eastAsia="zh-CN"/>
        </w:rPr>
        <w:t>1</w:t>
      </w:r>
      <w:r>
        <w:rPr>
          <w:rFonts w:hint="eastAsia" w:ascii="Times New Roman" w:hAnsi="Times New Roman" w:eastAsia="方正仿宋_GBK" w:cs="Times New Roman"/>
          <w:b w:val="0"/>
          <w:bCs/>
          <w:sz w:val="32"/>
          <w:szCs w:val="32"/>
          <w:shd w:val="clear" w:fill="FFFFFF"/>
          <w:lang w:val="en-US" w:eastAsia="zh-CN"/>
        </w:rPr>
        <w:t>7万元</w:t>
      </w:r>
      <w:r>
        <w:rPr>
          <w:rFonts w:hint="eastAsia" w:ascii="Times New Roman" w:hAnsi="Times New Roman" w:cs="Times New Roman"/>
          <w:b w:val="0"/>
          <w:bCs/>
          <w:sz w:val="32"/>
          <w:szCs w:val="32"/>
          <w:shd w:val="clear" w:fill="FFFFFF"/>
          <w:lang w:val="en-US"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jc w:val="left"/>
        <w:textAlignment w:val="auto"/>
        <w:rPr>
          <w:sz w:val="32"/>
          <w:szCs w:val="32"/>
        </w:rPr>
      </w:pPr>
      <w:r>
        <w:rPr>
          <w:rStyle w:val="11"/>
          <w:sz w:val="32"/>
          <w:szCs w:val="32"/>
          <w:shd w:val="clear" w:fill="FFFFFF"/>
        </w:rPr>
        <w:t> </w:t>
      </w:r>
      <w:r>
        <w:rPr>
          <w:rStyle w:val="11"/>
          <w:rFonts w:hint="eastAsia" w:ascii="方正楷体_GBK" w:hAnsi="方正楷体_GBK" w:eastAsia="方正楷体_GBK" w:cs="方正楷体_GBK"/>
          <w:b w:val="0"/>
          <w:bCs/>
          <w:sz w:val="32"/>
          <w:szCs w:val="32"/>
          <w:shd w:val="clear" w:fill="FFFFFF"/>
        </w:rPr>
        <w:t>（二）财政拨款收入支出决算总体情况说明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jc w:val="left"/>
        <w:textAlignment w:val="auto"/>
        <w:rPr>
          <w:sz w:val="32"/>
          <w:szCs w:val="32"/>
        </w:rPr>
      </w:pPr>
      <w:r>
        <w:rPr>
          <w:sz w:val="32"/>
          <w:szCs w:val="32"/>
          <w:shd w:val="clear" w:fill="FFFFFF"/>
        </w:rPr>
        <w:t>2021年度财政拨款收、支总计202.21万元。与2020年相比，财政拨款收、支总计各增加46.71万元，增长30%。主要原因</w:t>
      </w:r>
      <w:r>
        <w:rPr>
          <w:rFonts w:hint="eastAsia"/>
          <w:sz w:val="32"/>
          <w:szCs w:val="32"/>
          <w:shd w:val="clear" w:fill="FFFFFF"/>
          <w:lang w:eastAsia="zh-CN"/>
        </w:rPr>
        <w:t>一</w:t>
      </w:r>
      <w:r>
        <w:rPr>
          <w:sz w:val="32"/>
          <w:szCs w:val="32"/>
          <w:shd w:val="clear" w:fill="FFFFFF"/>
        </w:rPr>
        <w:t>是</w:t>
      </w:r>
      <w:r>
        <w:rPr>
          <w:rFonts w:hint="default"/>
          <w:sz w:val="32"/>
          <w:szCs w:val="32"/>
          <w:shd w:val="clear" w:fill="FFFFFF"/>
        </w:rPr>
        <w:t>实有人员增加，增加了人员经费和公用经费</w:t>
      </w:r>
      <w:r>
        <w:rPr>
          <w:rFonts w:hint="eastAsia"/>
          <w:sz w:val="32"/>
          <w:szCs w:val="32"/>
          <w:shd w:val="clear" w:fill="FFFFFF"/>
          <w:lang w:eastAsia="zh-CN"/>
        </w:rPr>
        <w:t>；二是财政下达记实机关事业单位准备期职业年金；三是本年度</w:t>
      </w:r>
      <w:r>
        <w:rPr>
          <w:rFonts w:hint="eastAsia" w:ascii="Times New Roman" w:hAnsi="Times New Roman" w:eastAsia="方正仿宋_GBK" w:cs="Times New Roman"/>
          <w:b w:val="0"/>
          <w:bCs/>
          <w:sz w:val="32"/>
          <w:szCs w:val="32"/>
          <w:shd w:val="clear" w:fill="FFFFFF"/>
          <w:lang w:eastAsia="zh-CN"/>
        </w:rPr>
        <w:t>年初结转结余</w:t>
      </w:r>
      <w:r>
        <w:rPr>
          <w:rFonts w:hint="eastAsia" w:ascii="Times New Roman" w:hAnsi="Times New Roman" w:cs="Times New Roman"/>
          <w:b w:val="0"/>
          <w:bCs/>
          <w:sz w:val="32"/>
          <w:szCs w:val="32"/>
          <w:shd w:val="clear" w:fill="FFFFFF"/>
          <w:lang w:eastAsia="zh-CN"/>
        </w:rPr>
        <w:t>比</w:t>
      </w:r>
      <w:r>
        <w:rPr>
          <w:rFonts w:hint="eastAsia" w:ascii="Times New Roman" w:hAnsi="Times New Roman" w:eastAsia="方正仿宋_GBK" w:cs="Times New Roman"/>
          <w:b w:val="0"/>
          <w:bCs/>
          <w:sz w:val="32"/>
          <w:szCs w:val="32"/>
          <w:shd w:val="clear" w:fill="FFFFFF"/>
          <w:lang w:eastAsia="zh-CN"/>
        </w:rPr>
        <w:t>上年</w:t>
      </w:r>
      <w:r>
        <w:rPr>
          <w:rFonts w:hint="eastAsia" w:ascii="Times New Roman" w:hAnsi="Times New Roman" w:cs="Times New Roman"/>
          <w:b w:val="0"/>
          <w:bCs/>
          <w:sz w:val="32"/>
          <w:szCs w:val="32"/>
          <w:shd w:val="clear" w:fill="FFFFFF"/>
          <w:lang w:eastAsia="zh-CN"/>
        </w:rPr>
        <w:t>度增加。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rStyle w:val="11"/>
          <w:rFonts w:hint="eastAsia" w:ascii="方正楷体_GBK" w:hAnsi="方正楷体_GBK" w:eastAsia="方正楷体_GBK" w:cs="方正楷体_GBK"/>
          <w:b w:val="0"/>
          <w:bCs/>
          <w:sz w:val="32"/>
          <w:szCs w:val="32"/>
          <w:shd w:val="clear" w:fill="FFFFFF"/>
        </w:rPr>
      </w:pPr>
      <w:r>
        <w:rPr>
          <w:rStyle w:val="11"/>
          <w:rFonts w:hint="eastAsia" w:ascii="方正楷体_GBK" w:hAnsi="方正楷体_GBK" w:eastAsia="方正楷体_GBK" w:cs="方正楷体_GBK"/>
          <w:b w:val="0"/>
          <w:bCs/>
          <w:sz w:val="32"/>
          <w:szCs w:val="32"/>
          <w:shd w:val="clear" w:fill="FFFFFF"/>
        </w:rPr>
        <w:t>（三）一般公共预算财政拨款收入支出决算情况说明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3" w:firstLineChars="200"/>
        <w:jc w:val="left"/>
        <w:textAlignment w:val="auto"/>
        <w:rPr>
          <w:sz w:val="32"/>
          <w:szCs w:val="32"/>
        </w:rPr>
      </w:pPr>
      <w:r>
        <w:rPr>
          <w:rStyle w:val="11"/>
          <w:sz w:val="32"/>
          <w:szCs w:val="32"/>
          <w:shd w:val="clear" w:fill="FFFFFF"/>
        </w:rPr>
        <w:t>1.收入情况。</w:t>
      </w:r>
      <w:r>
        <w:rPr>
          <w:sz w:val="32"/>
          <w:szCs w:val="32"/>
          <w:shd w:val="clear" w:fill="FFFFFF"/>
        </w:rPr>
        <w:t>2021年度一般公共预算财政拨款收入185.05万元，较上年决算数增加35.08万元，增长23.4%。主要原因</w:t>
      </w:r>
      <w:r>
        <w:rPr>
          <w:rFonts w:hint="eastAsia"/>
          <w:sz w:val="32"/>
          <w:szCs w:val="32"/>
          <w:shd w:val="clear" w:fill="FFFFFF"/>
          <w:lang w:eastAsia="zh-CN"/>
        </w:rPr>
        <w:t>一</w:t>
      </w:r>
      <w:r>
        <w:rPr>
          <w:sz w:val="32"/>
          <w:szCs w:val="32"/>
          <w:shd w:val="clear" w:fill="FFFFFF"/>
        </w:rPr>
        <w:t>是</w:t>
      </w:r>
      <w:r>
        <w:rPr>
          <w:rFonts w:hint="default"/>
          <w:sz w:val="32"/>
          <w:szCs w:val="32"/>
          <w:shd w:val="clear" w:fill="FFFFFF"/>
        </w:rPr>
        <w:t>实有人员增加，增加了人员经费和公用经费</w:t>
      </w:r>
      <w:r>
        <w:rPr>
          <w:rFonts w:hint="eastAsia"/>
          <w:sz w:val="32"/>
          <w:szCs w:val="32"/>
          <w:shd w:val="clear" w:fill="FFFFFF"/>
          <w:lang w:eastAsia="zh-CN"/>
        </w:rPr>
        <w:t>；二是财政下达记实机关事业单位准备期职业年金。</w:t>
      </w:r>
      <w:r>
        <w:rPr>
          <w:sz w:val="32"/>
          <w:szCs w:val="32"/>
          <w:shd w:val="clear" w:fill="FFFFFF"/>
        </w:rPr>
        <w:t>较年初预算数增加17.12万元，增长10.2%。主要原因是</w:t>
      </w:r>
      <w:r>
        <w:rPr>
          <w:rFonts w:hint="eastAsia"/>
          <w:sz w:val="32"/>
          <w:szCs w:val="32"/>
          <w:shd w:val="clear" w:fill="FFFFFF"/>
          <w:lang w:eastAsia="zh-CN"/>
        </w:rPr>
        <w:t>今年追加了机关运行经费。</w:t>
      </w:r>
      <w:r>
        <w:rPr>
          <w:sz w:val="32"/>
          <w:szCs w:val="32"/>
          <w:shd w:val="clear" w:fill="FFFFFF"/>
        </w:rPr>
        <w:t>此外，年初财政拨款结转和结余17.17万元。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jc w:val="left"/>
        <w:textAlignment w:val="auto"/>
        <w:rPr>
          <w:sz w:val="32"/>
          <w:szCs w:val="32"/>
        </w:rPr>
      </w:pPr>
      <w:r>
        <w:rPr>
          <w:rStyle w:val="11"/>
          <w:sz w:val="32"/>
          <w:szCs w:val="32"/>
          <w:shd w:val="clear" w:fill="FFFFFF"/>
        </w:rPr>
        <w:t> 2.支出情况。</w:t>
      </w:r>
      <w:r>
        <w:rPr>
          <w:sz w:val="32"/>
          <w:szCs w:val="32"/>
          <w:shd w:val="clear" w:fill="FFFFFF"/>
        </w:rPr>
        <w:t>2021年度一般公共预算财政拨款支出201.86万元，较上年决算数增加46.52万元，增长29.9%。主要原因</w:t>
      </w:r>
      <w:r>
        <w:rPr>
          <w:rFonts w:hint="eastAsia"/>
          <w:sz w:val="32"/>
          <w:szCs w:val="32"/>
          <w:shd w:val="clear" w:fill="FFFFFF"/>
          <w:lang w:eastAsia="zh-CN"/>
        </w:rPr>
        <w:t>一</w:t>
      </w:r>
      <w:r>
        <w:rPr>
          <w:sz w:val="32"/>
          <w:szCs w:val="32"/>
          <w:shd w:val="clear" w:fill="FFFFFF"/>
        </w:rPr>
        <w:t>是</w:t>
      </w:r>
      <w:r>
        <w:rPr>
          <w:rFonts w:hint="default"/>
          <w:sz w:val="32"/>
          <w:szCs w:val="32"/>
          <w:shd w:val="clear" w:fill="FFFFFF"/>
        </w:rPr>
        <w:t>实有人员增加，增加了人员经费和公用经费</w:t>
      </w:r>
      <w:r>
        <w:rPr>
          <w:rFonts w:hint="eastAsia"/>
          <w:sz w:val="32"/>
          <w:szCs w:val="32"/>
          <w:shd w:val="clear" w:fill="FFFFFF"/>
          <w:lang w:eastAsia="zh-CN"/>
        </w:rPr>
        <w:t>支出；二是发生记实机关事业单位准备期职业年金支出；三是项目支出增加。</w:t>
      </w:r>
      <w:r>
        <w:rPr>
          <w:sz w:val="32"/>
          <w:szCs w:val="32"/>
          <w:shd w:val="clear" w:fill="FFFFFF"/>
        </w:rPr>
        <w:t>较年初预算数增加33.93万元，增长20.2%。主要原因是</w:t>
      </w:r>
      <w:r>
        <w:rPr>
          <w:rFonts w:hint="eastAsia"/>
          <w:sz w:val="32"/>
          <w:szCs w:val="32"/>
          <w:shd w:val="clear" w:fill="FFFFFF"/>
          <w:lang w:eastAsia="zh-CN"/>
        </w:rPr>
        <w:t>今年追加了机关运行经费。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3" w:firstLineChars="200"/>
        <w:jc w:val="left"/>
        <w:textAlignment w:val="auto"/>
        <w:rPr>
          <w:sz w:val="32"/>
          <w:szCs w:val="32"/>
        </w:rPr>
      </w:pPr>
      <w:r>
        <w:rPr>
          <w:rStyle w:val="11"/>
          <w:sz w:val="32"/>
          <w:szCs w:val="32"/>
          <w:shd w:val="clear" w:fill="FFFFFF"/>
        </w:rPr>
        <w:t> 3.结转结余情况。</w:t>
      </w:r>
      <w:r>
        <w:rPr>
          <w:sz w:val="32"/>
          <w:szCs w:val="32"/>
          <w:shd w:val="clear" w:fill="FFFFFF"/>
        </w:rPr>
        <w:t>2021年度年末一般公共预算财政拨款结转和结余0.36万元，较上年决算数增加0.19万元，增长111.8%，主要原因是</w:t>
      </w:r>
      <w:r>
        <w:rPr>
          <w:rFonts w:hint="eastAsia" w:ascii="Times New Roman" w:hAnsi="Times New Roman" w:eastAsia="方正仿宋_GBK" w:cs="Times New Roman"/>
          <w:b w:val="0"/>
          <w:bCs/>
          <w:sz w:val="32"/>
          <w:szCs w:val="32"/>
          <w:shd w:val="clear" w:fill="FFFFFF"/>
          <w:lang w:eastAsia="zh-CN"/>
        </w:rPr>
        <w:t>库存现金结余增加</w:t>
      </w:r>
      <w:r>
        <w:rPr>
          <w:rFonts w:hint="eastAsia" w:ascii="Times New Roman" w:hAnsi="Times New Roman" w:eastAsia="方正仿宋_GBK" w:cs="Times New Roman"/>
          <w:b w:val="0"/>
          <w:bCs/>
          <w:sz w:val="32"/>
          <w:szCs w:val="32"/>
          <w:shd w:val="clear" w:fill="FFFFFF"/>
          <w:lang w:val="en-US" w:eastAsia="zh-CN"/>
        </w:rPr>
        <w:t>0.</w:t>
      </w:r>
      <w:r>
        <w:rPr>
          <w:rFonts w:hint="eastAsia" w:ascii="Times New Roman" w:hAnsi="Times New Roman" w:cs="Times New Roman"/>
          <w:b w:val="0"/>
          <w:bCs/>
          <w:sz w:val="32"/>
          <w:szCs w:val="32"/>
          <w:shd w:val="clear" w:fill="FFFFFF"/>
          <w:lang w:val="en-US" w:eastAsia="zh-CN"/>
        </w:rPr>
        <w:t>1</w:t>
      </w:r>
      <w:r>
        <w:rPr>
          <w:rFonts w:hint="eastAsia" w:ascii="Times New Roman" w:hAnsi="Times New Roman" w:eastAsia="方正仿宋_GBK" w:cs="Times New Roman"/>
          <w:b w:val="0"/>
          <w:bCs/>
          <w:sz w:val="32"/>
          <w:szCs w:val="32"/>
          <w:shd w:val="clear" w:fill="FFFFFF"/>
          <w:lang w:val="en-US" w:eastAsia="zh-CN"/>
        </w:rPr>
        <w:t>7万元</w:t>
      </w:r>
      <w:r>
        <w:rPr>
          <w:rFonts w:hint="eastAsia" w:ascii="Times New Roman" w:hAnsi="Times New Roman" w:cs="Times New Roman"/>
          <w:b w:val="0"/>
          <w:bCs/>
          <w:sz w:val="32"/>
          <w:szCs w:val="32"/>
          <w:shd w:val="clear" w:fill="FFFFFF"/>
          <w:lang w:val="en-US"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jc w:val="left"/>
        <w:textAlignment w:val="auto"/>
        <w:rPr>
          <w:sz w:val="32"/>
          <w:szCs w:val="32"/>
        </w:rPr>
      </w:pPr>
      <w:r>
        <w:rPr>
          <w:rStyle w:val="11"/>
          <w:sz w:val="32"/>
          <w:szCs w:val="32"/>
          <w:shd w:val="clear" w:fill="FFFFFF"/>
        </w:rPr>
        <w:t> 4.比较情况。</w:t>
      </w:r>
      <w:r>
        <w:rPr>
          <w:sz w:val="32"/>
          <w:szCs w:val="32"/>
          <w:shd w:val="clear" w:fill="FFFFFF"/>
        </w:rPr>
        <w:t>本部门2021年度一般公共预算财政拨款支出主要用于以下几个方面：</w:t>
      </w:r>
    </w:p>
    <w:p>
      <w:pPr>
        <w:pStyle w:val="7"/>
        <w:keepNext w:val="0"/>
        <w:keepLines w:val="0"/>
        <w:pageBreakBefore w:val="0"/>
        <w:widowControl/>
        <w:shd w:val="clear" w:fill="FFFFFF"/>
        <w:kinsoku/>
        <w:wordWrap/>
        <w:overflowPunct/>
        <w:topLinePunct w:val="0"/>
        <w:autoSpaceDE/>
        <w:autoSpaceDN/>
        <w:bidi w:val="0"/>
        <w:adjustRightInd/>
        <w:snapToGrid w:val="0"/>
        <w:spacing w:beforeAutospacing="0" w:afterAutospacing="0"/>
        <w:textAlignment w:val="auto"/>
        <w:rPr>
          <w:sz w:val="32"/>
          <w:szCs w:val="32"/>
        </w:rPr>
      </w:pPr>
      <w:r>
        <w:rPr>
          <w:sz w:val="32"/>
          <w:szCs w:val="32"/>
          <w:shd w:val="clear" w:fill="FFFFFF"/>
        </w:rPr>
        <w:t> （1）一般公共服务支出163.25万元，占80.9%，较年初预算数增加32.93万元，增长25.3%，主要原因</w:t>
      </w:r>
      <w:r>
        <w:rPr>
          <w:rFonts w:ascii="方正仿宋_GBK" w:hAnsi="方正仿宋_GBK" w:eastAsia="方正仿宋_GBK" w:cs="方正仿宋_GBK"/>
          <w:sz w:val="32"/>
          <w:szCs w:val="32"/>
        </w:rPr>
        <w:t>一是</w:t>
      </w:r>
      <w:r>
        <w:rPr>
          <w:rFonts w:hint="eastAsia" w:ascii="方正仿宋_GBK" w:hAnsi="方正仿宋_GBK" w:eastAsia="方正仿宋_GBK" w:cs="方正仿宋_GBK"/>
          <w:sz w:val="32"/>
          <w:szCs w:val="32"/>
          <w:lang w:eastAsia="zh-CN"/>
        </w:rPr>
        <w:t>人员调动调整</w:t>
      </w:r>
      <w:r>
        <w:rPr>
          <w:rFonts w:ascii="方正仿宋_GBK" w:hAnsi="方正仿宋_GBK" w:eastAsia="方正仿宋_GBK" w:cs="方正仿宋_GBK"/>
          <w:sz w:val="32"/>
          <w:szCs w:val="32"/>
        </w:rPr>
        <w:t>增加了人员经费支出；二是增加了一般行政管理事务支出</w:t>
      </w:r>
      <w:r>
        <w:rPr>
          <w:rFonts w:hint="default" w:ascii="Times New Roman" w:hAnsi="Times New Roman" w:eastAsia="方正仿宋_GBK" w:cs="Times New Roman"/>
          <w:sz w:val="32"/>
          <w:szCs w:val="32"/>
          <w:shd w:val="clear" w:fill="FFFFFF"/>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jc w:val="left"/>
        <w:textAlignment w:val="auto"/>
        <w:rPr>
          <w:rFonts w:hint="eastAsia" w:eastAsia="方正仿宋_GBK"/>
          <w:sz w:val="32"/>
          <w:szCs w:val="32"/>
          <w:lang w:eastAsia="zh-CN"/>
        </w:rPr>
      </w:pPr>
      <w:r>
        <w:rPr>
          <w:sz w:val="32"/>
          <w:szCs w:val="32"/>
          <w:shd w:val="clear" w:fill="FFFFFF"/>
        </w:rPr>
        <w:t> （</w:t>
      </w:r>
      <w:r>
        <w:rPr>
          <w:rFonts w:hint="eastAsia"/>
          <w:sz w:val="32"/>
          <w:szCs w:val="32"/>
          <w:shd w:val="clear" w:fill="FFFFFF"/>
          <w:lang w:val="en-US" w:eastAsia="zh-CN"/>
        </w:rPr>
        <w:t>2</w:t>
      </w:r>
      <w:r>
        <w:rPr>
          <w:sz w:val="32"/>
          <w:szCs w:val="32"/>
          <w:shd w:val="clear" w:fill="FFFFFF"/>
        </w:rPr>
        <w:t>）教育支出0.4</w:t>
      </w:r>
      <w:r>
        <w:rPr>
          <w:rFonts w:hint="eastAsia"/>
          <w:sz w:val="32"/>
          <w:szCs w:val="32"/>
          <w:shd w:val="clear" w:fill="FFFFFF"/>
          <w:lang w:val="en-US" w:eastAsia="zh-CN"/>
        </w:rPr>
        <w:t>0</w:t>
      </w:r>
      <w:r>
        <w:rPr>
          <w:sz w:val="32"/>
          <w:szCs w:val="32"/>
          <w:shd w:val="clear" w:fill="FFFFFF"/>
        </w:rPr>
        <w:t>万元，占0.2%，</w:t>
      </w:r>
      <w:r>
        <w:rPr>
          <w:rFonts w:hint="eastAsia"/>
          <w:sz w:val="32"/>
          <w:szCs w:val="32"/>
          <w:shd w:val="clear" w:fill="FFFFFF"/>
          <w:lang w:eastAsia="zh-CN"/>
        </w:rPr>
        <w:t>与</w:t>
      </w:r>
      <w:r>
        <w:rPr>
          <w:sz w:val="32"/>
          <w:szCs w:val="32"/>
          <w:shd w:val="clear" w:fill="FFFFFF"/>
        </w:rPr>
        <w:t>年初预算</w:t>
      </w:r>
      <w:r>
        <w:rPr>
          <w:rFonts w:hint="eastAsia"/>
          <w:sz w:val="32"/>
          <w:szCs w:val="32"/>
          <w:shd w:val="clear" w:fill="FFFFFF"/>
          <w:lang w:eastAsia="zh-CN"/>
        </w:rPr>
        <w:t>持平。</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jc w:val="left"/>
        <w:textAlignment w:val="auto"/>
        <w:rPr>
          <w:rFonts w:hint="eastAsia" w:eastAsia="方正仿宋_GBK"/>
          <w:sz w:val="32"/>
          <w:szCs w:val="32"/>
          <w:lang w:eastAsia="zh-CN"/>
        </w:rPr>
      </w:pPr>
      <w:r>
        <w:rPr>
          <w:sz w:val="32"/>
          <w:szCs w:val="32"/>
          <w:shd w:val="clear" w:fill="FFFFFF"/>
        </w:rPr>
        <w:t> （</w:t>
      </w:r>
      <w:r>
        <w:rPr>
          <w:rFonts w:hint="eastAsia"/>
          <w:sz w:val="32"/>
          <w:szCs w:val="32"/>
          <w:shd w:val="clear" w:fill="FFFFFF"/>
          <w:lang w:val="en-US" w:eastAsia="zh-CN"/>
        </w:rPr>
        <w:t>3</w:t>
      </w:r>
      <w:r>
        <w:rPr>
          <w:sz w:val="32"/>
          <w:szCs w:val="32"/>
          <w:shd w:val="clear" w:fill="FFFFFF"/>
        </w:rPr>
        <w:t>）社会保障与就业支出25.2</w:t>
      </w:r>
      <w:r>
        <w:rPr>
          <w:rFonts w:hint="eastAsia"/>
          <w:sz w:val="32"/>
          <w:szCs w:val="32"/>
          <w:shd w:val="clear" w:fill="FFFFFF"/>
          <w:lang w:val="en-US" w:eastAsia="zh-CN"/>
        </w:rPr>
        <w:t>0</w:t>
      </w:r>
      <w:r>
        <w:rPr>
          <w:sz w:val="32"/>
          <w:szCs w:val="32"/>
          <w:shd w:val="clear" w:fill="FFFFFF"/>
        </w:rPr>
        <w:t>万元，占12.5%，</w:t>
      </w:r>
      <w:r>
        <w:rPr>
          <w:rFonts w:hint="eastAsia"/>
          <w:sz w:val="32"/>
          <w:szCs w:val="32"/>
          <w:shd w:val="clear" w:fill="FFFFFF"/>
          <w:lang w:eastAsia="zh-CN"/>
        </w:rPr>
        <w:t>与</w:t>
      </w:r>
      <w:r>
        <w:rPr>
          <w:sz w:val="32"/>
          <w:szCs w:val="32"/>
          <w:shd w:val="clear" w:fill="FFFFFF"/>
        </w:rPr>
        <w:t>年初预算</w:t>
      </w:r>
      <w:r>
        <w:rPr>
          <w:rFonts w:hint="eastAsia"/>
          <w:sz w:val="32"/>
          <w:szCs w:val="32"/>
          <w:shd w:val="clear" w:fill="FFFFFF"/>
          <w:lang w:eastAsia="zh-CN"/>
        </w:rPr>
        <w:t>持平。</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jc w:val="left"/>
        <w:textAlignment w:val="auto"/>
        <w:rPr>
          <w:sz w:val="32"/>
          <w:szCs w:val="32"/>
        </w:rPr>
      </w:pPr>
      <w:r>
        <w:rPr>
          <w:sz w:val="32"/>
          <w:szCs w:val="32"/>
          <w:shd w:val="clear" w:fill="FFFFFF"/>
        </w:rPr>
        <w:t> （</w:t>
      </w:r>
      <w:r>
        <w:rPr>
          <w:rFonts w:hint="eastAsia"/>
          <w:sz w:val="32"/>
          <w:szCs w:val="32"/>
          <w:shd w:val="clear" w:fill="FFFFFF"/>
          <w:lang w:val="en-US" w:eastAsia="zh-CN"/>
        </w:rPr>
        <w:t>4</w:t>
      </w:r>
      <w:r>
        <w:rPr>
          <w:sz w:val="32"/>
          <w:szCs w:val="32"/>
          <w:shd w:val="clear" w:fill="FFFFFF"/>
        </w:rPr>
        <w:t>）卫生健康支出5.45万元，占2.7%，</w:t>
      </w:r>
      <w:r>
        <w:rPr>
          <w:rFonts w:hint="eastAsia"/>
          <w:sz w:val="32"/>
          <w:szCs w:val="32"/>
          <w:shd w:val="clear" w:fill="FFFFFF"/>
          <w:lang w:eastAsia="zh-CN"/>
        </w:rPr>
        <w:t>与</w:t>
      </w:r>
      <w:r>
        <w:rPr>
          <w:sz w:val="32"/>
          <w:szCs w:val="32"/>
          <w:shd w:val="clear" w:fill="FFFFFF"/>
        </w:rPr>
        <w:t>年初预算</w:t>
      </w:r>
      <w:r>
        <w:rPr>
          <w:rFonts w:hint="eastAsia"/>
          <w:sz w:val="32"/>
          <w:szCs w:val="32"/>
          <w:shd w:val="clear" w:fill="FFFFFF"/>
          <w:lang w:eastAsia="zh-CN"/>
        </w:rPr>
        <w:t>持平。</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jc w:val="left"/>
        <w:textAlignment w:val="auto"/>
        <w:rPr>
          <w:sz w:val="32"/>
          <w:szCs w:val="32"/>
        </w:rPr>
      </w:pPr>
      <w:r>
        <w:rPr>
          <w:sz w:val="32"/>
          <w:szCs w:val="32"/>
          <w:shd w:val="clear" w:fill="FFFFFF"/>
        </w:rPr>
        <w:t> （</w:t>
      </w:r>
      <w:r>
        <w:rPr>
          <w:rFonts w:hint="eastAsia"/>
          <w:sz w:val="32"/>
          <w:szCs w:val="32"/>
          <w:shd w:val="clear" w:fill="FFFFFF"/>
          <w:lang w:val="en-US" w:eastAsia="zh-CN"/>
        </w:rPr>
        <w:t>5</w:t>
      </w:r>
      <w:r>
        <w:rPr>
          <w:sz w:val="32"/>
          <w:szCs w:val="32"/>
          <w:shd w:val="clear" w:fill="FFFFFF"/>
        </w:rPr>
        <w:t>）住房保障支出6.54万元，占3.2%，</w:t>
      </w:r>
      <w:r>
        <w:rPr>
          <w:rFonts w:hint="eastAsia"/>
          <w:sz w:val="32"/>
          <w:szCs w:val="32"/>
          <w:shd w:val="clear" w:fill="FFFFFF"/>
          <w:lang w:eastAsia="zh-CN"/>
        </w:rPr>
        <w:t>与</w:t>
      </w:r>
      <w:r>
        <w:rPr>
          <w:sz w:val="32"/>
          <w:szCs w:val="32"/>
          <w:shd w:val="clear" w:fill="FFFFFF"/>
        </w:rPr>
        <w:t>年初预算</w:t>
      </w:r>
      <w:r>
        <w:rPr>
          <w:rFonts w:hint="eastAsia"/>
          <w:sz w:val="32"/>
          <w:szCs w:val="32"/>
          <w:shd w:val="clear" w:fill="FFFFFF"/>
          <w:lang w:eastAsia="zh-CN"/>
        </w:rPr>
        <w:t>持平。</w:t>
      </w:r>
      <w:r>
        <w:rPr>
          <w:color w:val="FF0000"/>
          <w:sz w:val="32"/>
          <w:szCs w:val="32"/>
          <w:shd w:val="clear" w:fill="FFFFFF"/>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jc w:val="left"/>
        <w:textAlignment w:val="auto"/>
        <w:rPr>
          <w:rFonts w:hint="default" w:eastAsia="方正仿宋_GBK"/>
          <w:sz w:val="32"/>
          <w:szCs w:val="32"/>
          <w:lang w:val="en-US" w:eastAsia="zh-CN"/>
        </w:rPr>
      </w:pPr>
      <w:r>
        <w:rPr>
          <w:sz w:val="32"/>
          <w:szCs w:val="32"/>
          <w:shd w:val="clear" w:fill="FFFFFF"/>
        </w:rPr>
        <w:t> （</w:t>
      </w:r>
      <w:r>
        <w:rPr>
          <w:rFonts w:hint="eastAsia"/>
          <w:sz w:val="32"/>
          <w:szCs w:val="32"/>
          <w:shd w:val="clear" w:fill="FFFFFF"/>
          <w:lang w:val="en-US" w:eastAsia="zh-CN"/>
        </w:rPr>
        <w:t>6</w:t>
      </w:r>
      <w:r>
        <w:rPr>
          <w:sz w:val="32"/>
          <w:szCs w:val="32"/>
          <w:shd w:val="clear" w:fill="FFFFFF"/>
        </w:rPr>
        <w:t>）灾害防治及应急管理支出1</w:t>
      </w:r>
      <w:r>
        <w:rPr>
          <w:rFonts w:hint="eastAsia"/>
          <w:sz w:val="32"/>
          <w:szCs w:val="32"/>
          <w:shd w:val="clear" w:fill="FFFFFF"/>
          <w:lang w:val="en-US" w:eastAsia="zh-CN"/>
        </w:rPr>
        <w:t>.00</w:t>
      </w:r>
      <w:r>
        <w:rPr>
          <w:sz w:val="32"/>
          <w:szCs w:val="32"/>
          <w:shd w:val="clear" w:fill="FFFFFF"/>
        </w:rPr>
        <w:t>万元，占0.5%，较年初预算数增加1</w:t>
      </w:r>
      <w:r>
        <w:rPr>
          <w:rFonts w:hint="eastAsia"/>
          <w:sz w:val="32"/>
          <w:szCs w:val="32"/>
          <w:shd w:val="clear" w:fill="FFFFFF"/>
          <w:lang w:val="en-US" w:eastAsia="zh-CN"/>
        </w:rPr>
        <w:t>.00</w:t>
      </w:r>
      <w:r>
        <w:rPr>
          <w:sz w:val="32"/>
          <w:szCs w:val="32"/>
          <w:shd w:val="clear" w:fill="FFFFFF"/>
        </w:rPr>
        <w:t>万元，增长</w:t>
      </w:r>
      <w:r>
        <w:rPr>
          <w:rFonts w:hint="eastAsia"/>
          <w:sz w:val="32"/>
          <w:szCs w:val="32"/>
          <w:shd w:val="clear" w:fill="FFFFFF"/>
          <w:lang w:val="en-US" w:eastAsia="zh-CN"/>
        </w:rPr>
        <w:t>100</w:t>
      </w:r>
      <w:r>
        <w:rPr>
          <w:sz w:val="32"/>
          <w:szCs w:val="32"/>
          <w:shd w:val="clear" w:fill="FFFFFF"/>
        </w:rPr>
        <w:t>%，主要原因是</w:t>
      </w:r>
      <w:r>
        <w:rPr>
          <w:rFonts w:hint="eastAsia"/>
          <w:sz w:val="32"/>
          <w:szCs w:val="32"/>
          <w:shd w:val="clear" w:fill="FFFFFF"/>
          <w:lang w:eastAsia="zh-CN"/>
        </w:rPr>
        <w:t>财政调整下达</w:t>
      </w:r>
      <w:r>
        <w:rPr>
          <w:rFonts w:hint="eastAsia"/>
          <w:sz w:val="32"/>
          <w:szCs w:val="32"/>
          <w:shd w:val="clear" w:fill="FFFFFF"/>
          <w:lang w:val="en-US" w:eastAsia="zh-CN"/>
        </w:rPr>
        <w:t>2019年度安全生产专项经费。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jc w:val="left"/>
        <w:textAlignment w:val="auto"/>
        <w:rPr>
          <w:rStyle w:val="11"/>
          <w:rFonts w:hint="eastAsia" w:ascii="方正楷体_GBK" w:hAnsi="方正楷体_GBK" w:eastAsia="方正楷体_GBK" w:cs="方正楷体_GBK"/>
          <w:b w:val="0"/>
          <w:bCs/>
          <w:sz w:val="32"/>
          <w:szCs w:val="32"/>
          <w:shd w:val="clear" w:fill="FFFFFF"/>
        </w:rPr>
      </w:pPr>
      <w:r>
        <w:rPr>
          <w:rStyle w:val="11"/>
          <w:rFonts w:hint="eastAsia" w:ascii="方正楷体_GBK" w:hAnsi="方正楷体_GBK" w:eastAsia="方正楷体_GBK" w:cs="方正楷体_GBK"/>
          <w:b w:val="0"/>
          <w:bCs/>
          <w:sz w:val="32"/>
          <w:szCs w:val="32"/>
          <w:shd w:val="clear" w:fill="FFFFFF"/>
        </w:rPr>
        <w:t> （四）一般公共预算财政拨款基本支出决算情况说明</w:t>
      </w:r>
    </w:p>
    <w:p>
      <w:pPr>
        <w:pStyle w:val="7"/>
        <w:keepNext w:val="0"/>
        <w:keepLines w:val="0"/>
        <w:pageBreakBefore w:val="0"/>
        <w:widowControl/>
        <w:shd w:val="clear" w:fill="FFFFFF"/>
        <w:kinsoku/>
        <w:wordWrap/>
        <w:overflowPunct/>
        <w:topLinePunct w:val="0"/>
        <w:autoSpaceDE/>
        <w:autoSpaceDN/>
        <w:bidi w:val="0"/>
        <w:adjustRightInd/>
        <w:snapToGrid w:val="0"/>
        <w:spacing w:beforeAutospacing="0" w:afterAutospacing="0"/>
        <w:textAlignment w:val="auto"/>
        <w:rPr>
          <w:sz w:val="32"/>
          <w:szCs w:val="32"/>
        </w:rPr>
      </w:pPr>
      <w:r>
        <w:rPr>
          <w:sz w:val="32"/>
          <w:szCs w:val="32"/>
          <w:shd w:val="clear" w:fill="FFFFFF"/>
        </w:rPr>
        <w:t> 2021年度一般公共财政拨款基本支出166.86万元。其中：人员经费145.64万元，较上年决算数增加35.25万元，增长31.9%，主要原因</w:t>
      </w:r>
      <w:r>
        <w:rPr>
          <w:rFonts w:hint="eastAsia"/>
          <w:sz w:val="32"/>
          <w:szCs w:val="32"/>
          <w:shd w:val="clear" w:fill="FFFFFF"/>
          <w:lang w:eastAsia="zh-CN"/>
        </w:rPr>
        <w:t>一</w:t>
      </w:r>
      <w:r>
        <w:rPr>
          <w:sz w:val="32"/>
          <w:szCs w:val="32"/>
          <w:shd w:val="clear" w:fill="FFFFFF"/>
        </w:rPr>
        <w:t>是</w:t>
      </w:r>
      <w:r>
        <w:rPr>
          <w:rFonts w:hint="default"/>
          <w:sz w:val="32"/>
          <w:szCs w:val="32"/>
          <w:shd w:val="clear" w:fill="FFFFFF"/>
        </w:rPr>
        <w:t>实有人员增加，增加了人员经费</w:t>
      </w:r>
      <w:r>
        <w:rPr>
          <w:rFonts w:hint="eastAsia"/>
          <w:sz w:val="32"/>
          <w:szCs w:val="32"/>
          <w:shd w:val="clear" w:fill="FFFFFF"/>
          <w:lang w:eastAsia="zh-CN"/>
        </w:rPr>
        <w:t>；二是发生记实机关事业单位准备期职业年金支出。</w:t>
      </w:r>
      <w:r>
        <w:rPr>
          <w:sz w:val="32"/>
          <w:szCs w:val="32"/>
          <w:shd w:val="clear" w:fill="FFFFFF"/>
        </w:rPr>
        <w:t>人员经费用途主要包括</w:t>
      </w:r>
      <w:r>
        <w:rPr>
          <w:rFonts w:hint="default" w:ascii="方正仿宋_GBK" w:hAnsi="方正仿宋_GBK" w:eastAsia="方正仿宋_GBK" w:cs="方正仿宋_GBK"/>
          <w:sz w:val="32"/>
          <w:szCs w:val="32"/>
        </w:rPr>
        <w:t>基本工资、津贴补贴、奖金、社会保障缴费</w:t>
      </w:r>
      <w:r>
        <w:rPr>
          <w:rFonts w:ascii="方正仿宋_GBK" w:hAnsi="方正仿宋_GBK" w:eastAsia="方正仿宋_GBK" w:cs="方正仿宋_GBK"/>
          <w:sz w:val="32"/>
          <w:szCs w:val="32"/>
        </w:rPr>
        <w:t>等</w:t>
      </w:r>
      <w:r>
        <w:rPr>
          <w:rFonts w:hint="eastAsia" w:ascii="方正仿宋_GBK" w:hAnsi="方正仿宋_GBK" w:cs="方正仿宋_GBK"/>
          <w:sz w:val="32"/>
          <w:szCs w:val="32"/>
          <w:lang w:eastAsia="zh-CN"/>
        </w:rPr>
        <w:t>。</w:t>
      </w:r>
      <w:r>
        <w:rPr>
          <w:sz w:val="32"/>
          <w:szCs w:val="32"/>
          <w:shd w:val="clear" w:fill="FFFFFF"/>
        </w:rPr>
        <w:t>公用经费21.22万元，较上年决算数增加3.58万元，增长20.3%，主要原因是</w:t>
      </w:r>
      <w:r>
        <w:rPr>
          <w:rFonts w:hint="default"/>
          <w:sz w:val="32"/>
          <w:szCs w:val="32"/>
          <w:shd w:val="clear" w:fill="FFFFFF"/>
        </w:rPr>
        <w:t>实有人员增加，增加了</w:t>
      </w:r>
      <w:r>
        <w:rPr>
          <w:rFonts w:hint="eastAsia"/>
          <w:sz w:val="32"/>
          <w:szCs w:val="32"/>
          <w:shd w:val="clear" w:fill="FFFFFF"/>
          <w:lang w:eastAsia="zh-CN"/>
        </w:rPr>
        <w:t>公用</w:t>
      </w:r>
      <w:r>
        <w:rPr>
          <w:rFonts w:hint="default"/>
          <w:sz w:val="32"/>
          <w:szCs w:val="32"/>
          <w:shd w:val="clear" w:fill="FFFFFF"/>
        </w:rPr>
        <w:t>经费</w:t>
      </w:r>
      <w:r>
        <w:rPr>
          <w:rFonts w:hint="eastAsia"/>
          <w:sz w:val="32"/>
          <w:szCs w:val="32"/>
          <w:shd w:val="clear" w:fill="FFFFFF"/>
          <w:lang w:eastAsia="zh-CN"/>
        </w:rPr>
        <w:t>。</w:t>
      </w:r>
      <w:r>
        <w:rPr>
          <w:sz w:val="32"/>
          <w:szCs w:val="32"/>
          <w:shd w:val="clear" w:fill="FFFFFF"/>
        </w:rPr>
        <w:t>公用经费用途主要包括</w:t>
      </w:r>
      <w:r>
        <w:rPr>
          <w:rFonts w:ascii="方正仿宋_GBK" w:hAnsi="方正仿宋_GBK" w:eastAsia="方正仿宋_GBK" w:cs="方正仿宋_GBK"/>
          <w:sz w:val="32"/>
          <w:szCs w:val="32"/>
        </w:rPr>
        <w:t>办公费</w:t>
      </w:r>
      <w:r>
        <w:rPr>
          <w:rFonts w:hint="eastAsia" w:ascii="方正仿宋_GBK" w:hAnsi="方正仿宋_GBK" w:cs="方正仿宋_GBK"/>
          <w:sz w:val="32"/>
          <w:szCs w:val="32"/>
          <w:lang w:eastAsia="zh-CN"/>
        </w:rPr>
        <w:t>、</w:t>
      </w:r>
      <w:r>
        <w:rPr>
          <w:rFonts w:ascii="方正仿宋_GBK" w:hAnsi="方正仿宋_GBK" w:eastAsia="方正仿宋_GBK" w:cs="方正仿宋_GBK"/>
          <w:sz w:val="32"/>
          <w:szCs w:val="32"/>
        </w:rPr>
        <w:t>邮电费、差旅费、</w:t>
      </w:r>
      <w:r>
        <w:rPr>
          <w:rFonts w:hint="eastAsia" w:ascii="方正仿宋_GBK" w:hAnsi="方正仿宋_GBK" w:cs="方正仿宋_GBK"/>
          <w:sz w:val="32"/>
          <w:szCs w:val="32"/>
          <w:lang w:eastAsia="zh-CN"/>
        </w:rPr>
        <w:t>培训费、</w:t>
      </w:r>
      <w:r>
        <w:rPr>
          <w:rFonts w:ascii="方正仿宋_GBK" w:hAnsi="方正仿宋_GBK" w:eastAsia="方正仿宋_GBK" w:cs="方正仿宋_GBK"/>
          <w:sz w:val="32"/>
          <w:szCs w:val="32"/>
        </w:rPr>
        <w:t>公务接待费、劳务费、工会经费、其他交通费用、其他商品和服务支出等</w:t>
      </w:r>
      <w:r>
        <w:rPr>
          <w:rFonts w:hint="default" w:ascii="Times New Roman" w:hAnsi="Times New Roman" w:eastAsia="方正仿宋_GBK" w:cs="Times New Roman"/>
          <w:sz w:val="32"/>
          <w:szCs w:val="32"/>
          <w:shd w:val="clear" w:fill="FFFFFF"/>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rStyle w:val="11"/>
          <w:rFonts w:hint="eastAsia" w:ascii="方正楷体_GBK" w:hAnsi="方正楷体_GBK" w:eastAsia="方正楷体_GBK" w:cs="方正楷体_GBK"/>
          <w:b w:val="0"/>
          <w:bCs/>
          <w:sz w:val="32"/>
          <w:szCs w:val="32"/>
          <w:shd w:val="clear" w:fill="FFFFFF"/>
        </w:rPr>
      </w:pPr>
      <w:r>
        <w:rPr>
          <w:rStyle w:val="11"/>
          <w:rFonts w:hint="eastAsia" w:ascii="方正楷体_GBK" w:hAnsi="方正楷体_GBK" w:eastAsia="方正楷体_GBK" w:cs="方正楷体_GBK"/>
          <w:b w:val="0"/>
          <w:bCs/>
          <w:sz w:val="32"/>
          <w:szCs w:val="32"/>
          <w:shd w:val="clear" w:fill="FFFFFF"/>
        </w:rPr>
        <w:t>（五）政府性基金预算收支决算情况说明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rFonts w:hint="eastAsia" w:ascii="方正仿宋_GBK" w:hAnsi="方正仿宋_GBK" w:cs="方正仿宋_GBK"/>
          <w:sz w:val="32"/>
          <w:szCs w:val="32"/>
          <w:lang w:eastAsia="zh-CN"/>
        </w:rPr>
      </w:pPr>
      <w:r>
        <w:rPr>
          <w:rFonts w:hint="eastAsia" w:ascii="方正仿宋_GBK" w:hAnsi="方正仿宋_GBK" w:cs="方正仿宋_GBK"/>
          <w:sz w:val="32"/>
          <w:szCs w:val="32"/>
          <w:lang w:eastAsia="zh-CN"/>
        </w:rPr>
        <w:t>本部门2021年度无政府性基金预算财政拨款收支。</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rStyle w:val="11"/>
          <w:rFonts w:hint="eastAsia" w:ascii="方正楷体_GBK" w:hAnsi="方正楷体_GBK" w:eastAsia="方正楷体_GBK" w:cs="方正楷体_GBK"/>
          <w:b w:val="0"/>
          <w:bCs/>
          <w:sz w:val="32"/>
          <w:szCs w:val="32"/>
          <w:shd w:val="clear" w:fill="FFFFFF"/>
        </w:rPr>
      </w:pPr>
      <w:r>
        <w:rPr>
          <w:rStyle w:val="11"/>
          <w:rFonts w:hint="eastAsia" w:ascii="方正楷体_GBK" w:hAnsi="方正楷体_GBK" w:eastAsia="方正楷体_GBK" w:cs="方正楷体_GBK"/>
          <w:b w:val="0"/>
          <w:bCs/>
          <w:sz w:val="32"/>
          <w:szCs w:val="32"/>
          <w:shd w:val="clear" w:fill="FFFFFF"/>
        </w:rPr>
        <w:t>（六）国有资本经营预算财政拨款支出决算情况说明。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rFonts w:hint="eastAsia" w:ascii="方正仿宋_GBK" w:hAnsi="方正仿宋_GBK" w:cs="方正仿宋_GBK"/>
          <w:sz w:val="32"/>
          <w:szCs w:val="32"/>
          <w:lang w:eastAsia="zh-CN"/>
        </w:rPr>
      </w:pPr>
      <w:r>
        <w:rPr>
          <w:rFonts w:hint="eastAsia" w:ascii="方正仿宋_GBK" w:hAnsi="方正仿宋_GBK" w:cs="方正仿宋_GBK"/>
          <w:sz w:val="32"/>
          <w:szCs w:val="32"/>
          <w:lang w:eastAsia="zh-CN"/>
        </w:rPr>
        <w:t>本部门2021年度无国有资本经营预算财政拨款支出。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sz w:val="32"/>
          <w:szCs w:val="32"/>
        </w:rPr>
      </w:pPr>
      <w:r>
        <w:rPr>
          <w:rStyle w:val="11"/>
          <w:rFonts w:hint="eastAsia" w:ascii="方正黑体_GBK" w:hAnsi="方正黑体_GBK" w:eastAsia="方正黑体_GBK" w:cs="方正黑体_GBK"/>
          <w:b w:val="0"/>
          <w:bCs/>
          <w:sz w:val="32"/>
          <w:szCs w:val="32"/>
          <w:shd w:val="clear" w:fill="FFFFFF"/>
        </w:rPr>
        <w:t>三、“三公”经费情况说明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rStyle w:val="11"/>
          <w:rFonts w:hint="eastAsia" w:ascii="方正楷体_GBK" w:hAnsi="方正楷体_GBK" w:eastAsia="方正楷体_GBK" w:cs="方正楷体_GBK"/>
          <w:b w:val="0"/>
          <w:bCs/>
          <w:sz w:val="32"/>
          <w:szCs w:val="32"/>
          <w:shd w:val="clear" w:fill="FFFFFF"/>
        </w:rPr>
      </w:pPr>
      <w:r>
        <w:rPr>
          <w:rStyle w:val="11"/>
          <w:rFonts w:hint="eastAsia" w:ascii="方正楷体_GBK" w:hAnsi="方正楷体_GBK" w:eastAsia="方正楷体_GBK" w:cs="方正楷体_GBK"/>
          <w:b w:val="0"/>
          <w:bCs/>
          <w:sz w:val="32"/>
          <w:szCs w:val="32"/>
          <w:shd w:val="clear" w:fill="FFFFFF"/>
        </w:rPr>
        <w:t>（一）“三公”经费支出总体情况说明</w:t>
      </w:r>
    </w:p>
    <w:p>
      <w:pPr>
        <w:pStyle w:val="7"/>
        <w:keepNext w:val="0"/>
        <w:keepLines w:val="0"/>
        <w:pageBreakBefore w:val="0"/>
        <w:widowControl/>
        <w:shd w:val="clear" w:fill="FFFFFF"/>
        <w:kinsoku/>
        <w:wordWrap/>
        <w:overflowPunct/>
        <w:topLinePunct w:val="0"/>
        <w:autoSpaceDE/>
        <w:autoSpaceDN/>
        <w:bidi w:val="0"/>
        <w:adjustRightInd/>
        <w:snapToGrid w:val="0"/>
        <w:spacing w:beforeAutospacing="0" w:afterAutospacing="0"/>
        <w:ind w:left="0" w:leftChars="0" w:firstLine="640" w:firstLineChars="200"/>
        <w:textAlignment w:val="auto"/>
        <w:rPr>
          <w:sz w:val="32"/>
          <w:szCs w:val="32"/>
        </w:rPr>
      </w:pPr>
      <w:r>
        <w:rPr>
          <w:sz w:val="32"/>
          <w:szCs w:val="32"/>
          <w:shd w:val="clear" w:fill="FFFFFF"/>
        </w:rPr>
        <w:t>2021年度“三公”经费支出共计0.42万元，较年初预算数减少0.98万元，下降70%，主要原因是</w:t>
      </w:r>
      <w:r>
        <w:rPr>
          <w:rFonts w:hint="default" w:ascii="Times New Roman" w:hAnsi="Times New Roman" w:eastAsia="方正仿宋_GBK" w:cs="Times New Roman"/>
          <w:sz w:val="32"/>
          <w:szCs w:val="32"/>
          <w:shd w:val="clear" w:fill="FFFFFF"/>
          <w:lang w:eastAsia="zh-CN"/>
        </w:rPr>
        <w:t>本部门严把预算关，按照能减就减的原则控制“三公”经费支出。</w:t>
      </w:r>
      <w:r>
        <w:rPr>
          <w:sz w:val="32"/>
          <w:szCs w:val="32"/>
          <w:shd w:val="clear" w:fill="FFFFFF"/>
        </w:rPr>
        <w:t>较上年支出数减少0.26万元，下降38.2%，主要原因是</w:t>
      </w:r>
      <w:r>
        <w:rPr>
          <w:rFonts w:hint="eastAsia" w:ascii="Times New Roman" w:hAnsi="Times New Roman" w:eastAsia="方正仿宋_GBK" w:cs="Times New Roman"/>
          <w:sz w:val="32"/>
          <w:szCs w:val="32"/>
          <w:shd w:val="clear" w:fill="FFFFFF"/>
          <w:lang w:eastAsia="zh-CN"/>
        </w:rPr>
        <w:t>本部门</w:t>
      </w:r>
      <w:r>
        <w:rPr>
          <w:rFonts w:hint="eastAsia" w:ascii="Times New Roman" w:hAnsi="Times New Roman" w:cs="Times New Roman"/>
          <w:sz w:val="32"/>
          <w:szCs w:val="32"/>
          <w:shd w:val="clear" w:fill="FFFFFF"/>
          <w:lang w:eastAsia="zh-CN"/>
        </w:rPr>
        <w:t>严控</w:t>
      </w:r>
      <w:r>
        <w:rPr>
          <w:rFonts w:hint="default" w:ascii="Times New Roman" w:hAnsi="Times New Roman" w:eastAsia="方正仿宋_GBK" w:cs="Times New Roman"/>
          <w:sz w:val="32"/>
          <w:szCs w:val="32"/>
          <w:shd w:val="clear" w:fill="FFFFFF"/>
          <w:lang w:eastAsia="zh-CN"/>
        </w:rPr>
        <w:t>公务接待，</w:t>
      </w:r>
      <w:r>
        <w:rPr>
          <w:rFonts w:hint="eastAsia" w:ascii="Times New Roman" w:hAnsi="Times New Roman" w:eastAsia="方正仿宋_GBK" w:cs="Times New Roman"/>
          <w:sz w:val="32"/>
          <w:szCs w:val="32"/>
          <w:shd w:val="clear" w:fill="FFFFFF"/>
          <w:lang w:eastAsia="zh-CN"/>
        </w:rPr>
        <w:t>公务接待支出减少</w:t>
      </w:r>
      <w:r>
        <w:rPr>
          <w:rFonts w:hint="default" w:ascii="Times New Roman" w:hAnsi="Times New Roman" w:eastAsia="方正仿宋_GBK" w:cs="Times New Roman"/>
          <w:sz w:val="32"/>
          <w:szCs w:val="32"/>
          <w:shd w:val="clear" w:fill="FFFFFF"/>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rStyle w:val="11"/>
          <w:rFonts w:hint="eastAsia" w:ascii="方正楷体_GBK" w:hAnsi="方正楷体_GBK" w:eastAsia="方正楷体_GBK" w:cs="方正楷体_GBK"/>
          <w:b w:val="0"/>
          <w:bCs/>
          <w:sz w:val="32"/>
          <w:szCs w:val="32"/>
          <w:shd w:val="clear" w:fill="FFFFFF"/>
        </w:rPr>
      </w:pPr>
      <w:r>
        <w:rPr>
          <w:rStyle w:val="11"/>
          <w:rFonts w:hint="eastAsia" w:ascii="方正楷体_GBK" w:hAnsi="方正楷体_GBK" w:eastAsia="方正楷体_GBK" w:cs="方正楷体_GBK"/>
          <w:b w:val="0"/>
          <w:bCs/>
          <w:sz w:val="32"/>
          <w:szCs w:val="32"/>
          <w:shd w:val="clear" w:fill="FFFFFF"/>
        </w:rPr>
        <w:t>（二）“三公”经费分项支出情况</w:t>
      </w:r>
    </w:p>
    <w:p>
      <w:pPr>
        <w:pStyle w:val="7"/>
        <w:keepNext w:val="0"/>
        <w:keepLines w:val="0"/>
        <w:pageBreakBefore w:val="0"/>
        <w:widowControl/>
        <w:shd w:val="clear" w:fill="FFFFFF"/>
        <w:kinsoku/>
        <w:wordWrap/>
        <w:overflowPunct/>
        <w:topLinePunct w:val="0"/>
        <w:autoSpaceDE/>
        <w:autoSpaceDN/>
        <w:bidi w:val="0"/>
        <w:adjustRightInd/>
        <w:snapToGrid w:val="0"/>
        <w:spacing w:beforeAutospacing="0" w:afterAutospacing="0"/>
        <w:textAlignment w:val="auto"/>
        <w:rPr>
          <w:rFonts w:hint="default" w:ascii="Times New Roman" w:hAnsi="Times New Roman" w:eastAsia="方正仿宋_GBK" w:cs="Times New Roman"/>
          <w:sz w:val="32"/>
          <w:szCs w:val="32"/>
          <w:shd w:val="clear" w:fill="FFFFFF"/>
          <w:lang w:eastAsia="zh-CN"/>
        </w:rPr>
      </w:pPr>
      <w:r>
        <w:rPr>
          <w:rFonts w:hint="default" w:ascii="Times New Roman" w:hAnsi="Times New Roman" w:eastAsia="方正仿宋_GBK" w:cs="Times New Roman"/>
          <w:sz w:val="32"/>
          <w:szCs w:val="32"/>
          <w:shd w:val="clear" w:fill="FFFFFF"/>
        </w:rPr>
        <w:t> </w:t>
      </w:r>
      <w:r>
        <w:rPr>
          <w:rFonts w:hint="default" w:ascii="Times New Roman" w:hAnsi="Times New Roman" w:eastAsia="方正仿宋_GBK" w:cs="Times New Roman"/>
          <w:sz w:val="32"/>
          <w:szCs w:val="32"/>
          <w:shd w:val="clear" w:fill="FFFFFF"/>
          <w:lang w:val="en-US"/>
        </w:rPr>
        <w:t>202</w:t>
      </w:r>
      <w:r>
        <w:rPr>
          <w:rFonts w:hint="eastAsia" w:ascii="Times New Roman" w:hAnsi="Times New Roman" w:cs="Times New Roman"/>
          <w:sz w:val="32"/>
          <w:szCs w:val="32"/>
          <w:shd w:val="clear" w:fill="FFFFFF"/>
          <w:lang w:val="en-US" w:eastAsia="zh-CN"/>
        </w:rPr>
        <w:t>1</w:t>
      </w:r>
      <w:r>
        <w:rPr>
          <w:rFonts w:hint="default" w:ascii="Times New Roman" w:hAnsi="Times New Roman" w:eastAsia="方正仿宋_GBK" w:cs="Times New Roman"/>
          <w:sz w:val="32"/>
          <w:szCs w:val="32"/>
          <w:shd w:val="clear" w:fill="FFFFFF"/>
          <w:lang w:eastAsia="zh-CN"/>
        </w:rPr>
        <w:t>年度本部门因公出国（境）费用</w:t>
      </w:r>
      <w:r>
        <w:rPr>
          <w:rFonts w:hint="default" w:ascii="Times New Roman" w:hAnsi="Times New Roman" w:eastAsia="方正仿宋_GBK" w:cs="Times New Roman"/>
          <w:sz w:val="32"/>
          <w:szCs w:val="32"/>
          <w:shd w:val="clear" w:fill="FFFFFF"/>
          <w:lang w:val="en-US"/>
        </w:rPr>
        <w:t>0</w:t>
      </w:r>
      <w:r>
        <w:rPr>
          <w:rFonts w:hint="default" w:ascii="Times New Roman" w:hAnsi="Times New Roman" w:eastAsia="方正仿宋_GBK" w:cs="Times New Roman"/>
          <w:sz w:val="32"/>
          <w:szCs w:val="32"/>
          <w:shd w:val="clear" w:fill="FFFFFF"/>
          <w:lang w:eastAsia="zh-CN"/>
        </w:rPr>
        <w:t>万元。费用支出与年初预算数和上年决算数持平，本部门</w:t>
      </w:r>
      <w:r>
        <w:rPr>
          <w:rFonts w:hint="default" w:ascii="Times New Roman" w:hAnsi="Times New Roman" w:eastAsia="方正仿宋_GBK" w:cs="Times New Roman"/>
          <w:sz w:val="32"/>
          <w:szCs w:val="32"/>
          <w:shd w:val="clear" w:fill="FFFFFF"/>
          <w:lang w:val="en-US" w:eastAsia="zh-CN"/>
        </w:rPr>
        <w:t>202</w:t>
      </w:r>
      <w:r>
        <w:rPr>
          <w:rFonts w:hint="eastAsia" w:ascii="Times New Roman" w:hAnsi="Times New Roman" w:cs="Times New Roman"/>
          <w:sz w:val="32"/>
          <w:szCs w:val="32"/>
          <w:shd w:val="clear" w:fill="FFFFFF"/>
          <w:lang w:val="en-US" w:eastAsia="zh-CN"/>
        </w:rPr>
        <w:t>1</w:t>
      </w:r>
      <w:r>
        <w:rPr>
          <w:rFonts w:hint="default" w:ascii="Times New Roman" w:hAnsi="Times New Roman" w:eastAsia="方正仿宋_GBK" w:cs="Times New Roman"/>
          <w:sz w:val="32"/>
          <w:szCs w:val="32"/>
          <w:shd w:val="clear" w:fill="FFFFFF"/>
          <w:lang w:val="en-US" w:eastAsia="zh-CN"/>
        </w:rPr>
        <w:t>年度未发生</w:t>
      </w:r>
      <w:r>
        <w:rPr>
          <w:rFonts w:hint="default" w:ascii="Times New Roman" w:hAnsi="Times New Roman" w:eastAsia="方正仿宋_GBK" w:cs="Times New Roman"/>
          <w:sz w:val="32"/>
          <w:szCs w:val="32"/>
          <w:shd w:val="clear" w:fill="FFFFFF"/>
          <w:lang w:eastAsia="zh-CN"/>
        </w:rPr>
        <w:t>因公出国（境）支出。</w:t>
      </w:r>
    </w:p>
    <w:p>
      <w:pPr>
        <w:pStyle w:val="7"/>
        <w:keepNext w:val="0"/>
        <w:keepLines w:val="0"/>
        <w:pageBreakBefore w:val="0"/>
        <w:widowControl/>
        <w:shd w:val="clear" w:fill="FFFFFF"/>
        <w:kinsoku/>
        <w:wordWrap/>
        <w:overflowPunct/>
        <w:topLinePunct w:val="0"/>
        <w:autoSpaceDE/>
        <w:autoSpaceDN/>
        <w:bidi w:val="0"/>
        <w:adjustRightInd/>
        <w:snapToGrid w:val="0"/>
        <w:spacing w:beforeAutospacing="0" w:afterAutospacing="0"/>
        <w:textAlignment w:val="auto"/>
        <w:rPr>
          <w:rFonts w:hint="default" w:ascii="Times New Roman" w:hAnsi="Times New Roman" w:eastAsia="方正仿宋_GBK" w:cs="Times New Roman"/>
          <w:sz w:val="32"/>
          <w:szCs w:val="32"/>
          <w:shd w:val="clear" w:fill="FFFFFF"/>
        </w:rPr>
      </w:pPr>
      <w:r>
        <w:rPr>
          <w:rFonts w:hint="default" w:ascii="Times New Roman" w:hAnsi="Times New Roman" w:eastAsia="方正仿宋_GBK" w:cs="Times New Roman"/>
          <w:sz w:val="32"/>
          <w:szCs w:val="32"/>
          <w:shd w:val="clear" w:fill="FFFFFF"/>
          <w:lang w:eastAsia="zh-CN"/>
        </w:rPr>
        <w:t>公务车购置费</w:t>
      </w:r>
      <w:r>
        <w:rPr>
          <w:rFonts w:hint="default" w:ascii="Times New Roman" w:hAnsi="Times New Roman" w:eastAsia="方正仿宋_GBK" w:cs="Times New Roman"/>
          <w:sz w:val="32"/>
          <w:szCs w:val="32"/>
          <w:shd w:val="clear" w:fill="FFFFFF"/>
          <w:lang w:val="en-US"/>
        </w:rPr>
        <w:t>0</w:t>
      </w:r>
      <w:r>
        <w:rPr>
          <w:rFonts w:hint="default" w:ascii="Times New Roman" w:hAnsi="Times New Roman" w:eastAsia="方正仿宋_GBK" w:cs="Times New Roman"/>
          <w:sz w:val="32"/>
          <w:szCs w:val="32"/>
          <w:shd w:val="clear" w:fill="FFFFFF"/>
          <w:lang w:eastAsia="zh-CN"/>
        </w:rPr>
        <w:t>万元。费用支出与年初预算数和上年决算数持平，本部门</w:t>
      </w:r>
      <w:r>
        <w:rPr>
          <w:rFonts w:hint="default" w:ascii="Times New Roman" w:hAnsi="Times New Roman" w:eastAsia="方正仿宋_GBK" w:cs="Times New Roman"/>
          <w:sz w:val="32"/>
          <w:szCs w:val="32"/>
          <w:shd w:val="clear" w:fill="FFFFFF"/>
          <w:lang w:val="en-US" w:eastAsia="zh-CN"/>
        </w:rPr>
        <w:t>202</w:t>
      </w:r>
      <w:r>
        <w:rPr>
          <w:rFonts w:hint="eastAsia" w:ascii="Times New Roman" w:hAnsi="Times New Roman" w:cs="Times New Roman"/>
          <w:sz w:val="32"/>
          <w:szCs w:val="32"/>
          <w:shd w:val="clear" w:fill="FFFFFF"/>
          <w:lang w:val="en-US" w:eastAsia="zh-CN"/>
        </w:rPr>
        <w:t>1</w:t>
      </w:r>
      <w:r>
        <w:rPr>
          <w:rFonts w:hint="default" w:ascii="Times New Roman" w:hAnsi="Times New Roman" w:eastAsia="方正仿宋_GBK" w:cs="Times New Roman"/>
          <w:sz w:val="32"/>
          <w:szCs w:val="32"/>
          <w:shd w:val="clear" w:fill="FFFFFF"/>
          <w:lang w:val="en-US" w:eastAsia="zh-CN"/>
        </w:rPr>
        <w:t>年度未发生</w:t>
      </w:r>
      <w:r>
        <w:rPr>
          <w:rFonts w:hint="default" w:ascii="Times New Roman" w:hAnsi="Times New Roman" w:eastAsia="方正仿宋_GBK" w:cs="Times New Roman"/>
          <w:sz w:val="32"/>
          <w:szCs w:val="32"/>
          <w:shd w:val="clear" w:fill="FFFFFF"/>
          <w:lang w:eastAsia="zh-CN"/>
        </w:rPr>
        <w:t>公务车购置支出。</w:t>
      </w:r>
    </w:p>
    <w:p>
      <w:pPr>
        <w:pStyle w:val="7"/>
        <w:keepNext w:val="0"/>
        <w:keepLines w:val="0"/>
        <w:pageBreakBefore w:val="0"/>
        <w:widowControl/>
        <w:shd w:val="clear" w:fill="FFFFFF"/>
        <w:kinsoku/>
        <w:wordWrap/>
        <w:overflowPunct/>
        <w:topLinePunct w:val="0"/>
        <w:autoSpaceDE/>
        <w:autoSpaceDN/>
        <w:bidi w:val="0"/>
        <w:adjustRightInd/>
        <w:snapToGrid w:val="0"/>
        <w:spacing w:beforeAutospacing="0" w:afterAutospacing="0"/>
        <w:textAlignment w:val="auto"/>
        <w:rPr>
          <w:rFonts w:hint="default" w:ascii="Times New Roman" w:hAnsi="Times New Roman" w:eastAsia="方正仿宋_GBK" w:cs="Times New Roman"/>
          <w:sz w:val="32"/>
          <w:szCs w:val="32"/>
          <w:shd w:val="clear" w:fill="FFFFFF"/>
        </w:rPr>
      </w:pPr>
      <w:r>
        <w:rPr>
          <w:rFonts w:hint="default" w:ascii="Times New Roman" w:hAnsi="Times New Roman" w:eastAsia="方正仿宋_GBK" w:cs="Times New Roman"/>
          <w:sz w:val="32"/>
          <w:szCs w:val="32"/>
          <w:shd w:val="clear" w:fill="FFFFFF"/>
          <w:lang w:eastAsia="zh-CN"/>
        </w:rPr>
        <w:t>公务车运行维护费</w:t>
      </w:r>
      <w:r>
        <w:rPr>
          <w:rFonts w:hint="default" w:ascii="Times New Roman" w:hAnsi="Times New Roman" w:eastAsia="方正仿宋_GBK" w:cs="Times New Roman"/>
          <w:sz w:val="32"/>
          <w:szCs w:val="32"/>
          <w:shd w:val="clear" w:fill="FFFFFF"/>
          <w:lang w:val="en-US"/>
        </w:rPr>
        <w:t>0</w:t>
      </w:r>
      <w:r>
        <w:rPr>
          <w:rFonts w:hint="default" w:ascii="Times New Roman" w:hAnsi="Times New Roman" w:eastAsia="方正仿宋_GBK" w:cs="Times New Roman"/>
          <w:sz w:val="32"/>
          <w:szCs w:val="32"/>
          <w:shd w:val="clear" w:fill="FFFFFF"/>
          <w:lang w:eastAsia="zh-CN"/>
        </w:rPr>
        <w:t>万元。费用支出与年初预算数和上年决算数持平，本部门</w:t>
      </w:r>
      <w:r>
        <w:rPr>
          <w:rFonts w:hint="default" w:ascii="Times New Roman" w:hAnsi="Times New Roman" w:eastAsia="方正仿宋_GBK" w:cs="Times New Roman"/>
          <w:sz w:val="32"/>
          <w:szCs w:val="32"/>
          <w:shd w:val="clear" w:fill="FFFFFF"/>
          <w:lang w:val="en-US" w:eastAsia="zh-CN"/>
        </w:rPr>
        <w:t>202</w:t>
      </w:r>
      <w:r>
        <w:rPr>
          <w:rFonts w:hint="eastAsia" w:ascii="Times New Roman" w:hAnsi="Times New Roman" w:cs="Times New Roman"/>
          <w:sz w:val="32"/>
          <w:szCs w:val="32"/>
          <w:shd w:val="clear" w:fill="FFFFFF"/>
          <w:lang w:val="en-US" w:eastAsia="zh-CN"/>
        </w:rPr>
        <w:t>1</w:t>
      </w:r>
      <w:r>
        <w:rPr>
          <w:rFonts w:hint="default" w:ascii="Times New Roman" w:hAnsi="Times New Roman" w:eastAsia="方正仿宋_GBK" w:cs="Times New Roman"/>
          <w:sz w:val="32"/>
          <w:szCs w:val="32"/>
          <w:shd w:val="clear" w:fill="FFFFFF"/>
          <w:lang w:val="en-US" w:eastAsia="zh-CN"/>
        </w:rPr>
        <w:t>年度未发生</w:t>
      </w:r>
      <w:r>
        <w:rPr>
          <w:rFonts w:hint="default" w:ascii="Times New Roman" w:hAnsi="Times New Roman" w:eastAsia="方正仿宋_GBK" w:cs="Times New Roman"/>
          <w:sz w:val="32"/>
          <w:szCs w:val="32"/>
          <w:shd w:val="clear" w:fill="FFFFFF"/>
          <w:lang w:eastAsia="zh-CN"/>
        </w:rPr>
        <w:t>公务车运行维护支出。</w:t>
      </w:r>
    </w:p>
    <w:p>
      <w:pPr>
        <w:pStyle w:val="7"/>
        <w:keepNext w:val="0"/>
        <w:keepLines w:val="0"/>
        <w:pageBreakBefore w:val="0"/>
        <w:widowControl/>
        <w:shd w:val="clear" w:fill="FFFFFF"/>
        <w:kinsoku/>
        <w:wordWrap/>
        <w:overflowPunct/>
        <w:topLinePunct w:val="0"/>
        <w:autoSpaceDE/>
        <w:autoSpaceDN/>
        <w:bidi w:val="0"/>
        <w:adjustRightInd/>
        <w:snapToGrid w:val="0"/>
        <w:spacing w:beforeAutospacing="0" w:afterAutospacing="0"/>
        <w:textAlignment w:val="auto"/>
        <w:rPr>
          <w:sz w:val="32"/>
          <w:szCs w:val="32"/>
        </w:rPr>
      </w:pPr>
      <w:r>
        <w:rPr>
          <w:sz w:val="32"/>
          <w:szCs w:val="32"/>
          <w:shd w:val="clear" w:fill="FFFFFF"/>
        </w:rPr>
        <w:t> 公务接待费0.42万元，主要用于</w:t>
      </w:r>
      <w:r>
        <w:rPr>
          <w:rFonts w:hint="eastAsia" w:cs="Times New Roman"/>
          <w:sz w:val="32"/>
          <w:szCs w:val="32"/>
          <w:shd w:val="clear" w:fill="FFFFFF"/>
          <w:lang w:eastAsia="zh-CN"/>
        </w:rPr>
        <w:t>中央编办、市委编办</w:t>
      </w:r>
      <w:r>
        <w:rPr>
          <w:rFonts w:hint="default" w:ascii="Times New Roman" w:hAnsi="Times New Roman" w:eastAsia="方正仿宋_GBK" w:cs="Times New Roman"/>
          <w:sz w:val="32"/>
          <w:szCs w:val="32"/>
          <w:shd w:val="clear" w:fill="FFFFFF"/>
          <w:lang w:eastAsia="zh-CN"/>
        </w:rPr>
        <w:t>到我县</w:t>
      </w:r>
      <w:r>
        <w:rPr>
          <w:rFonts w:hint="eastAsia" w:cs="Times New Roman"/>
          <w:sz w:val="32"/>
          <w:szCs w:val="32"/>
          <w:shd w:val="clear" w:fill="FFFFFF"/>
          <w:lang w:eastAsia="zh-CN"/>
        </w:rPr>
        <w:t>督查</w:t>
      </w:r>
      <w:r>
        <w:rPr>
          <w:rFonts w:hint="default" w:ascii="Times New Roman" w:hAnsi="Times New Roman" w:eastAsia="方正仿宋_GBK" w:cs="Times New Roman"/>
          <w:sz w:val="32"/>
          <w:szCs w:val="32"/>
          <w:shd w:val="clear" w:fill="FFFFFF"/>
          <w:lang w:eastAsia="zh-CN"/>
        </w:rPr>
        <w:t>机构编制工作</w:t>
      </w:r>
      <w:r>
        <w:rPr>
          <w:rFonts w:hint="eastAsia" w:cs="Times New Roman"/>
          <w:sz w:val="32"/>
          <w:szCs w:val="32"/>
          <w:shd w:val="clear" w:fill="FFFFFF"/>
          <w:lang w:eastAsia="zh-CN"/>
        </w:rPr>
        <w:t>的公务接待支出</w:t>
      </w:r>
      <w:r>
        <w:rPr>
          <w:rFonts w:hint="default" w:ascii="Times New Roman" w:hAnsi="Times New Roman" w:eastAsia="方正仿宋_GBK" w:cs="Times New Roman"/>
          <w:sz w:val="32"/>
          <w:szCs w:val="32"/>
          <w:shd w:val="clear" w:fill="FFFFFF"/>
          <w:lang w:eastAsia="zh-CN"/>
        </w:rPr>
        <w:t>。</w:t>
      </w:r>
      <w:r>
        <w:rPr>
          <w:sz w:val="32"/>
          <w:szCs w:val="32"/>
          <w:shd w:val="clear" w:fill="FFFFFF"/>
        </w:rPr>
        <w:t>费用支出较年初预算数减少0.98万元，下降70%，主要原因是</w:t>
      </w:r>
      <w:r>
        <w:rPr>
          <w:rFonts w:hint="default" w:ascii="Times New Roman" w:hAnsi="Times New Roman" w:eastAsia="方正仿宋_GBK" w:cs="Times New Roman"/>
          <w:sz w:val="32"/>
          <w:szCs w:val="32"/>
          <w:shd w:val="clear" w:fill="FFFFFF"/>
          <w:lang w:eastAsia="zh-CN"/>
        </w:rPr>
        <w:t>本部门严把预算关，按照能减就减的原则控制“三公”经费支出。</w:t>
      </w:r>
      <w:r>
        <w:rPr>
          <w:sz w:val="32"/>
          <w:szCs w:val="32"/>
          <w:shd w:val="clear" w:fill="FFFFFF"/>
        </w:rPr>
        <w:t>较上年支出数减少0.26万元，下降38.2%，主要原因是</w:t>
      </w:r>
      <w:r>
        <w:rPr>
          <w:rFonts w:hint="eastAsia" w:ascii="Times New Roman" w:hAnsi="Times New Roman" w:eastAsia="方正仿宋_GBK" w:cs="Times New Roman"/>
          <w:sz w:val="32"/>
          <w:szCs w:val="32"/>
          <w:shd w:val="clear" w:fill="FFFFFF"/>
          <w:lang w:eastAsia="zh-CN"/>
        </w:rPr>
        <w:t>本部门</w:t>
      </w:r>
      <w:r>
        <w:rPr>
          <w:rFonts w:hint="eastAsia" w:ascii="Times New Roman" w:hAnsi="Times New Roman" w:cs="Times New Roman"/>
          <w:sz w:val="32"/>
          <w:szCs w:val="32"/>
          <w:shd w:val="clear" w:fill="FFFFFF"/>
          <w:lang w:eastAsia="zh-CN"/>
        </w:rPr>
        <w:t>严控</w:t>
      </w:r>
      <w:r>
        <w:rPr>
          <w:rFonts w:hint="default" w:ascii="Times New Roman" w:hAnsi="Times New Roman" w:eastAsia="方正仿宋_GBK" w:cs="Times New Roman"/>
          <w:sz w:val="32"/>
          <w:szCs w:val="32"/>
          <w:shd w:val="clear" w:fill="FFFFFF"/>
          <w:lang w:eastAsia="zh-CN"/>
        </w:rPr>
        <w:t>公务接待，</w:t>
      </w:r>
      <w:r>
        <w:rPr>
          <w:rFonts w:hint="eastAsia" w:ascii="Times New Roman" w:hAnsi="Times New Roman" w:eastAsia="方正仿宋_GBK" w:cs="Times New Roman"/>
          <w:sz w:val="32"/>
          <w:szCs w:val="32"/>
          <w:shd w:val="clear" w:fill="FFFFFF"/>
          <w:lang w:eastAsia="zh-CN"/>
        </w:rPr>
        <w:t>公务接待支出减少</w:t>
      </w:r>
      <w:r>
        <w:rPr>
          <w:rFonts w:hint="default" w:ascii="Times New Roman" w:hAnsi="Times New Roman" w:eastAsia="方正仿宋_GBK" w:cs="Times New Roman"/>
          <w:sz w:val="32"/>
          <w:szCs w:val="32"/>
          <w:shd w:val="clear" w:fill="FFFFFF"/>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rStyle w:val="11"/>
          <w:rFonts w:hint="eastAsia" w:ascii="方正楷体_GBK" w:hAnsi="方正楷体_GBK" w:eastAsia="方正楷体_GBK" w:cs="方正楷体_GBK"/>
          <w:b w:val="0"/>
          <w:bCs/>
          <w:sz w:val="32"/>
          <w:szCs w:val="32"/>
          <w:shd w:val="clear" w:fill="FFFFFF"/>
        </w:rPr>
      </w:pPr>
      <w:r>
        <w:rPr>
          <w:rStyle w:val="11"/>
          <w:rFonts w:hint="eastAsia" w:ascii="方正楷体_GBK" w:hAnsi="方正楷体_GBK" w:eastAsia="方正楷体_GBK" w:cs="方正楷体_GBK"/>
          <w:b w:val="0"/>
          <w:bCs/>
          <w:sz w:val="32"/>
          <w:szCs w:val="32"/>
          <w:shd w:val="clear" w:fill="FFFFFF"/>
        </w:rPr>
        <w:t>（三）“三公”经费实物量情况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jc w:val="left"/>
        <w:textAlignment w:val="auto"/>
        <w:rPr>
          <w:sz w:val="32"/>
          <w:szCs w:val="32"/>
        </w:rPr>
      </w:pPr>
      <w:r>
        <w:rPr>
          <w:sz w:val="32"/>
          <w:szCs w:val="32"/>
          <w:shd w:val="clear" w:fill="FFFFFF"/>
        </w:rPr>
        <w:t> 2021年度本部门因公出国（境）共计0个团组，0人；公务用车购置0辆，公务车保有量为0辆；国内公务接待7批次29人，其中：国内外事接待0批次，0人；国（境）外公务接待0批次，0人。2021年本部门人均接待费144.24元，车均购置费0万元，车均维护费0万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b w:val="0"/>
          <w:bCs/>
          <w:sz w:val="32"/>
          <w:szCs w:val="32"/>
        </w:rPr>
      </w:pPr>
      <w:r>
        <w:rPr>
          <w:rStyle w:val="11"/>
          <w:rFonts w:hint="eastAsia" w:ascii="方正黑体_GBK" w:hAnsi="方正黑体_GBK" w:eastAsia="方正黑体_GBK" w:cs="方正黑体_GBK"/>
          <w:b w:val="0"/>
          <w:bCs/>
          <w:sz w:val="32"/>
          <w:szCs w:val="32"/>
          <w:shd w:val="clear" w:fill="FFFFFF"/>
        </w:rPr>
        <w:t>四、其他需要说明的事项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rStyle w:val="11"/>
          <w:rFonts w:hint="eastAsia" w:ascii="方正楷体_GBK" w:hAnsi="方正楷体_GBK" w:eastAsia="方正楷体_GBK" w:cs="方正楷体_GBK"/>
          <w:b w:val="0"/>
          <w:bCs/>
          <w:sz w:val="32"/>
          <w:szCs w:val="32"/>
          <w:shd w:val="clear" w:fill="FFFFFF"/>
        </w:rPr>
      </w:pPr>
      <w:r>
        <w:rPr>
          <w:rStyle w:val="11"/>
          <w:rFonts w:hint="eastAsia" w:ascii="方正楷体_GBK" w:hAnsi="方正楷体_GBK" w:eastAsia="方正楷体_GBK" w:cs="方正楷体_GBK"/>
          <w:b w:val="0"/>
          <w:bCs/>
          <w:sz w:val="32"/>
          <w:szCs w:val="32"/>
          <w:shd w:val="clear" w:fill="FFFFFF"/>
        </w:rPr>
        <w:t>（一）一般公共预算财政拨款会议费和培训费情况说明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sz w:val="32"/>
          <w:szCs w:val="32"/>
        </w:rPr>
      </w:pPr>
      <w:r>
        <w:rPr>
          <w:sz w:val="32"/>
          <w:szCs w:val="32"/>
          <w:shd w:val="clear" w:fill="FFFFFF"/>
        </w:rPr>
        <w:t> 本年度会议费支出0.1</w:t>
      </w:r>
      <w:r>
        <w:rPr>
          <w:rFonts w:hint="eastAsia"/>
          <w:sz w:val="32"/>
          <w:szCs w:val="32"/>
          <w:shd w:val="clear" w:fill="FFFFFF"/>
          <w:lang w:val="en-US" w:eastAsia="zh-CN"/>
        </w:rPr>
        <w:t>0</w:t>
      </w:r>
      <w:r>
        <w:rPr>
          <w:sz w:val="32"/>
          <w:szCs w:val="32"/>
          <w:shd w:val="clear" w:fill="FFFFFF"/>
        </w:rPr>
        <w:t>万元，较上年决算数增加0.07万元，增长233.3%，主要原因是</w:t>
      </w:r>
      <w:r>
        <w:rPr>
          <w:rFonts w:hint="eastAsia"/>
          <w:sz w:val="32"/>
          <w:szCs w:val="32"/>
          <w:shd w:val="clear" w:fill="FFFFFF"/>
          <w:lang w:eastAsia="zh-CN"/>
        </w:rPr>
        <w:t>中央编办、市委编办到我县开展机构编制工作专项督查召开会议，会议费支出增加</w:t>
      </w:r>
      <w:r>
        <w:rPr>
          <w:sz w:val="32"/>
          <w:szCs w:val="32"/>
          <w:shd w:val="clear" w:fill="FFFFFF"/>
        </w:rPr>
        <w:t>。本年度培训费支出0.56万元，较上年决算数增加0.56万元，增长</w:t>
      </w:r>
      <w:r>
        <w:rPr>
          <w:rFonts w:hint="eastAsia"/>
          <w:sz w:val="32"/>
          <w:szCs w:val="32"/>
          <w:shd w:val="clear" w:fill="FFFFFF"/>
          <w:lang w:val="en-US" w:eastAsia="zh-CN"/>
        </w:rPr>
        <w:t>100</w:t>
      </w:r>
      <w:r>
        <w:rPr>
          <w:sz w:val="32"/>
          <w:szCs w:val="32"/>
          <w:shd w:val="clear" w:fill="FFFFFF"/>
        </w:rPr>
        <w:t>%，主要原因是</w:t>
      </w:r>
      <w:r>
        <w:rPr>
          <w:rFonts w:hint="eastAsia"/>
          <w:sz w:val="32"/>
          <w:szCs w:val="32"/>
          <w:shd w:val="clear" w:fill="FFFFFF"/>
          <w:lang w:eastAsia="zh-CN"/>
        </w:rPr>
        <w:t>组织职工参加业务培训，培训费支出增加</w:t>
      </w:r>
      <w:r>
        <w:rPr>
          <w:sz w:val="32"/>
          <w:szCs w:val="32"/>
          <w:shd w:val="clear" w:fill="FFFFFF"/>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sz w:val="32"/>
          <w:szCs w:val="32"/>
        </w:rPr>
      </w:pPr>
      <w:r>
        <w:rPr>
          <w:rStyle w:val="11"/>
          <w:rFonts w:hint="eastAsia" w:ascii="方正楷体_GBK" w:hAnsi="方正楷体_GBK" w:eastAsia="方正楷体_GBK" w:cs="方正楷体_GBK"/>
          <w:b w:val="0"/>
          <w:bCs/>
          <w:sz w:val="32"/>
          <w:szCs w:val="32"/>
          <w:shd w:val="clear" w:fill="FFFFFF"/>
        </w:rPr>
        <w:t>（二）机关运行经费情况说明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rFonts w:hint="eastAsia" w:eastAsia="方正仿宋_GBK"/>
          <w:sz w:val="32"/>
          <w:szCs w:val="32"/>
          <w:lang w:eastAsia="zh-CN"/>
        </w:rPr>
      </w:pPr>
      <w:r>
        <w:rPr>
          <w:sz w:val="32"/>
          <w:szCs w:val="32"/>
          <w:shd w:val="clear" w:fill="FFFFFF"/>
        </w:rPr>
        <w:t>2021年度本部门机关运行经费支出21.22万元，机关运行经费主要用于开支</w:t>
      </w:r>
      <w:r>
        <w:rPr>
          <w:rFonts w:ascii="方正仿宋_GBK" w:hAnsi="方正仿宋_GBK" w:eastAsia="方正仿宋_GBK" w:cs="方正仿宋_GBK"/>
          <w:sz w:val="32"/>
          <w:szCs w:val="32"/>
        </w:rPr>
        <w:t>办公费、公务接待费、其他交通费用、工作餐费等</w:t>
      </w:r>
      <w:r>
        <w:rPr>
          <w:rFonts w:hint="default" w:ascii="Times New Roman" w:hAnsi="Times New Roman" w:eastAsia="方正仿宋_GBK" w:cs="Times New Roman"/>
          <w:sz w:val="32"/>
          <w:szCs w:val="32"/>
          <w:shd w:val="clear" w:fill="FFFFFF"/>
          <w:lang w:eastAsia="zh-CN"/>
        </w:rPr>
        <w:t>。</w:t>
      </w:r>
      <w:r>
        <w:rPr>
          <w:sz w:val="32"/>
          <w:szCs w:val="32"/>
          <w:shd w:val="clear" w:fill="FFFFFF"/>
        </w:rPr>
        <w:t>机关运行经费较上年决算数增加3.58万元，增长20.3%，主要原因是</w:t>
      </w:r>
      <w:r>
        <w:rPr>
          <w:rFonts w:hint="default"/>
          <w:sz w:val="32"/>
          <w:szCs w:val="32"/>
          <w:shd w:val="clear" w:fill="FFFFFF"/>
        </w:rPr>
        <w:t>实有人员增加，增加了</w:t>
      </w:r>
      <w:r>
        <w:rPr>
          <w:rFonts w:hint="eastAsia"/>
          <w:sz w:val="32"/>
          <w:szCs w:val="32"/>
          <w:shd w:val="clear" w:fill="FFFFFF"/>
          <w:lang w:eastAsia="zh-CN"/>
        </w:rPr>
        <w:t>公用</w:t>
      </w:r>
      <w:r>
        <w:rPr>
          <w:rFonts w:hint="default"/>
          <w:sz w:val="32"/>
          <w:szCs w:val="32"/>
          <w:shd w:val="clear" w:fill="FFFFFF"/>
        </w:rPr>
        <w:t>经费</w:t>
      </w:r>
      <w:r>
        <w:rPr>
          <w:rFonts w:hint="eastAsia"/>
          <w:sz w:val="32"/>
          <w:szCs w:val="32"/>
          <w:shd w:val="clear" w:fill="FFFFFF"/>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rStyle w:val="11"/>
          <w:rFonts w:hint="eastAsia" w:ascii="方正楷体_GBK" w:hAnsi="方正楷体_GBK" w:eastAsia="方正楷体_GBK" w:cs="方正楷体_GBK"/>
          <w:b w:val="0"/>
          <w:bCs/>
          <w:sz w:val="32"/>
          <w:szCs w:val="32"/>
          <w:shd w:val="clear" w:fill="FFFFFF"/>
        </w:rPr>
      </w:pPr>
      <w:r>
        <w:rPr>
          <w:rStyle w:val="11"/>
          <w:rFonts w:hint="eastAsia" w:ascii="方正楷体_GBK" w:hAnsi="方正楷体_GBK" w:eastAsia="方正楷体_GBK" w:cs="方正楷体_GBK"/>
          <w:b w:val="0"/>
          <w:bCs/>
          <w:sz w:val="32"/>
          <w:szCs w:val="32"/>
          <w:shd w:val="clear" w:fill="FFFFFF"/>
        </w:rPr>
        <w:t> （三）国有资产占用情况说明。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sz w:val="32"/>
          <w:szCs w:val="32"/>
        </w:rPr>
      </w:pPr>
      <w:r>
        <w:rPr>
          <w:sz w:val="32"/>
          <w:szCs w:val="32"/>
          <w:shd w:val="clear" w:fill="FFFFFF"/>
        </w:rPr>
        <w:t>截至2021年12月31日，本部门共有车辆0辆，其中，副部（省）级及以上领导用车0辆、主要领导干部用车0辆、机要通信用车0辆、应急保障用车0辆、执法执勤用车0辆，特种专业技术用车0辆，离退休干部用车0辆，其他用车0辆</w:t>
      </w:r>
      <w:r>
        <w:rPr>
          <w:rFonts w:hint="eastAsia"/>
          <w:sz w:val="32"/>
          <w:szCs w:val="32"/>
          <w:shd w:val="clear" w:fill="FFFFFF"/>
          <w:lang w:eastAsia="zh-CN"/>
        </w:rPr>
        <w:t>。</w:t>
      </w:r>
      <w:r>
        <w:rPr>
          <w:sz w:val="32"/>
          <w:szCs w:val="32"/>
          <w:shd w:val="clear" w:fill="FFFFFF"/>
        </w:rPr>
        <w:t>单价50万元（含）以上通用设备0台（套），单价100万元（含）以上专用设备0台（套）。</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rStyle w:val="11"/>
          <w:rFonts w:hint="eastAsia" w:ascii="方正楷体_GBK" w:hAnsi="方正楷体_GBK" w:eastAsia="方正楷体_GBK" w:cs="方正楷体_GBK"/>
          <w:b w:val="0"/>
          <w:bCs/>
          <w:sz w:val="32"/>
          <w:szCs w:val="32"/>
          <w:shd w:val="clear" w:fill="FFFFFF"/>
        </w:rPr>
      </w:pPr>
      <w:r>
        <w:rPr>
          <w:rStyle w:val="11"/>
          <w:rFonts w:hint="eastAsia" w:ascii="方正楷体_GBK" w:hAnsi="方正楷体_GBK" w:eastAsia="方正楷体_GBK" w:cs="方正楷体_GBK"/>
          <w:b w:val="0"/>
          <w:bCs/>
          <w:sz w:val="32"/>
          <w:szCs w:val="32"/>
          <w:shd w:val="clear" w:fill="FFFFFF"/>
        </w:rPr>
        <w:t>（四）政府采购支出情况说明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sz w:val="32"/>
          <w:szCs w:val="32"/>
          <w:shd w:val="clear" w:fill="FFFFFF"/>
        </w:rPr>
      </w:pPr>
      <w:r>
        <w:rPr>
          <w:sz w:val="32"/>
          <w:szCs w:val="32"/>
          <w:shd w:val="clear" w:fill="FFFFFF"/>
        </w:rPr>
        <w:t>2021年度我单位未发生政府采购事项，无相关经费支出。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rFonts w:hint="eastAsia" w:ascii="方正黑体_GBK" w:hAnsi="方正黑体_GBK" w:eastAsia="方正黑体_GBK" w:cs="方正黑体_GBK"/>
          <w:b w:val="0"/>
          <w:bCs/>
          <w:sz w:val="32"/>
          <w:szCs w:val="32"/>
        </w:rPr>
      </w:pPr>
      <w:r>
        <w:rPr>
          <w:rStyle w:val="11"/>
          <w:rFonts w:hint="eastAsia" w:ascii="方正黑体_GBK" w:hAnsi="方正黑体_GBK" w:eastAsia="方正黑体_GBK" w:cs="方正黑体_GBK"/>
          <w:b w:val="0"/>
          <w:bCs/>
          <w:sz w:val="32"/>
          <w:szCs w:val="32"/>
          <w:shd w:val="clear" w:fill="FFFFFF"/>
        </w:rPr>
        <w:t>五、预算绩效管理情况说明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sz w:val="32"/>
          <w:szCs w:val="32"/>
        </w:rPr>
      </w:pPr>
      <w:r>
        <w:rPr>
          <w:rStyle w:val="11"/>
          <w:rFonts w:hint="eastAsia" w:ascii="方正楷体_GBK" w:hAnsi="方正楷体_GBK" w:eastAsia="方正楷体_GBK" w:cs="方正楷体_GBK"/>
          <w:b w:val="0"/>
          <w:bCs/>
          <w:sz w:val="32"/>
          <w:szCs w:val="32"/>
          <w:shd w:val="clear" w:fill="FFFFFF"/>
        </w:rPr>
        <w:t>（一）预算绩效管理工作开展情况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fill="FFFFFF"/>
        </w:rPr>
        <w:t>根据预算绩效管理要求，我办对部门整体和</w:t>
      </w:r>
      <w:r>
        <w:rPr>
          <w:rFonts w:hint="eastAsia" w:ascii="方正仿宋_GBK" w:hAnsi="方正仿宋_GBK" w:eastAsia="方正仿宋_GBK" w:cs="方正仿宋_GBK"/>
          <w:color w:val="auto"/>
          <w:sz w:val="32"/>
          <w:szCs w:val="32"/>
          <w:shd w:val="clear" w:fill="FFFFFF"/>
          <w:lang w:val="en-US" w:eastAsia="zh-CN"/>
        </w:rPr>
        <w:t>3</w:t>
      </w:r>
      <w:r>
        <w:rPr>
          <w:rFonts w:hint="eastAsia" w:ascii="方正仿宋_GBK" w:hAnsi="方正仿宋_GBK" w:eastAsia="方正仿宋_GBK" w:cs="方正仿宋_GBK"/>
          <w:color w:val="auto"/>
          <w:sz w:val="32"/>
          <w:szCs w:val="32"/>
          <w:shd w:val="clear" w:fill="FFFFFF"/>
        </w:rPr>
        <w:t>个项目开展了绩效自评，其中，以填报自评表形式开展自评</w:t>
      </w:r>
      <w:r>
        <w:rPr>
          <w:rFonts w:hint="eastAsia" w:ascii="方正仿宋_GBK" w:hAnsi="方正仿宋_GBK" w:cs="方正仿宋_GBK"/>
          <w:color w:val="auto"/>
          <w:sz w:val="32"/>
          <w:szCs w:val="32"/>
          <w:shd w:val="clear" w:fill="FFFFFF"/>
          <w:lang w:val="en-US" w:eastAsia="zh-CN"/>
        </w:rPr>
        <w:t>4</w:t>
      </w:r>
      <w:r>
        <w:rPr>
          <w:rFonts w:hint="eastAsia" w:ascii="方正仿宋_GBK" w:hAnsi="方正仿宋_GBK" w:eastAsia="方正仿宋_GBK" w:cs="方正仿宋_GBK"/>
          <w:color w:val="auto"/>
          <w:sz w:val="32"/>
          <w:szCs w:val="32"/>
          <w:shd w:val="clear" w:fill="FFFFFF"/>
        </w:rPr>
        <w:t>项，涉及资金</w:t>
      </w:r>
      <w:r>
        <w:rPr>
          <w:rFonts w:hint="eastAsia" w:ascii="方正仿宋_GBK" w:hAnsi="方正仿宋_GBK" w:cs="方正仿宋_GBK"/>
          <w:color w:val="auto"/>
          <w:sz w:val="32"/>
          <w:szCs w:val="32"/>
          <w:shd w:val="clear" w:fill="FFFFFF"/>
          <w:lang w:val="en-US" w:eastAsia="zh-CN"/>
        </w:rPr>
        <w:t>201.86</w:t>
      </w:r>
      <w:r>
        <w:rPr>
          <w:rFonts w:hint="eastAsia" w:ascii="方正仿宋_GBK" w:hAnsi="方正仿宋_GBK" w:eastAsia="方正仿宋_GBK" w:cs="方正仿宋_GBK"/>
          <w:color w:val="auto"/>
          <w:sz w:val="32"/>
          <w:szCs w:val="32"/>
          <w:shd w:val="clear" w:fill="FFFFFF"/>
        </w:rPr>
        <w:t>万元。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jc w:val="left"/>
        <w:textAlignment w:val="auto"/>
        <w:rPr>
          <w:sz w:val="32"/>
          <w:szCs w:val="32"/>
        </w:rPr>
      </w:pPr>
      <w:r>
        <w:rPr>
          <w:rStyle w:val="11"/>
          <w:rFonts w:hint="eastAsia" w:ascii="方正楷体_GBK" w:hAnsi="方正楷体_GBK" w:eastAsia="方正楷体_GBK" w:cs="方正楷体_GBK"/>
          <w:b w:val="0"/>
          <w:bCs/>
          <w:sz w:val="32"/>
          <w:szCs w:val="32"/>
          <w:shd w:val="clear" w:fill="FFFFFF"/>
        </w:rPr>
        <w:t>（二）绩效自评结果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jc w:val="left"/>
        <w:textAlignment w:val="auto"/>
        <w:rPr>
          <w:sz w:val="32"/>
          <w:szCs w:val="32"/>
          <w:shd w:val="clear" w:fill="FFFF00"/>
        </w:rPr>
      </w:pPr>
      <w:r>
        <w:rPr>
          <w:rStyle w:val="11"/>
          <w:rFonts w:hint="eastAsia" w:ascii="方正楷体_GBK" w:hAnsi="方正楷体_GBK" w:eastAsia="方正楷体_GBK" w:cs="方正楷体_GBK"/>
          <w:b w:val="0"/>
          <w:bCs/>
          <w:sz w:val="32"/>
          <w:szCs w:val="32"/>
          <w:shd w:val="clear" w:fill="FFFFFF"/>
        </w:rPr>
        <w:t xml:space="preserve">  </w:t>
      </w:r>
      <w:r>
        <w:rPr>
          <w:rStyle w:val="11"/>
          <w:rFonts w:hint="eastAsia" w:ascii="方正仿宋_GBK" w:hAnsi="方正仿宋_GBK" w:eastAsia="方正仿宋_GBK" w:cs="方正仿宋_GBK"/>
          <w:b/>
          <w:bCs w:val="0"/>
          <w:sz w:val="32"/>
          <w:szCs w:val="32"/>
          <w:shd w:val="clear" w:fill="FFFFFF"/>
        </w:rPr>
        <w:t>1.绩效目标自评表</w:t>
      </w:r>
    </w:p>
    <w:p>
      <w:pPr>
        <w:widowControl/>
        <w:spacing w:line="600" w:lineRule="atLeast"/>
        <w:jc w:val="center"/>
        <w:rPr>
          <w:rFonts w:hint="eastAsia" w:ascii="方正小标宋_GBK" w:hAnsi="方正小标宋_GBK" w:eastAsia="方正小标宋_GBK" w:cs="方正小标宋_GBK"/>
          <w:b w:val="0"/>
          <w:bCs/>
          <w:color w:val="000000"/>
          <w:kern w:val="0"/>
          <w:sz w:val="32"/>
          <w:szCs w:val="32"/>
          <w:lang w:val="en-US" w:eastAsia="zh-CN"/>
        </w:rPr>
      </w:pPr>
    </w:p>
    <w:p>
      <w:pPr>
        <w:widowControl/>
        <w:spacing w:line="600" w:lineRule="atLeast"/>
        <w:jc w:val="center"/>
        <w:rPr>
          <w:rFonts w:hint="eastAsia" w:ascii="方正小标宋_GBK" w:hAnsi="方正小标宋_GBK" w:eastAsia="方正小标宋_GBK" w:cs="方正小标宋_GBK"/>
          <w:b w:val="0"/>
          <w:bCs/>
          <w:color w:val="000000"/>
          <w:kern w:val="0"/>
          <w:sz w:val="32"/>
          <w:szCs w:val="32"/>
          <w:lang w:val="en-US" w:eastAsia="zh-CN"/>
        </w:rPr>
      </w:pPr>
    </w:p>
    <w:p>
      <w:pPr>
        <w:widowControl/>
        <w:spacing w:line="600" w:lineRule="atLeast"/>
        <w:jc w:val="center"/>
        <w:rPr>
          <w:rFonts w:hint="eastAsia" w:ascii="方正小标宋_GBK" w:hAnsi="方正小标宋_GBK" w:eastAsia="方正小标宋_GBK" w:cs="方正小标宋_GBK"/>
          <w:b w:val="0"/>
          <w:bCs/>
          <w:color w:val="000000"/>
          <w:kern w:val="0"/>
          <w:sz w:val="32"/>
          <w:szCs w:val="32"/>
        </w:rPr>
      </w:pPr>
      <w:r>
        <w:rPr>
          <w:rFonts w:hint="eastAsia" w:ascii="方正小标宋_GBK" w:hAnsi="方正小标宋_GBK" w:eastAsia="方正小标宋_GBK" w:cs="方正小标宋_GBK"/>
          <w:b w:val="0"/>
          <w:bCs/>
          <w:color w:val="000000"/>
          <w:kern w:val="0"/>
          <w:sz w:val="32"/>
          <w:szCs w:val="32"/>
          <w:lang w:val="en-US" w:eastAsia="zh-CN"/>
        </w:rPr>
        <w:t>2021部门</w:t>
      </w:r>
      <w:r>
        <w:rPr>
          <w:rFonts w:hint="eastAsia" w:ascii="方正小标宋_GBK" w:hAnsi="方正小标宋_GBK" w:eastAsia="方正小标宋_GBK" w:cs="方正小标宋_GBK"/>
          <w:b w:val="0"/>
          <w:bCs/>
          <w:color w:val="000000"/>
          <w:kern w:val="0"/>
          <w:sz w:val="32"/>
          <w:szCs w:val="32"/>
        </w:rPr>
        <w:t>整体绩效</w:t>
      </w:r>
      <w:r>
        <w:rPr>
          <w:rFonts w:hint="eastAsia" w:ascii="方正小标宋_GBK" w:hAnsi="方正小标宋_GBK" w:eastAsia="方正小标宋_GBK" w:cs="方正小标宋_GBK"/>
          <w:b w:val="0"/>
          <w:bCs/>
          <w:color w:val="auto"/>
          <w:kern w:val="0"/>
          <w:sz w:val="32"/>
          <w:szCs w:val="32"/>
          <w:lang w:eastAsia="zh-CN"/>
        </w:rPr>
        <w:t>自评</w:t>
      </w:r>
      <w:r>
        <w:rPr>
          <w:rFonts w:hint="eastAsia" w:ascii="方正小标宋_GBK" w:hAnsi="方正小标宋_GBK" w:eastAsia="方正小标宋_GBK" w:cs="方正小标宋_GBK"/>
          <w:b w:val="0"/>
          <w:bCs/>
          <w:color w:val="000000"/>
          <w:kern w:val="0"/>
          <w:sz w:val="32"/>
          <w:szCs w:val="32"/>
        </w:rPr>
        <w:t>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0" w:firstLineChars="0"/>
        <w:jc w:val="left"/>
        <w:textAlignment w:val="auto"/>
        <w:rPr>
          <w:rFonts w:hint="eastAsia" w:ascii="方正仿宋_GBK" w:hAnsi="方正仿宋_GBK" w:eastAsia="方正仿宋_GBK" w:cs="方正仿宋_GBK"/>
          <w:sz w:val="24"/>
          <w:szCs w:val="24"/>
          <w:shd w:val="clear" w:fill="FFFF00"/>
        </w:rPr>
      </w:pPr>
      <w:r>
        <w:rPr>
          <w:rFonts w:hint="eastAsia" w:ascii="方正仿宋_GBK" w:hAnsi="方正仿宋_GBK" w:eastAsia="方正仿宋_GBK" w:cs="方正仿宋_GBK"/>
          <w:b/>
          <w:bCs w:val="0"/>
          <w:color w:val="000000"/>
          <w:kern w:val="0"/>
          <w:sz w:val="24"/>
          <w:szCs w:val="24"/>
          <w:lang w:eastAsia="zh-CN"/>
        </w:rPr>
        <w:t>编报单位：</w:t>
      </w:r>
      <w:r>
        <w:rPr>
          <w:rFonts w:hint="eastAsia" w:ascii="方正仿宋_GBK" w:hAnsi="方正仿宋_GBK" w:eastAsia="方正仿宋_GBK" w:cs="方正仿宋_GBK"/>
          <w:b w:val="0"/>
          <w:bCs/>
          <w:color w:val="000000"/>
          <w:kern w:val="0"/>
          <w:sz w:val="24"/>
          <w:szCs w:val="24"/>
          <w:lang w:eastAsia="zh-CN"/>
        </w:rPr>
        <w:t>中共垫江县委机构编制委员会办公室</w:t>
      </w:r>
    </w:p>
    <w:tbl>
      <w:tblPr>
        <w:tblStyle w:val="9"/>
        <w:tblW w:w="105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690"/>
        <w:gridCol w:w="1170"/>
        <w:gridCol w:w="3760"/>
        <w:gridCol w:w="3615"/>
        <w:gridCol w:w="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bCs/>
                <w:kern w:val="0"/>
                <w:sz w:val="21"/>
                <w:szCs w:val="21"/>
              </w:rPr>
              <w:t>一级指标</w:t>
            </w:r>
          </w:p>
        </w:tc>
        <w:tc>
          <w:tcPr>
            <w:tcW w:w="6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bCs/>
                <w:kern w:val="0"/>
                <w:sz w:val="21"/>
                <w:szCs w:val="21"/>
              </w:rPr>
              <w:t>二级指标</w:t>
            </w:r>
          </w:p>
        </w:tc>
        <w:tc>
          <w:tcPr>
            <w:tcW w:w="4930"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bCs/>
                <w:kern w:val="0"/>
                <w:sz w:val="21"/>
                <w:szCs w:val="21"/>
              </w:rPr>
              <w:t>三级指标</w:t>
            </w:r>
          </w:p>
        </w:tc>
        <w:tc>
          <w:tcPr>
            <w:tcW w:w="3615" w:type="dxa"/>
            <w:vMerge w:val="restart"/>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bCs/>
                <w:kern w:val="0"/>
                <w:sz w:val="21"/>
                <w:szCs w:val="21"/>
              </w:rPr>
              <w:t>评分标准</w:t>
            </w:r>
          </w:p>
        </w:tc>
        <w:tc>
          <w:tcPr>
            <w:tcW w:w="663" w:type="dxa"/>
            <w:vMerge w:val="restart"/>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bCs/>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kern w:val="0"/>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kern w:val="0"/>
                <w:sz w:val="21"/>
                <w:szCs w:val="21"/>
              </w:rPr>
            </w:pPr>
          </w:p>
        </w:tc>
        <w:tc>
          <w:tcPr>
            <w:tcW w:w="1170"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ind w:left="0" w:leftChars="0" w:firstLine="0" w:firstLineChars="0"/>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bCs/>
                <w:kern w:val="0"/>
                <w:sz w:val="21"/>
                <w:szCs w:val="21"/>
              </w:rPr>
              <w:t>指标名称</w:t>
            </w:r>
          </w:p>
        </w:tc>
        <w:tc>
          <w:tcPr>
            <w:tcW w:w="3760"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ind w:left="0" w:leftChars="0" w:firstLine="0" w:firstLineChars="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bCs/>
                <w:kern w:val="0"/>
                <w:sz w:val="21"/>
                <w:szCs w:val="21"/>
              </w:rPr>
              <w:t>指标解释说明</w:t>
            </w:r>
          </w:p>
        </w:tc>
        <w:tc>
          <w:tcPr>
            <w:tcW w:w="3615"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hint="eastAsia" w:ascii="方正仿宋_GBK" w:hAnsi="方正仿宋_GBK" w:eastAsia="方正仿宋_GBK" w:cs="方正仿宋_GBK"/>
                <w:kern w:val="0"/>
                <w:sz w:val="21"/>
                <w:szCs w:val="21"/>
              </w:rPr>
            </w:pPr>
          </w:p>
        </w:tc>
        <w:tc>
          <w:tcPr>
            <w:tcW w:w="663"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hint="eastAsia" w:ascii="方正仿宋_GBK" w:hAnsi="方正仿宋_GBK" w:eastAsia="方正仿宋_GBK" w:cs="方正仿宋_GBK"/>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restart"/>
            <w:tcBorders>
              <w:top w:val="single" w:color="000000" w:sz="4" w:space="0"/>
              <w:left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投入（10分）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690" w:type="dxa"/>
            <w:vMerge w:val="restart"/>
            <w:tcBorders>
              <w:top w:val="single" w:color="000000" w:sz="4" w:space="0"/>
              <w:left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预算编制</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lang w:val="en-US" w:eastAsia="zh-CN"/>
              </w:rPr>
              <w:t>4分</w:t>
            </w:r>
            <w:r>
              <w:rPr>
                <w:rFonts w:hint="eastAsia" w:ascii="方正仿宋_GBK" w:hAnsi="方正仿宋_GBK" w:eastAsia="方正仿宋_GBK" w:cs="方正仿宋_GBK"/>
                <w:kern w:val="0"/>
                <w:sz w:val="21"/>
                <w:szCs w:val="21"/>
                <w:lang w:eastAsia="zh-CN"/>
              </w:rPr>
              <w:t>）</w:t>
            </w:r>
          </w:p>
        </w:tc>
        <w:tc>
          <w:tcPr>
            <w:tcW w:w="1170"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预算编制合理性</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（2分）</w:t>
            </w:r>
          </w:p>
        </w:tc>
        <w:tc>
          <w:tcPr>
            <w:tcW w:w="3760"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考核部门（单位）预算的合理性，即是否符合本部门职责、是否符合县委县政府的方针政策和工作要求，资金有无根据项目的轻重缓急进行分配。</w:t>
            </w:r>
          </w:p>
        </w:tc>
        <w:tc>
          <w:tcPr>
            <w:tcW w:w="3615" w:type="dxa"/>
            <w:tcBorders>
              <w:top w:val="single" w:color="000000"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部门预算编制、分配符合本部分职责、符合县委县政府方针政策和工作要求的，得1分；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部门预算资金能根据年度工作重点，在不同项目、不用用途之间分配合理的，得1分。</w:t>
            </w:r>
          </w:p>
        </w:tc>
        <w:tc>
          <w:tcPr>
            <w:tcW w:w="663"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jc w:val="center"/>
        </w:trPr>
        <w:tc>
          <w:tcPr>
            <w:tcW w:w="69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69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1170"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预算编制规范性</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（2分）</w:t>
            </w:r>
          </w:p>
        </w:tc>
        <w:tc>
          <w:tcPr>
            <w:tcW w:w="3760"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考核部门（单位）预算编制是否符合县财政当年有关预算编制的原则，例如在规范性和细致程度方面是否符合要求等。</w:t>
            </w:r>
          </w:p>
        </w:tc>
        <w:tc>
          <w:tcPr>
            <w:tcW w:w="3615"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预算编制符合县财政当年有关预算编制的原则和要求的，得2分；发现一项没有满足的扣0.5分，扣完为止。</w:t>
            </w:r>
          </w:p>
        </w:tc>
        <w:tc>
          <w:tcPr>
            <w:tcW w:w="663"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69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690" w:type="dxa"/>
            <w:vMerge w:val="restart"/>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目标设置（6分）</w:t>
            </w:r>
          </w:p>
        </w:tc>
        <w:tc>
          <w:tcPr>
            <w:tcW w:w="1170"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目标合理性（2分）</w:t>
            </w:r>
          </w:p>
        </w:tc>
        <w:tc>
          <w:tcPr>
            <w:tcW w:w="3760"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部门（单位）所设立的整体绩效目标是否符合客观实际，用以反映和考核部门（单位）整体绩效目标与年度工作任务的相符性情况。</w:t>
            </w:r>
          </w:p>
        </w:tc>
        <w:tc>
          <w:tcPr>
            <w:tcW w:w="3615" w:type="dxa"/>
            <w:tcBorders>
              <w:top w:val="single" w:color="000000"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整体绩效目标与年度工作任务相符的，得1分；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rPr>
              <w:t>整体绩效目标符合客观实际情况的，得1分</w:t>
            </w:r>
            <w:r>
              <w:rPr>
                <w:rFonts w:hint="eastAsia" w:ascii="方正仿宋_GBK" w:hAnsi="方正仿宋_GBK" w:cs="方正仿宋_GBK"/>
                <w:kern w:val="0"/>
                <w:sz w:val="21"/>
                <w:szCs w:val="21"/>
                <w:lang w:eastAsia="zh-CN"/>
              </w:rPr>
              <w:t>。</w:t>
            </w:r>
          </w:p>
        </w:tc>
        <w:tc>
          <w:tcPr>
            <w:tcW w:w="663"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69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1170"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绩效目标覆盖率</w:t>
            </w:r>
            <w:r>
              <w:rPr>
                <w:rFonts w:hint="eastAsia" w:ascii="方正仿宋_GBK" w:hAnsi="方正仿宋_GBK" w:eastAsia="方正仿宋_GBK" w:cs="方正仿宋_GBK"/>
                <w:kern w:val="0"/>
                <w:sz w:val="21"/>
                <w:szCs w:val="21"/>
              </w:rPr>
              <w:br w:type="textWrapping"/>
            </w:r>
            <w:r>
              <w:rPr>
                <w:rFonts w:hint="eastAsia" w:ascii="方正仿宋_GBK" w:hAnsi="方正仿宋_GBK" w:eastAsia="方正仿宋_GBK" w:cs="方正仿宋_GBK"/>
                <w:kern w:val="0"/>
                <w:sz w:val="21"/>
                <w:szCs w:val="21"/>
              </w:rPr>
              <w:t>（2分）</w:t>
            </w:r>
          </w:p>
        </w:tc>
        <w:tc>
          <w:tcPr>
            <w:tcW w:w="3760"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部门（单位）设置了绩效目标的金额与部门整体支出金额的比率。</w:t>
            </w:r>
          </w:p>
        </w:tc>
        <w:tc>
          <w:tcPr>
            <w:tcW w:w="3615"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比率≥80%的，得2分；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80%﹥比率≥60%的，得1分；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60%﹥比率≥30%的，得0.5分；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﹤30%的，得0分。</w:t>
            </w:r>
          </w:p>
        </w:tc>
        <w:tc>
          <w:tcPr>
            <w:tcW w:w="663"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69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1170"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绩效指标明确性</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（2分）</w:t>
            </w:r>
          </w:p>
        </w:tc>
        <w:tc>
          <w:tcPr>
            <w:tcW w:w="3760"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部门（单位）依据整体绩效目标所设定的绩效指标是否清晰、细化、可量化。</w:t>
            </w:r>
          </w:p>
        </w:tc>
        <w:tc>
          <w:tcPr>
            <w:tcW w:w="3615"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绩效指标能反映绩效目标的，得1分；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绩效指标明确且可量化的，得1分；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其他情况酌情扣分。</w:t>
            </w:r>
          </w:p>
        </w:tc>
        <w:tc>
          <w:tcPr>
            <w:tcW w:w="663"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6" w:hRule="atLeast"/>
          <w:jc w:val="center"/>
        </w:trPr>
        <w:tc>
          <w:tcPr>
            <w:tcW w:w="690" w:type="dxa"/>
            <w:vMerge w:val="restart"/>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过程(50分)</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过程(50分)</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rPr>
            </w:pPr>
          </w:p>
        </w:tc>
        <w:tc>
          <w:tcPr>
            <w:tcW w:w="69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预算执行情况（24分）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p>
        </w:tc>
        <w:tc>
          <w:tcPr>
            <w:tcW w:w="1170" w:type="dxa"/>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财政供养人员控制率（3分）</w:t>
            </w:r>
          </w:p>
        </w:tc>
        <w:tc>
          <w:tcPr>
            <w:tcW w:w="3760"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部门本年度实际在职人员数与编制数的比率，用以反映和评价部门对人员成本的控制程度。</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在职人员控制率=（在职人员数/编制数）×100%。</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在职人员数：部门实际在职人数，以财政部门确定的部门决算编制口径为准。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编制数：机构编制部门核定批复的部门人员编制数。</w:t>
            </w:r>
          </w:p>
        </w:tc>
        <w:tc>
          <w:tcPr>
            <w:tcW w:w="3615"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目标值≤100%；达到目标值得3分；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比率﹥100%，每增加5%扣1分，直至扣完。</w:t>
            </w:r>
          </w:p>
        </w:tc>
        <w:tc>
          <w:tcPr>
            <w:tcW w:w="663"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69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kern w:val="0"/>
                <w:sz w:val="21"/>
                <w:szCs w:val="21"/>
              </w:rPr>
            </w:pPr>
          </w:p>
        </w:tc>
        <w:tc>
          <w:tcPr>
            <w:tcW w:w="69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117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支出完成率（3分）</w:t>
            </w:r>
          </w:p>
        </w:tc>
        <w:tc>
          <w:tcPr>
            <w:tcW w:w="37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部门（单位）本年度预算实际支出数（以实际用款为准）与财政下达资金数（包括年初预算数、年中追加数和上年结转数）的比率，用以反映和考核部门（单位）支出完成程度。</w:t>
            </w:r>
          </w:p>
        </w:tc>
        <w:tc>
          <w:tcPr>
            <w:tcW w:w="361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比率≥100%，得3分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100%＞结果≥90%，得2分；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90%＞结果≥80%，得1分；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80%﹥比率≥60%的，得0.5分。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比率﹤60%的，不得分。</w:t>
            </w:r>
          </w:p>
        </w:tc>
        <w:tc>
          <w:tcPr>
            <w:tcW w:w="66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69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69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117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预算调整率（3分）</w:t>
            </w:r>
          </w:p>
        </w:tc>
        <w:tc>
          <w:tcPr>
            <w:tcW w:w="37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部门本年度预算调整数与预算数的比率，用以反映和评价部门预算的调整程度。</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预算调整率=（预算调整数/预算数）×100%。</w:t>
            </w:r>
          </w:p>
        </w:tc>
        <w:tc>
          <w:tcPr>
            <w:tcW w:w="361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比率≤3%的，得3分；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3%﹤比率≤ %的，得2分；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比率＞10%的，得0分。</w:t>
            </w:r>
          </w:p>
        </w:tc>
        <w:tc>
          <w:tcPr>
            <w:tcW w:w="66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0" w:hRule="atLeast"/>
          <w:jc w:val="center"/>
        </w:trPr>
        <w:tc>
          <w:tcPr>
            <w:tcW w:w="69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69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117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结转结余率（3分）</w:t>
            </w:r>
          </w:p>
        </w:tc>
        <w:tc>
          <w:tcPr>
            <w:tcW w:w="37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通过对部门本年度结转结余总额与支出预算数的比较，反映和评价部门对本年度结转结余资金的实际控制程度。</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结转结余率=（结转结余总额/支出预算数）×100%。</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结转结余总额，是指预算部门本年度的结转资金与结余资金之和（以决算数为准）。</w:t>
            </w:r>
          </w:p>
        </w:tc>
        <w:tc>
          <w:tcPr>
            <w:tcW w:w="361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比率≤5%的，得3分；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5%﹤比率≤10%的，得2分；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10%﹤比率≤15%的，得1分；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比率＞15%的，得0分</w:t>
            </w:r>
          </w:p>
        </w:tc>
        <w:tc>
          <w:tcPr>
            <w:tcW w:w="66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jc w:val="center"/>
        </w:trPr>
        <w:tc>
          <w:tcPr>
            <w:tcW w:w="69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69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117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结转结余变动率</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(3分）</w:t>
            </w:r>
          </w:p>
        </w:tc>
        <w:tc>
          <w:tcPr>
            <w:tcW w:w="37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部门本年度结转结余资金总额与上年度结转结余资金总额的变动比率，用以反映和考核部门对控制结转结余资金的努力程度。</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结转结余变动率=〔（本年度累计结转结余资金总额-上年度累计结转结余资金总额）/上年度累计结转结余资金总额〕×100%。</w:t>
            </w:r>
          </w:p>
        </w:tc>
        <w:tc>
          <w:tcPr>
            <w:tcW w:w="361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比率≤0%；得3分；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0%﹤比率≤5%的，得2分；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5%﹤比率≤10%的，得1分；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比率＞10%的，得0分</w:t>
            </w:r>
          </w:p>
        </w:tc>
        <w:tc>
          <w:tcPr>
            <w:tcW w:w="66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5" w:hRule="atLeast"/>
          <w:jc w:val="center"/>
        </w:trPr>
        <w:tc>
          <w:tcPr>
            <w:tcW w:w="69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69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117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公用经费控制率</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（3分）</w:t>
            </w:r>
          </w:p>
        </w:tc>
        <w:tc>
          <w:tcPr>
            <w:tcW w:w="37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通过对部门本年度实际支出的公用经费总额与预算安排的公用经费总额的比率，反映和评价部门对机构运转成本的实际控制程度。</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公用经费控制率=（实际支出公用经费总额/预算安排公用经费总额）×100%。</w:t>
            </w:r>
          </w:p>
        </w:tc>
        <w:tc>
          <w:tcPr>
            <w:tcW w:w="361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目标值为≤100%；达到目标值得3分，未达到目标值的每增加0.1个百分点扣0.1分，扣完为止。</w:t>
            </w:r>
          </w:p>
        </w:tc>
        <w:tc>
          <w:tcPr>
            <w:tcW w:w="66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jc w:val="center"/>
        </w:trPr>
        <w:tc>
          <w:tcPr>
            <w:tcW w:w="69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69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117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cs="方正仿宋_GBK"/>
                <w:kern w:val="0"/>
                <w:sz w:val="21"/>
                <w:szCs w:val="21"/>
                <w:lang w:eastAsia="zh-CN"/>
              </w:rPr>
              <w:t>“三公”经费</w:t>
            </w:r>
            <w:r>
              <w:rPr>
                <w:rFonts w:hint="eastAsia" w:ascii="方正仿宋_GBK" w:hAnsi="方正仿宋_GBK" w:eastAsia="方正仿宋_GBK" w:cs="方正仿宋_GBK"/>
                <w:kern w:val="0"/>
                <w:sz w:val="21"/>
                <w:szCs w:val="21"/>
              </w:rPr>
              <w:t>控制率（3分）</w:t>
            </w:r>
          </w:p>
        </w:tc>
        <w:tc>
          <w:tcPr>
            <w:tcW w:w="37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部门（单位）本年度</w:t>
            </w:r>
            <w:r>
              <w:rPr>
                <w:rFonts w:hint="eastAsia" w:ascii="方正仿宋_GBK" w:hAnsi="方正仿宋_GBK" w:cs="方正仿宋_GBK"/>
                <w:kern w:val="0"/>
                <w:sz w:val="21"/>
                <w:szCs w:val="21"/>
                <w:lang w:eastAsia="zh-CN"/>
              </w:rPr>
              <w:t>“三公”经费</w:t>
            </w:r>
            <w:r>
              <w:rPr>
                <w:rFonts w:hint="eastAsia" w:ascii="方正仿宋_GBK" w:hAnsi="方正仿宋_GBK" w:eastAsia="方正仿宋_GBK" w:cs="方正仿宋_GBK"/>
                <w:kern w:val="0"/>
                <w:sz w:val="21"/>
                <w:szCs w:val="21"/>
              </w:rPr>
              <w:t>实际支出数与预算安排数的比率，用以反映和考核部门（单位）对</w:t>
            </w:r>
            <w:r>
              <w:rPr>
                <w:rFonts w:hint="eastAsia" w:ascii="方正仿宋_GBK" w:hAnsi="方正仿宋_GBK" w:cs="方正仿宋_GBK"/>
                <w:kern w:val="0"/>
                <w:sz w:val="21"/>
                <w:szCs w:val="21"/>
                <w:lang w:eastAsia="zh-CN"/>
              </w:rPr>
              <w:t>“三公”经费</w:t>
            </w:r>
            <w:r>
              <w:rPr>
                <w:rFonts w:hint="eastAsia" w:ascii="方正仿宋_GBK" w:hAnsi="方正仿宋_GBK" w:eastAsia="方正仿宋_GBK" w:cs="方正仿宋_GBK"/>
                <w:kern w:val="0"/>
                <w:sz w:val="21"/>
                <w:szCs w:val="21"/>
              </w:rPr>
              <w:t>的实际控制程度。</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cs="方正仿宋_GBK"/>
                <w:kern w:val="0"/>
                <w:sz w:val="21"/>
                <w:szCs w:val="21"/>
                <w:lang w:eastAsia="zh-CN"/>
              </w:rPr>
              <w:t>“三公”经费</w:t>
            </w:r>
            <w:r>
              <w:rPr>
                <w:rFonts w:hint="eastAsia" w:ascii="方正仿宋_GBK" w:hAnsi="方正仿宋_GBK" w:eastAsia="方正仿宋_GBK" w:cs="方正仿宋_GBK"/>
                <w:kern w:val="0"/>
                <w:sz w:val="21"/>
                <w:szCs w:val="21"/>
              </w:rPr>
              <w:t>控制率=（</w:t>
            </w:r>
            <w:r>
              <w:rPr>
                <w:rFonts w:hint="eastAsia" w:ascii="方正仿宋_GBK" w:hAnsi="方正仿宋_GBK" w:cs="方正仿宋_GBK"/>
                <w:kern w:val="0"/>
                <w:sz w:val="21"/>
                <w:szCs w:val="21"/>
                <w:lang w:eastAsia="zh-CN"/>
              </w:rPr>
              <w:t>“三公”经费</w:t>
            </w:r>
            <w:r>
              <w:rPr>
                <w:rFonts w:hint="eastAsia" w:ascii="方正仿宋_GBK" w:hAnsi="方正仿宋_GBK" w:eastAsia="方正仿宋_GBK" w:cs="方正仿宋_GBK"/>
                <w:kern w:val="0"/>
                <w:sz w:val="21"/>
                <w:szCs w:val="21"/>
              </w:rPr>
              <w:t>实际支出/</w:t>
            </w:r>
            <w:r>
              <w:rPr>
                <w:rFonts w:hint="eastAsia" w:ascii="方正仿宋_GBK" w:hAnsi="方正仿宋_GBK" w:cs="方正仿宋_GBK"/>
                <w:kern w:val="0"/>
                <w:sz w:val="21"/>
                <w:szCs w:val="21"/>
                <w:lang w:eastAsia="zh-CN"/>
              </w:rPr>
              <w:t>“三公”经费</w:t>
            </w:r>
            <w:r>
              <w:rPr>
                <w:rFonts w:hint="eastAsia" w:ascii="方正仿宋_GBK" w:hAnsi="方正仿宋_GBK" w:eastAsia="方正仿宋_GBK" w:cs="方正仿宋_GBK"/>
                <w:kern w:val="0"/>
                <w:sz w:val="21"/>
                <w:szCs w:val="21"/>
              </w:rPr>
              <w:t>预算安排数）×100%</w:t>
            </w:r>
          </w:p>
        </w:tc>
        <w:tc>
          <w:tcPr>
            <w:tcW w:w="361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目标值为≤100%；达到目标值得3分，未达到目标值的每增加0.1个百分点扣0.1分，扣完为止。</w:t>
            </w:r>
          </w:p>
        </w:tc>
        <w:tc>
          <w:tcPr>
            <w:tcW w:w="66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69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69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117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政府采购执行率</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（3分）</w:t>
            </w:r>
          </w:p>
        </w:tc>
        <w:tc>
          <w:tcPr>
            <w:tcW w:w="37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通过对部门本年度实际政府采购金额与年初政府采购预算的比较，反映和评价部门政府采购预算执行情况。</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政府采购执行率=（实际政府采购金额/政府采购预算×100%。</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政府采购预算，是指采购机关根据事业发展计划和行政任务编制的、并经过规定程序批准的年度政府采购计划。</w:t>
            </w:r>
          </w:p>
        </w:tc>
        <w:tc>
          <w:tcPr>
            <w:tcW w:w="361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目标值为100%；以3分为上限，采用完成比率法计分：得分=政府采购执行率×3。若实际政府采购金额大于政府采购预算数则本项不得分。</w:t>
            </w:r>
          </w:p>
        </w:tc>
        <w:tc>
          <w:tcPr>
            <w:tcW w:w="66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69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rPr>
              <w:t>预算管理（</w:t>
            </w:r>
            <w:r>
              <w:rPr>
                <w:rFonts w:hint="eastAsia" w:ascii="方正仿宋_GBK" w:hAnsi="方正仿宋_GBK" w:eastAsia="方正仿宋_GBK" w:cs="方正仿宋_GBK"/>
                <w:kern w:val="0"/>
                <w:sz w:val="21"/>
                <w:szCs w:val="21"/>
                <w:lang w:val="en-US" w:eastAsia="zh-CN"/>
              </w:rPr>
              <w:t>18分）</w:t>
            </w:r>
          </w:p>
        </w:tc>
        <w:tc>
          <w:tcPr>
            <w:tcW w:w="117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管理制度健全性</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（6分）</w:t>
            </w:r>
          </w:p>
        </w:tc>
        <w:tc>
          <w:tcPr>
            <w:tcW w:w="37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部门为加强预算管理，规范财务行为而制定的管理制度是否健全完整，项目管理是否规范，基础信息是否完整等。评价要点：</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r>
              <w:rPr>
                <w:rFonts w:hint="eastAsia" w:ascii="方正仿宋_GBK" w:hAnsi="方正仿宋_GBK" w:eastAsia="方正仿宋_GBK" w:cs="方正仿宋_GBK"/>
                <w:kern w:val="0"/>
                <w:sz w:val="21"/>
                <w:szCs w:val="21"/>
                <w:lang w:val="en-US" w:eastAsia="zh-CN"/>
              </w:rPr>
              <w:t>.</w:t>
            </w:r>
            <w:r>
              <w:rPr>
                <w:rFonts w:hint="eastAsia" w:ascii="方正仿宋_GBK" w:hAnsi="方正仿宋_GBK" w:eastAsia="方正仿宋_GBK" w:cs="方正仿宋_GBK"/>
                <w:kern w:val="0"/>
                <w:sz w:val="21"/>
                <w:szCs w:val="21"/>
              </w:rPr>
              <w:t>是否已制定或具有预算资金管理办法、内部财务管理制度、会计核算制度等管理制度；</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2.相关管理制度是否合法、合规、完整；</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3.相关管理制度是否得到有效执行。</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w:t>
            </w:r>
            <w:r>
              <w:rPr>
                <w:rFonts w:hint="eastAsia" w:ascii="方正仿宋_GBK" w:hAnsi="方正仿宋_GBK" w:eastAsia="方正仿宋_GBK" w:cs="方正仿宋_GBK"/>
                <w:kern w:val="0"/>
                <w:sz w:val="21"/>
                <w:szCs w:val="21"/>
                <w:lang w:val="en-US" w:eastAsia="zh-CN"/>
              </w:rPr>
              <w:t>.</w:t>
            </w:r>
            <w:r>
              <w:rPr>
                <w:rFonts w:hint="eastAsia" w:ascii="方正仿宋_GBK" w:hAnsi="方正仿宋_GBK" w:eastAsia="方正仿宋_GBK" w:cs="方正仿宋_GBK"/>
                <w:kern w:val="0"/>
                <w:sz w:val="21"/>
                <w:szCs w:val="21"/>
              </w:rPr>
              <w:t>基础数据信息和会计信息资料真实、完整、准确；</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w:t>
            </w:r>
            <w:r>
              <w:rPr>
                <w:rFonts w:hint="eastAsia" w:ascii="方正仿宋_GBK" w:hAnsi="方正仿宋_GBK" w:eastAsia="方正仿宋_GBK" w:cs="方正仿宋_GBK"/>
                <w:kern w:val="0"/>
                <w:sz w:val="21"/>
                <w:szCs w:val="21"/>
                <w:lang w:val="en-US" w:eastAsia="zh-CN"/>
              </w:rPr>
              <w:t>.</w:t>
            </w:r>
            <w:r>
              <w:rPr>
                <w:rFonts w:hint="eastAsia" w:ascii="方正仿宋_GBK" w:hAnsi="方正仿宋_GBK" w:eastAsia="方正仿宋_GBK" w:cs="方正仿宋_GBK"/>
                <w:kern w:val="0"/>
                <w:sz w:val="21"/>
                <w:szCs w:val="21"/>
              </w:rPr>
              <w:t>是否制定相关项目管理制度。</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6</w:t>
            </w:r>
            <w:r>
              <w:rPr>
                <w:rFonts w:hint="eastAsia" w:ascii="方正仿宋_GBK" w:hAnsi="方正仿宋_GBK" w:eastAsia="方正仿宋_GBK" w:cs="方正仿宋_GBK"/>
                <w:kern w:val="0"/>
                <w:sz w:val="21"/>
                <w:szCs w:val="21"/>
                <w:lang w:val="en-US" w:eastAsia="zh-CN"/>
              </w:rPr>
              <w:t>.</w:t>
            </w:r>
            <w:r>
              <w:rPr>
                <w:rFonts w:hint="eastAsia" w:ascii="方正仿宋_GBK" w:hAnsi="方正仿宋_GBK" w:eastAsia="方正仿宋_GBK" w:cs="方正仿宋_GBK"/>
                <w:kern w:val="0"/>
                <w:sz w:val="21"/>
                <w:szCs w:val="21"/>
              </w:rPr>
              <w:t>项目实施是否规范。</w:t>
            </w:r>
          </w:p>
        </w:tc>
        <w:tc>
          <w:tcPr>
            <w:tcW w:w="361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全部符合（6分）；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符合其中一项（1分）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66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69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69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117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资金使用合规性</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（9分）</w:t>
            </w:r>
          </w:p>
        </w:tc>
        <w:tc>
          <w:tcPr>
            <w:tcW w:w="37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部门使用预算资金是否符合相关的预算财务管理制度的规定，反映和评价部门预算资金的规范运行情况。</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评价要点：</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1.符合国家财经法规和财务管理制度规定以及有关部门资金管理办法的规定；</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2.资金的拨付有完整的审批过程和手续；</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3.项目的重大开支经过评估论证；</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4.符合部门预算批复的用途；</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5.不存在截留情况；6.不存在挤占情况；</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7.不存在挪用情况；8.不存在虚列支出情况。</w:t>
            </w:r>
          </w:p>
        </w:tc>
        <w:tc>
          <w:tcPr>
            <w:tcW w:w="361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全部符合（9分）；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符合其中七项（8分）；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符合其中六项（5分）；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符合其中五项（3分）；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符合其中四项及以下（0分）。</w:t>
            </w:r>
          </w:p>
        </w:tc>
        <w:tc>
          <w:tcPr>
            <w:tcW w:w="66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3" w:hRule="atLeast"/>
          <w:jc w:val="center"/>
        </w:trPr>
        <w:tc>
          <w:tcPr>
            <w:tcW w:w="69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69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117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预决算信息公开性（3分）</w:t>
            </w:r>
          </w:p>
        </w:tc>
        <w:tc>
          <w:tcPr>
            <w:tcW w:w="37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部门是否按照政府信息公开有关规定公开相关预决算信息，用以反映和评价部门预决算管理的公开透明情况。</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预决算信息是指与部门预算、执行、决算、监督、绩效等管理相关的信息。</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评价要点：</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1.公开预决算信息；</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2.按规定内容公开预决算信息；</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3.按规定时限公开预决算信息。</w:t>
            </w:r>
          </w:p>
        </w:tc>
        <w:tc>
          <w:tcPr>
            <w:tcW w:w="361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全部符合（3分）；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符合其中两项（2分）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符合其中一项及以下（0分）。</w:t>
            </w:r>
          </w:p>
        </w:tc>
        <w:tc>
          <w:tcPr>
            <w:tcW w:w="66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2" w:hRule="atLeast"/>
          <w:jc w:val="center"/>
        </w:trPr>
        <w:tc>
          <w:tcPr>
            <w:tcW w:w="69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690" w:type="dxa"/>
            <w:vMerge w:val="restart"/>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资产管理（8分）</w:t>
            </w:r>
          </w:p>
        </w:tc>
        <w:tc>
          <w:tcPr>
            <w:tcW w:w="1170"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资产管理完全性</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（4分）</w:t>
            </w: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部门的资产是否保存完整、使用合规、收入及时足额上缴，用以反映和评价部门资产运行情况。</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评价要点：</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1.资产保存完整；</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2.资产账务管理合规，帐实相符；</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r>
              <w:rPr>
                <w:rFonts w:hint="eastAsia" w:ascii="方正仿宋_GBK" w:hAnsi="方正仿宋_GBK" w:eastAsia="方正仿宋_GBK" w:cs="方正仿宋_GBK"/>
                <w:kern w:val="0"/>
                <w:sz w:val="21"/>
                <w:szCs w:val="21"/>
                <w:lang w:val="en-US" w:eastAsia="zh-CN"/>
              </w:rPr>
              <w:t>.</w:t>
            </w:r>
            <w:r>
              <w:rPr>
                <w:rFonts w:hint="eastAsia" w:ascii="方正仿宋_GBK" w:hAnsi="方正仿宋_GBK" w:eastAsia="方正仿宋_GBK" w:cs="方正仿宋_GBK"/>
                <w:kern w:val="0"/>
                <w:sz w:val="21"/>
                <w:szCs w:val="21"/>
              </w:rPr>
              <w:t>资产配置合理、处置规范；</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4.资产有偿使用及处置收入及时足额上缴。</w:t>
            </w:r>
          </w:p>
        </w:tc>
        <w:tc>
          <w:tcPr>
            <w:tcW w:w="36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符合全部四项（4分）；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符合其中三项（3分）；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符合其中二项（2分）；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符合其中一项（1分）；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符合零项（0分）。</w:t>
            </w:r>
          </w:p>
        </w:tc>
        <w:tc>
          <w:tcPr>
            <w:tcW w:w="66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9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69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p>
        </w:tc>
        <w:tc>
          <w:tcPr>
            <w:tcW w:w="1170" w:type="dxa"/>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固定资产利用率</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（4分）</w:t>
            </w:r>
          </w:p>
        </w:tc>
        <w:tc>
          <w:tcPr>
            <w:tcW w:w="3760"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部门实际在用固定资产总额与所有固定资产总额的比率，用以反映和评价部门固定资产使用效率。</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固定资产利用率=（实际在用固定资产总额/所有固定资产总额）×100%。</w:t>
            </w:r>
          </w:p>
        </w:tc>
        <w:tc>
          <w:tcPr>
            <w:tcW w:w="3615"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比率≥90%的，得4分；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90%＞比率≥80%，得3分；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80%＞比率≥70%，得2分；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70%＞比率≥60%，得1分；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比率＜60%得0分。</w:t>
            </w:r>
          </w:p>
        </w:tc>
        <w:tc>
          <w:tcPr>
            <w:tcW w:w="663"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jc w:val="center"/>
        </w:trPr>
        <w:tc>
          <w:tcPr>
            <w:tcW w:w="69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产出(25分)</w:t>
            </w:r>
          </w:p>
        </w:tc>
        <w:tc>
          <w:tcPr>
            <w:tcW w:w="69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职责履行（25分）</w:t>
            </w:r>
          </w:p>
        </w:tc>
        <w:tc>
          <w:tcPr>
            <w:tcW w:w="1170"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项目实际完成率</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（5分）</w:t>
            </w:r>
          </w:p>
        </w:tc>
        <w:tc>
          <w:tcPr>
            <w:tcW w:w="3760"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部门履行职责而实际完成的项目数与计划完成的项目数的比率，用以反映和评价部门履职任务目标的实现程度。</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项目实际完成率=（实际完成项目数/计划完成项目数）×100%。</w:t>
            </w:r>
          </w:p>
        </w:tc>
        <w:tc>
          <w:tcPr>
            <w:tcW w:w="3615"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100%＞比率≥95%，得5分；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95%＞比率≥90%，得4分；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90%＞比率≥85%，得3分；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比率＜85%得0分。</w:t>
            </w:r>
          </w:p>
        </w:tc>
        <w:tc>
          <w:tcPr>
            <w:tcW w:w="663"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5" w:hRule="atLeast"/>
          <w:jc w:val="center"/>
        </w:trPr>
        <w:tc>
          <w:tcPr>
            <w:tcW w:w="69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69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1170"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项目质量达标率</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（5分）</w:t>
            </w:r>
          </w:p>
        </w:tc>
        <w:tc>
          <w:tcPr>
            <w:tcW w:w="3760"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部门已完成项目中质量达标项目个数占已完成项目个数的比率,用以反映和评价部门履职质量目标的实现程度。</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项目质量达标率=（已完成项目中质量达标项目个数/已完成项目个数）×100%。</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项目质量达标是指项目决算验收合格。</w:t>
            </w:r>
          </w:p>
        </w:tc>
        <w:tc>
          <w:tcPr>
            <w:tcW w:w="3615"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目标值100%；以5分为上限，采用完成比率法计分：得分=项目质量达标率×5，≤95%的扣5分。</w:t>
            </w:r>
          </w:p>
        </w:tc>
        <w:tc>
          <w:tcPr>
            <w:tcW w:w="663"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69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69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1170"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重点工作办结率</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（5分）</w:t>
            </w:r>
          </w:p>
        </w:tc>
        <w:tc>
          <w:tcPr>
            <w:tcW w:w="3760"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部门年度重点工作实际完成数与交办或下达数的比率，用以反映部门对重点工作的办理落实程度。</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重点工作办结率=（重点工作实际完成数/交办或下达数）×100%。</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重点工作是指党委、政府、人大、相关部门交办或下达的工作任务。</w:t>
            </w:r>
          </w:p>
        </w:tc>
        <w:tc>
          <w:tcPr>
            <w:tcW w:w="3615"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目标值100%；以5分为上限，采用完成比率法计分：得分=重点工作办结率×5，≤90%的扣5分。</w:t>
            </w:r>
          </w:p>
        </w:tc>
        <w:tc>
          <w:tcPr>
            <w:tcW w:w="663"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9" w:hRule="atLeast"/>
          <w:jc w:val="center"/>
        </w:trPr>
        <w:tc>
          <w:tcPr>
            <w:tcW w:w="69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69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1170"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绩效目标完成率</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（10分）</w:t>
            </w:r>
          </w:p>
        </w:tc>
        <w:tc>
          <w:tcPr>
            <w:tcW w:w="3760"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反映部门（单位）整体绩效目标完成的情况</w:t>
            </w:r>
          </w:p>
        </w:tc>
        <w:tc>
          <w:tcPr>
            <w:tcW w:w="3615"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本项得分=绩效目标完成率×10</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（绩效目标完成率需提出合理依据）</w:t>
            </w:r>
          </w:p>
        </w:tc>
        <w:tc>
          <w:tcPr>
            <w:tcW w:w="663"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atLeast"/>
          <w:jc w:val="center"/>
        </w:trPr>
        <w:tc>
          <w:tcPr>
            <w:tcW w:w="690" w:type="dxa"/>
            <w:vMerge w:val="restart"/>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效益（15分）</w:t>
            </w:r>
          </w:p>
        </w:tc>
        <w:tc>
          <w:tcPr>
            <w:tcW w:w="690" w:type="dxa"/>
            <w:tcBorders>
              <w:top w:val="single" w:color="auto"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效果性（5分）</w:t>
            </w:r>
          </w:p>
        </w:tc>
        <w:tc>
          <w:tcPr>
            <w:tcW w:w="117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Cs/>
                <w:color w:val="000000"/>
                <w:kern w:val="0"/>
                <w:sz w:val="21"/>
                <w:szCs w:val="21"/>
              </w:rPr>
              <w:t>社会经济效益</w:t>
            </w:r>
            <w:r>
              <w:rPr>
                <w:rFonts w:hint="eastAsia" w:ascii="方正仿宋_GBK" w:hAnsi="方正仿宋_GBK" w:eastAsia="方正仿宋_GBK" w:cs="方正仿宋_GBK"/>
                <w:bCs/>
                <w:kern w:val="0"/>
                <w:sz w:val="21"/>
                <w:szCs w:val="21"/>
              </w:rPr>
              <w:t>（5）</w:t>
            </w:r>
          </w:p>
        </w:tc>
        <w:tc>
          <w:tcPr>
            <w:tcW w:w="37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反映项目实施直接产出的社会、经济、环境效应，主要通过项目资金使用效果的个性指标完成情况反映。</w:t>
            </w:r>
          </w:p>
        </w:tc>
        <w:tc>
          <w:tcPr>
            <w:tcW w:w="361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根据项目实际并结合绩效目标设立情况，有选择地设置个性化绩效指标，且通过绩效指标完成情况与目标值对比分析，进行核定得分。</w:t>
            </w:r>
          </w:p>
        </w:tc>
        <w:tc>
          <w:tcPr>
            <w:tcW w:w="66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jc w:val="center"/>
        </w:trPr>
        <w:tc>
          <w:tcPr>
            <w:tcW w:w="69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690" w:type="dxa"/>
            <w:vMerge w:val="restart"/>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公平性</w:t>
            </w:r>
            <w:r>
              <w:rPr>
                <w:rFonts w:hint="eastAsia" w:ascii="方正仿宋_GBK" w:hAnsi="方正仿宋_GBK" w:cs="方正仿宋_GBK"/>
                <w:kern w:val="0"/>
                <w:sz w:val="21"/>
                <w:szCs w:val="21"/>
                <w:lang w:eastAsia="zh-CN"/>
              </w:rPr>
              <w:t>（</w:t>
            </w:r>
            <w:r>
              <w:rPr>
                <w:rFonts w:hint="eastAsia" w:ascii="方正仿宋_GBK" w:hAnsi="方正仿宋_GBK" w:cs="方正仿宋_GBK"/>
                <w:kern w:val="0"/>
                <w:sz w:val="21"/>
                <w:szCs w:val="21"/>
                <w:lang w:val="en-US" w:eastAsia="zh-CN"/>
              </w:rPr>
              <w:t>10分</w:t>
            </w:r>
            <w:r>
              <w:rPr>
                <w:rFonts w:hint="eastAsia" w:ascii="方正仿宋_GBK" w:hAnsi="方正仿宋_GBK" w:cs="方正仿宋_GBK"/>
                <w:kern w:val="0"/>
                <w:sz w:val="21"/>
                <w:szCs w:val="21"/>
                <w:lang w:eastAsia="zh-CN"/>
              </w:rPr>
              <w:t>）</w:t>
            </w:r>
          </w:p>
        </w:tc>
        <w:tc>
          <w:tcPr>
            <w:tcW w:w="117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群众信访办理情况（5分）</w:t>
            </w:r>
          </w:p>
        </w:tc>
        <w:tc>
          <w:tcPr>
            <w:tcW w:w="37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部门（单位）对群众信访意见的完成情况及及时性，反映部门（单位）对群粽意见的重视程度。</w:t>
            </w:r>
          </w:p>
        </w:tc>
        <w:tc>
          <w:tcPr>
            <w:tcW w:w="361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设置了便利的群众意见反映渠道和群众意见办理回复机制的，得2分；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当年所有群众信访意见均有回复，且在规定时间内，得3分，否则按比例扣分。</w:t>
            </w:r>
          </w:p>
        </w:tc>
        <w:tc>
          <w:tcPr>
            <w:tcW w:w="66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4" w:hRule="atLeast"/>
          <w:jc w:val="center"/>
        </w:trPr>
        <w:tc>
          <w:tcPr>
            <w:tcW w:w="69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690"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117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社会公众满意度（5分）</w:t>
            </w:r>
          </w:p>
        </w:tc>
        <w:tc>
          <w:tcPr>
            <w:tcW w:w="37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通过问卷调查了解社会公众对部门履职效果、解决民众关心的热点问题、厉行节约等方面的满意程度，反映和评价部门支出所带来的社会效益。</w:t>
            </w:r>
          </w:p>
        </w:tc>
        <w:tc>
          <w:tcPr>
            <w:tcW w:w="361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按照满意度调查的优秀、良好、合格、不合格给予该项指标打分：</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优秀（5分）；良好（3分）；合格（1分）；不合格（0分）。</w:t>
            </w:r>
          </w:p>
        </w:tc>
        <w:tc>
          <w:tcPr>
            <w:tcW w:w="66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jc w:val="center"/>
        </w:trPr>
        <w:tc>
          <w:tcPr>
            <w:tcW w:w="690"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小计</w:t>
            </w:r>
          </w:p>
        </w:tc>
        <w:tc>
          <w:tcPr>
            <w:tcW w:w="690"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100</w:t>
            </w:r>
            <w:r>
              <w:rPr>
                <w:rFonts w:hint="eastAsia" w:ascii="方正仿宋_GBK" w:hAnsi="方正仿宋_GBK" w:cs="方正仿宋_GBK"/>
                <w:kern w:val="0"/>
                <w:sz w:val="21"/>
                <w:szCs w:val="21"/>
                <w:lang w:eastAsia="zh-CN"/>
              </w:rPr>
              <w:t>分</w:t>
            </w:r>
          </w:p>
        </w:tc>
        <w:tc>
          <w:tcPr>
            <w:tcW w:w="117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37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361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66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690" w:type="dxa"/>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评价结果</w:t>
            </w:r>
          </w:p>
        </w:tc>
        <w:tc>
          <w:tcPr>
            <w:tcW w:w="690"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117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p>
        </w:tc>
        <w:tc>
          <w:tcPr>
            <w:tcW w:w="7375" w:type="dxa"/>
            <w:gridSpan w:val="2"/>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 xml:space="preserve">优秀  90分≤得分≤100分； </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良好  80分≤得分≤89分；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xml:space="preserve">  □中  60分≤得分≤79分；  □较差  0≤得分≤59分</w:t>
            </w:r>
          </w:p>
        </w:tc>
        <w:tc>
          <w:tcPr>
            <w:tcW w:w="66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kern w:val="0"/>
                <w:sz w:val="21"/>
                <w:szCs w:val="21"/>
                <w:lang w:val="en-US" w:eastAsia="zh-CN"/>
              </w:rPr>
            </w:pPr>
          </w:p>
        </w:tc>
      </w:tr>
    </w:tbl>
    <w:p>
      <w:pPr>
        <w:ind w:left="0" w:leftChars="0" w:firstLine="0" w:firstLineChars="0"/>
      </w:pPr>
    </w:p>
    <w:p>
      <w:pPr>
        <w:pStyle w:val="2"/>
        <w:jc w:val="center"/>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sz w:val="32"/>
          <w:szCs w:val="32"/>
        </w:rPr>
        <w:t>2021年预算项目绩效目标自评表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ind w:left="0"/>
        <w:jc w:val="left"/>
        <w:textAlignment w:val="auto"/>
        <w:rPr>
          <w:rStyle w:val="11"/>
          <w:rFonts w:hint="eastAsia" w:ascii="方正仿宋_GBK" w:hAnsi="方正仿宋_GBK" w:eastAsia="方正仿宋_GBK" w:cs="方正仿宋_GBK"/>
          <w:b/>
          <w:bCs w:val="0"/>
          <w:sz w:val="32"/>
          <w:szCs w:val="32"/>
          <w:shd w:val="clear" w:fill="FFFFFF"/>
        </w:rPr>
      </w:pPr>
    </w:p>
    <w:tbl>
      <w:tblPr>
        <w:tblStyle w:val="9"/>
        <w:tblW w:w="10530" w:type="dxa"/>
        <w:tblInd w:w="-6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756"/>
        <w:gridCol w:w="783"/>
        <w:gridCol w:w="795"/>
        <w:gridCol w:w="900"/>
        <w:gridCol w:w="675"/>
        <w:gridCol w:w="525"/>
        <w:gridCol w:w="255"/>
        <w:gridCol w:w="720"/>
        <w:gridCol w:w="300"/>
        <w:gridCol w:w="746"/>
        <w:gridCol w:w="739"/>
        <w:gridCol w:w="930"/>
        <w:gridCol w:w="101"/>
        <w:gridCol w:w="604"/>
        <w:gridCol w:w="101"/>
        <w:gridCol w:w="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填报单位        </w:t>
            </w:r>
          </w:p>
        </w:tc>
        <w:tc>
          <w:tcPr>
            <w:tcW w:w="977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中共垫江县委机构编制委员会办公室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项目名称</w:t>
            </w:r>
          </w:p>
        </w:tc>
        <w:tc>
          <w:tcPr>
            <w:tcW w:w="5709"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机构编制管理项目</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自评总分（分)</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业务主管部门</w:t>
            </w:r>
          </w:p>
        </w:tc>
        <w:tc>
          <w:tcPr>
            <w:tcW w:w="5709"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县委编办</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联系人</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及电话</w:t>
            </w:r>
          </w:p>
        </w:tc>
        <w:tc>
          <w:tcPr>
            <w:tcW w:w="2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74525402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方正仿宋_GBK" w:hAnsi="方正仿宋_GBK" w:eastAsia="方正仿宋_GBK" w:cs="方正仿宋_GBK"/>
                <w:i w:val="0"/>
                <w:iCs w:val="0"/>
                <w:color w:val="000000"/>
                <w:sz w:val="20"/>
                <w:szCs w:val="20"/>
                <w:u w:val="none"/>
              </w:rPr>
            </w:pPr>
          </w:p>
        </w:tc>
        <w:tc>
          <w:tcPr>
            <w:tcW w:w="57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全年资金总额</w:t>
            </w:r>
          </w:p>
        </w:tc>
        <w:tc>
          <w:tcPr>
            <w:tcW w:w="4065"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预算执行情况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项目资金（万元）</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合计</w:t>
            </w:r>
          </w:p>
        </w:tc>
        <w:tc>
          <w:tcPr>
            <w:tcW w:w="24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上年结转数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年初预算数</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预算追加、追减(以“-”表示）金额</w:t>
            </w:r>
          </w:p>
        </w:tc>
        <w:tc>
          <w:tcPr>
            <w:tcW w:w="2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全年执行数（决算数）</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执行率</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执行率得分</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方正仿宋_GBK" w:hAnsi="方正仿宋_GBK" w:eastAsia="方正仿宋_GBK" w:cs="方正仿宋_GBK"/>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方正仿宋_GBK" w:hAnsi="方正仿宋_GBK" w:eastAsia="方正仿宋_GBK" w:cs="方正仿宋_GBK"/>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小计</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财政资金</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其他资金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小计</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财政资金</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其他资金</w:t>
            </w:r>
          </w:p>
        </w:tc>
        <w:tc>
          <w:tcPr>
            <w:tcW w:w="104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小计</w:t>
            </w:r>
          </w:p>
        </w:tc>
        <w:tc>
          <w:tcPr>
            <w:tcW w:w="17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17</w:t>
            </w:r>
          </w:p>
        </w:tc>
        <w:tc>
          <w:tcPr>
            <w:tcW w:w="7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方正仿宋_GBK" w:hAnsi="方正仿宋_GBK" w:eastAsia="方正仿宋_GBK" w:cs="方正仿宋_GBK"/>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cs="方正仿宋_GBK"/>
                <w:i w:val="0"/>
                <w:iCs w:val="0"/>
                <w:color w:val="000000"/>
                <w:kern w:val="0"/>
                <w:sz w:val="20"/>
                <w:szCs w:val="20"/>
                <w:u w:val="none"/>
                <w:lang w:val="en-US" w:eastAsia="zh-CN" w:bidi="ar"/>
              </w:rPr>
              <w:t xml:space="preserve">   </w:t>
            </w:r>
            <w:r>
              <w:rPr>
                <w:rFonts w:hint="eastAsia" w:ascii="方正仿宋_GBK" w:hAnsi="方正仿宋_GBK" w:eastAsia="方正仿宋_GBK" w:cs="方正仿宋_GBK"/>
                <w:i w:val="0"/>
                <w:iCs w:val="0"/>
                <w:color w:val="000000"/>
                <w:kern w:val="0"/>
                <w:sz w:val="20"/>
                <w:szCs w:val="20"/>
                <w:u w:val="none"/>
                <w:lang w:val="en-US" w:eastAsia="zh-CN" w:bidi="ar"/>
              </w:rPr>
              <w:t>17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方正仿宋_GBK" w:hAnsi="方正仿宋_GBK" w:eastAsia="方正仿宋_GBK" w:cs="方正仿宋_GBK"/>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方正仿宋_GBK" w:hAnsi="方正仿宋_GBK" w:eastAsia="方正仿宋_GBK" w:cs="方正仿宋_GBK"/>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17</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17</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方正仿宋_GBK" w:hAnsi="方正仿宋_GBK" w:eastAsia="方正仿宋_GBK" w:cs="方正仿宋_GBK"/>
                <w:i w:val="0"/>
                <w:iCs w:val="0"/>
                <w:color w:val="000000"/>
                <w:sz w:val="20"/>
                <w:szCs w:val="20"/>
                <w:u w:val="none"/>
              </w:rPr>
            </w:pPr>
          </w:p>
        </w:tc>
        <w:tc>
          <w:tcPr>
            <w:tcW w:w="104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方正仿宋_GBK" w:hAnsi="方正仿宋_GBK" w:eastAsia="方正仿宋_GBK" w:cs="方正仿宋_GBK"/>
                <w:i w:val="0"/>
                <w:iCs w:val="0"/>
                <w:color w:val="000000"/>
                <w:sz w:val="20"/>
                <w:szCs w:val="20"/>
                <w:u w:val="none"/>
              </w:rPr>
            </w:pPr>
          </w:p>
        </w:tc>
        <w:tc>
          <w:tcPr>
            <w:tcW w:w="17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方正仿宋_GBK" w:hAnsi="方正仿宋_GBK" w:eastAsia="方正仿宋_GBK" w:cs="方正仿宋_GBK"/>
                <w:i w:val="0"/>
                <w:iCs w:val="0"/>
                <w:color w:val="000000"/>
                <w:sz w:val="20"/>
                <w:szCs w:val="20"/>
                <w:u w:val="none"/>
              </w:rPr>
            </w:pPr>
          </w:p>
        </w:tc>
        <w:tc>
          <w:tcPr>
            <w:tcW w:w="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方正仿宋_GBK" w:hAnsi="方正仿宋_GBK" w:eastAsia="方正仿宋_GBK" w:cs="方正仿宋_GBK"/>
                <w:i w:val="0"/>
                <w:iCs w:val="0"/>
                <w:color w:val="000000"/>
                <w:sz w:val="20"/>
                <w:szCs w:val="20"/>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年度总体目标</w:t>
            </w:r>
          </w:p>
        </w:tc>
        <w:tc>
          <w:tcPr>
            <w:tcW w:w="57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年初设定目标</w:t>
            </w:r>
          </w:p>
        </w:tc>
        <w:tc>
          <w:tcPr>
            <w:tcW w:w="40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方正仿宋_GBK" w:hAnsi="方正仿宋_GBK" w:eastAsia="方正仿宋_GBK" w:cs="方正仿宋_GBK"/>
                <w:i w:val="0"/>
                <w:iCs w:val="0"/>
                <w:color w:val="000000"/>
                <w:sz w:val="20"/>
                <w:szCs w:val="20"/>
                <w:u w:val="none"/>
              </w:rPr>
            </w:pPr>
          </w:p>
        </w:tc>
        <w:tc>
          <w:tcPr>
            <w:tcW w:w="57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加强机构编制管理，完成统计报表，深入推进机构编制实名制管理，开展机构编制评估、督查及事业单位法人年度报告公示信息抽查；配合县司法局清理部门单位行政权力事项；继续做好综合行政执法体制改革项目；开展事业单位法人证书更换工作。及时办理办结事业单位登记，完善事业单位登记信息。完成2020年事业单位年度报告公示工作；机关、群团统一社会信用代码赋码；在2019年、2020年改革基础上，进一步推进事业单位改革，调整部门所属事业单位。深化公益类事业单位改革，提升服务水平。</w:t>
            </w:r>
          </w:p>
        </w:tc>
        <w:tc>
          <w:tcPr>
            <w:tcW w:w="40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5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绩效指标</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一级指标</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二级指标</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三级指标（指标名称）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年度指标值（计量单位）</w:t>
            </w:r>
          </w:p>
        </w:tc>
        <w:tc>
          <w:tcPr>
            <w:tcW w:w="1275" w:type="dxa"/>
            <w:gridSpan w:val="3"/>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调整后指标值（未调整不填列）</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实际完成值（计量单位）</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得分系数（%）</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权重</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产出指标</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数量指标</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统计次数（年终报年报统计）</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1次/月</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1485" w:type="dxa"/>
            <w:gridSpan w:val="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13次</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7</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数量指标</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室务会</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10次/年</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10次</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7</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数量指标</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办理上下编</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200人/年</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431人/年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数量指标</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事业单位法人公示信息实地核查</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8个/年</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8个/年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数量指标</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印发执法队伍机构编制事项文件</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6个/年</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6个/年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数量指标</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审核事业单位年度报告</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400个/年</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415个/年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70%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数量指标</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各部门单位清理执法事项</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&gt;3000项</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&gt;3000项</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数量指标</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事业单位法人公示信息抽查覆盖率</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7</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质量指标</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事业单位法人年度报告率</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7</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质量指标</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实现一个部门由一个机构相对集中行使执法权</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成本指标</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发放证书</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10元/个</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10元/个</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成本指标</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印制编制本</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20元/本</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20元/本</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成本指标</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购置电脑</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5000元/台</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5000元/台</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时效指标</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完成时间</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1年</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时效指标</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效益指标</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经济效益</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社会效益</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事业单位年度报告公示接受社会监督公示率</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7</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方正仿宋_GBK" w:hAnsi="方正仿宋_GBK" w:eastAsia="方正仿宋_GBK" w:cs="方正仿宋_GBK"/>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生态效益</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方正仿宋_GBK" w:hAnsi="方正仿宋_GBK" w:eastAsia="方正仿宋_GBK" w:cs="方正仿宋_GBK"/>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可持续影响</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方正仿宋_GBK" w:hAnsi="方正仿宋_GBK" w:eastAsia="方正仿宋_GBK" w:cs="方正仿宋_GBK"/>
                <w:i w:val="0"/>
                <w:iCs w:val="0"/>
                <w:color w:val="000000"/>
                <w:sz w:val="20"/>
                <w:szCs w:val="20"/>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方正仿宋_GBK" w:hAnsi="方正仿宋_GBK" w:eastAsia="方正仿宋_GBK" w:cs="方正仿宋_GBK"/>
                <w:i w:val="0"/>
                <w:iCs w:val="0"/>
                <w:color w:val="000000"/>
                <w:sz w:val="20"/>
                <w:szCs w:val="20"/>
                <w:u w:val="none"/>
              </w:rPr>
            </w:pPr>
          </w:p>
        </w:tc>
        <w:tc>
          <w:tcPr>
            <w:tcW w:w="75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满意度指标</w:t>
            </w:r>
          </w:p>
        </w:tc>
        <w:tc>
          <w:tcPr>
            <w:tcW w:w="78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满意度指标（10分）</w:t>
            </w:r>
          </w:p>
        </w:tc>
        <w:tc>
          <w:tcPr>
            <w:tcW w:w="1695" w:type="dxa"/>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服务对象满意度</w:t>
            </w:r>
          </w:p>
        </w:tc>
        <w:tc>
          <w:tcPr>
            <w:tcW w:w="1200" w:type="dxa"/>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1275"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方正仿宋_GBK" w:hAnsi="方正仿宋_GBK" w:eastAsia="方正仿宋_GBK" w:cs="方正仿宋_GBK"/>
                <w:i w:val="0"/>
                <w:iCs w:val="0"/>
                <w:color w:val="000000"/>
                <w:sz w:val="20"/>
                <w:szCs w:val="20"/>
                <w:u w:val="none"/>
              </w:rPr>
            </w:pPr>
          </w:p>
        </w:tc>
        <w:tc>
          <w:tcPr>
            <w:tcW w:w="1485" w:type="dxa"/>
            <w:gridSpan w:val="2"/>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93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0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94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绩效目标未全部完成原因分析及整改措施</w:t>
            </w:r>
          </w:p>
        </w:tc>
        <w:tc>
          <w:tcPr>
            <w:tcW w:w="977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一、未全部完成原因分析: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方正仿宋_GBK" w:hAnsi="方正仿宋_GBK" w:eastAsia="方正仿宋_GBK" w:cs="方正仿宋_GBK"/>
                <w:i w:val="0"/>
                <w:iCs w:val="0"/>
                <w:color w:val="000000"/>
                <w:sz w:val="20"/>
                <w:szCs w:val="20"/>
                <w:u w:val="none"/>
              </w:rPr>
            </w:pPr>
          </w:p>
        </w:tc>
        <w:tc>
          <w:tcPr>
            <w:tcW w:w="977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二、整改措施：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530" w:type="dxa"/>
            <w:gridSpan w:val="1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填表人：刘绮            联系方式：74525402            主要领导签字：            财政局业务科室审核意见：</w:t>
            </w:r>
            <w:r>
              <w:rPr>
                <w:rFonts w:hint="eastAsia" w:ascii="宋体" w:hAnsi="宋体" w:eastAsia="宋体" w:cs="宋体"/>
                <w:i w:val="0"/>
                <w:iCs w:val="0"/>
                <w:color w:val="000000"/>
                <w:kern w:val="0"/>
                <w:sz w:val="20"/>
                <w:szCs w:val="20"/>
                <w:u w:val="none"/>
                <w:lang w:val="en-US" w:eastAsia="zh-CN" w:bidi="ar"/>
              </w:rPr>
              <w:t xml:space="preserve">                 </w:t>
            </w:r>
          </w:p>
        </w:tc>
      </w:tr>
    </w:tbl>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3" w:firstLineChars="200"/>
        <w:jc w:val="left"/>
        <w:textAlignment w:val="auto"/>
        <w:rPr>
          <w:sz w:val="32"/>
          <w:szCs w:val="32"/>
        </w:rPr>
      </w:pPr>
      <w:r>
        <w:rPr>
          <w:rStyle w:val="11"/>
          <w:rFonts w:hint="eastAsia" w:ascii="方正仿宋_GBK" w:hAnsi="方正仿宋_GBK" w:eastAsia="方正仿宋_GBK" w:cs="方正仿宋_GBK"/>
          <w:b/>
          <w:bCs w:val="0"/>
          <w:sz w:val="32"/>
          <w:szCs w:val="32"/>
          <w:shd w:val="clear" w:fill="FFFFFF"/>
        </w:rPr>
        <w:t>2.绩效自评报告或案例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jc w:val="left"/>
        <w:textAlignment w:val="auto"/>
        <w:rPr>
          <w:rStyle w:val="11"/>
          <w:rFonts w:hint="eastAsia" w:ascii="方正仿宋_GBK" w:hAnsi="方正仿宋_GBK" w:eastAsia="方正仿宋_GBK" w:cs="方正仿宋_GBK"/>
          <w:b w:val="0"/>
          <w:bCs/>
          <w:sz w:val="32"/>
          <w:szCs w:val="32"/>
          <w:shd w:val="clear" w:fill="FFFFFF"/>
          <w:lang w:val="en-US" w:eastAsia="zh-CN"/>
        </w:rPr>
      </w:pPr>
      <w:r>
        <w:rPr>
          <w:rStyle w:val="11"/>
          <w:rFonts w:hint="eastAsia" w:ascii="方正仿宋_GBK" w:hAnsi="方正仿宋_GBK" w:eastAsia="方正仿宋_GBK" w:cs="方正仿宋_GBK"/>
          <w:b w:val="0"/>
          <w:bCs/>
          <w:sz w:val="32"/>
          <w:szCs w:val="32"/>
          <w:shd w:val="clear" w:fill="FFFFFF"/>
          <w:lang w:val="en-US" w:eastAsia="zh-CN"/>
        </w:rPr>
        <w:t>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3" w:firstLineChars="200"/>
        <w:jc w:val="left"/>
        <w:textAlignment w:val="auto"/>
        <w:rPr>
          <w:rStyle w:val="11"/>
          <w:rFonts w:hint="eastAsia" w:ascii="方正仿宋_GBK" w:hAnsi="方正仿宋_GBK" w:eastAsia="方正仿宋_GBK" w:cs="方正仿宋_GBK"/>
          <w:b/>
          <w:bCs w:val="0"/>
          <w:sz w:val="32"/>
          <w:szCs w:val="32"/>
          <w:shd w:val="clear" w:fill="FFFFFF"/>
        </w:rPr>
      </w:pPr>
      <w:r>
        <w:rPr>
          <w:rStyle w:val="11"/>
          <w:rFonts w:hint="eastAsia" w:ascii="方正仿宋_GBK" w:hAnsi="方正仿宋_GBK" w:eastAsia="方正仿宋_GBK" w:cs="方正仿宋_GBK"/>
          <w:b/>
          <w:bCs w:val="0"/>
          <w:sz w:val="32"/>
          <w:szCs w:val="32"/>
          <w:shd w:val="clear" w:fill="FFFFFF"/>
          <w:lang w:val="en-US" w:eastAsia="zh-CN"/>
        </w:rPr>
        <w:t>3.</w:t>
      </w:r>
      <w:r>
        <w:rPr>
          <w:rStyle w:val="11"/>
          <w:rFonts w:hint="eastAsia" w:ascii="方正仿宋_GBK" w:hAnsi="方正仿宋_GBK" w:eastAsia="方正仿宋_GBK" w:cs="方正仿宋_GBK"/>
          <w:b/>
          <w:bCs w:val="0"/>
          <w:sz w:val="32"/>
          <w:szCs w:val="32"/>
          <w:shd w:val="clear" w:fill="FFFFFF"/>
        </w:rPr>
        <w:t>关于绩效自评结果的说明。</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94" w:lineRule="exact"/>
        <w:ind w:left="675" w:leftChars="0" w:right="0" w:rightChars="0"/>
        <w:jc w:val="left"/>
        <w:textAlignment w:val="auto"/>
        <w:rPr>
          <w:rStyle w:val="11"/>
          <w:rFonts w:hint="eastAsia" w:ascii="方正仿宋_GBK" w:hAnsi="方正仿宋_GBK" w:eastAsia="方正仿宋_GBK" w:cs="方正仿宋_GBK"/>
          <w:b w:val="0"/>
          <w:bCs/>
          <w:sz w:val="32"/>
          <w:szCs w:val="32"/>
          <w:shd w:val="clear" w:fill="FFFFFF"/>
          <w:lang w:val="en-US" w:eastAsia="zh-CN"/>
        </w:rPr>
      </w:pPr>
      <w:r>
        <w:rPr>
          <w:rStyle w:val="11"/>
          <w:rFonts w:hint="eastAsia" w:ascii="方正仿宋_GBK" w:hAnsi="方正仿宋_GBK" w:eastAsia="方正仿宋_GBK" w:cs="方正仿宋_GBK"/>
          <w:b w:val="0"/>
          <w:bCs/>
          <w:sz w:val="32"/>
          <w:szCs w:val="32"/>
          <w:shd w:val="clear" w:fill="FFFFFF"/>
          <w:lang w:val="en-US" w:eastAsia="zh-CN"/>
        </w:rPr>
        <w:t>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rStyle w:val="11"/>
          <w:rFonts w:hint="eastAsia" w:ascii="方正楷体_GBK" w:hAnsi="方正楷体_GBK" w:eastAsia="方正楷体_GBK" w:cs="方正楷体_GBK"/>
          <w:b w:val="0"/>
          <w:bCs/>
          <w:sz w:val="32"/>
          <w:szCs w:val="32"/>
          <w:shd w:val="clear" w:fill="FFFFFF"/>
        </w:rPr>
      </w:pPr>
      <w:r>
        <w:rPr>
          <w:rStyle w:val="11"/>
          <w:rFonts w:hint="eastAsia" w:ascii="方正楷体_GBK" w:hAnsi="方正楷体_GBK" w:eastAsia="方正楷体_GBK" w:cs="方正楷体_GBK"/>
          <w:b w:val="0"/>
          <w:bCs/>
          <w:sz w:val="32"/>
          <w:szCs w:val="32"/>
          <w:shd w:val="clear" w:fill="FFFFFF"/>
        </w:rPr>
        <w:t>（三）重点绩效评价结果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jc w:val="left"/>
        <w:textAlignment w:val="auto"/>
        <w:rPr>
          <w:rFonts w:hint="eastAsia" w:eastAsia="方正仿宋_GBK"/>
          <w:sz w:val="32"/>
          <w:szCs w:val="32"/>
          <w:lang w:eastAsia="zh-CN"/>
        </w:rPr>
      </w:pPr>
      <w:r>
        <w:rPr>
          <w:rFonts w:hint="eastAsia"/>
          <w:sz w:val="32"/>
          <w:szCs w:val="32"/>
          <w:lang w:eastAsia="zh-CN"/>
        </w:rPr>
        <w:t>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rFonts w:hint="eastAsia" w:ascii="方正黑体_GBK" w:hAnsi="方正黑体_GBK" w:eastAsia="方正黑体_GBK" w:cs="方正黑体_GBK"/>
          <w:b w:val="0"/>
          <w:bCs/>
          <w:sz w:val="32"/>
          <w:szCs w:val="32"/>
        </w:rPr>
      </w:pPr>
      <w:r>
        <w:rPr>
          <w:rStyle w:val="11"/>
          <w:rFonts w:hint="eastAsia" w:ascii="方正黑体_GBK" w:hAnsi="方正黑体_GBK" w:eastAsia="方正黑体_GBK" w:cs="方正黑体_GBK"/>
          <w:b w:val="0"/>
          <w:bCs/>
          <w:sz w:val="32"/>
          <w:szCs w:val="32"/>
          <w:shd w:val="clear" w:fill="FFFFFF"/>
        </w:rPr>
        <w:t>六、专业名词解释</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sz w:val="32"/>
          <w:szCs w:val="32"/>
        </w:rPr>
      </w:pPr>
      <w:r>
        <w:rPr>
          <w:rStyle w:val="11"/>
          <w:rFonts w:hint="eastAsia" w:ascii="方正楷体_GBK" w:hAnsi="方正楷体_GBK" w:eastAsia="方正楷体_GBK" w:cs="方正楷体_GBK"/>
          <w:b w:val="0"/>
          <w:bCs/>
          <w:sz w:val="32"/>
          <w:szCs w:val="32"/>
          <w:shd w:val="clear" w:fill="FFFFFF"/>
        </w:rPr>
        <w:t>（一）财政拨款收入：</w:t>
      </w:r>
      <w:r>
        <w:rPr>
          <w:sz w:val="32"/>
          <w:szCs w:val="32"/>
          <w:shd w:val="clear" w:fill="FFFFFF"/>
        </w:rPr>
        <w:t>指本年度从本级财政部门取得的财政拨款，包括一般公共预算财政拨款和政府性基金预算财政拨款。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sz w:val="32"/>
          <w:szCs w:val="32"/>
        </w:rPr>
      </w:pPr>
      <w:r>
        <w:rPr>
          <w:rStyle w:val="11"/>
          <w:rFonts w:hint="eastAsia" w:ascii="方正楷体_GBK" w:hAnsi="方正楷体_GBK" w:eastAsia="方正楷体_GBK" w:cs="方正楷体_GBK"/>
          <w:b w:val="0"/>
          <w:bCs/>
          <w:sz w:val="32"/>
          <w:szCs w:val="32"/>
          <w:shd w:val="clear" w:fill="FFFFFF"/>
        </w:rPr>
        <w:t>（二）事业收入：</w:t>
      </w:r>
      <w:r>
        <w:rPr>
          <w:sz w:val="32"/>
          <w:szCs w:val="32"/>
          <w:shd w:val="clear"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sz w:val="32"/>
          <w:szCs w:val="32"/>
        </w:rPr>
      </w:pPr>
      <w:r>
        <w:rPr>
          <w:rStyle w:val="11"/>
          <w:rFonts w:hint="eastAsia" w:ascii="方正楷体_GBK" w:hAnsi="方正楷体_GBK" w:eastAsia="方正楷体_GBK" w:cs="方正楷体_GBK"/>
          <w:b w:val="0"/>
          <w:bCs/>
          <w:sz w:val="32"/>
          <w:szCs w:val="32"/>
          <w:shd w:val="clear" w:fill="FFFFFF"/>
        </w:rPr>
        <w:t>（三）经营收入：</w:t>
      </w:r>
      <w:r>
        <w:rPr>
          <w:sz w:val="32"/>
          <w:szCs w:val="32"/>
          <w:shd w:val="clear" w:fill="FFFFFF"/>
        </w:rPr>
        <w:t>指事业单位在专业业务活动及其辅助活动之外开展非独立核算经营活动取得的现金流入。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sz w:val="32"/>
          <w:szCs w:val="32"/>
        </w:rPr>
      </w:pPr>
      <w:r>
        <w:rPr>
          <w:rStyle w:val="11"/>
          <w:rFonts w:hint="eastAsia" w:ascii="方正楷体_GBK" w:hAnsi="方正楷体_GBK" w:eastAsia="方正楷体_GBK" w:cs="方正楷体_GBK"/>
          <w:b w:val="0"/>
          <w:bCs/>
          <w:sz w:val="32"/>
          <w:szCs w:val="32"/>
          <w:shd w:val="clear" w:fill="FFFFFF"/>
        </w:rPr>
        <w:t>（四）其他收入：</w:t>
      </w:r>
      <w:r>
        <w:rPr>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sz w:val="32"/>
          <w:szCs w:val="32"/>
        </w:rPr>
      </w:pPr>
      <w:r>
        <w:rPr>
          <w:rStyle w:val="11"/>
          <w:rFonts w:hint="eastAsia" w:ascii="方正楷体_GBK" w:hAnsi="方正楷体_GBK" w:eastAsia="方正楷体_GBK" w:cs="方正楷体_GBK"/>
          <w:b w:val="0"/>
          <w:bCs/>
          <w:sz w:val="32"/>
          <w:szCs w:val="32"/>
          <w:shd w:val="clear" w:fill="FFFFFF"/>
        </w:rPr>
        <w:t>（五）使用非财政拨款结余：</w:t>
      </w:r>
      <w:r>
        <w:rPr>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sz w:val="32"/>
          <w:szCs w:val="32"/>
        </w:rPr>
      </w:pPr>
      <w:r>
        <w:rPr>
          <w:rStyle w:val="11"/>
          <w:rFonts w:hint="eastAsia" w:ascii="方正楷体_GBK" w:hAnsi="方正楷体_GBK" w:eastAsia="方正楷体_GBK" w:cs="方正楷体_GBK"/>
          <w:b w:val="0"/>
          <w:bCs/>
          <w:sz w:val="32"/>
          <w:szCs w:val="32"/>
          <w:shd w:val="clear" w:fill="FFFFFF"/>
        </w:rPr>
        <w:t>（六）年初结转和结余：</w:t>
      </w:r>
      <w:r>
        <w:rPr>
          <w:sz w:val="32"/>
          <w:szCs w:val="32"/>
          <w:shd w:val="clear" w:fill="FFFFFF"/>
        </w:rPr>
        <w:t>指单位上年结转本年使用的基本支出结转、项目支出结转和结余、经营结余。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sz w:val="32"/>
          <w:szCs w:val="32"/>
        </w:rPr>
      </w:pPr>
      <w:r>
        <w:rPr>
          <w:rStyle w:val="11"/>
          <w:rFonts w:hint="eastAsia" w:ascii="方正楷体_GBK" w:hAnsi="方正楷体_GBK" w:eastAsia="方正楷体_GBK" w:cs="方正楷体_GBK"/>
          <w:b w:val="0"/>
          <w:bCs/>
          <w:sz w:val="32"/>
          <w:szCs w:val="32"/>
          <w:shd w:val="clear" w:fill="FFFFFF"/>
        </w:rPr>
        <w:t>（七）结余分配：</w:t>
      </w:r>
      <w:r>
        <w:rPr>
          <w:sz w:val="32"/>
          <w:szCs w:val="32"/>
          <w:shd w:val="clear" w:fill="FFFFFF"/>
        </w:rPr>
        <w:t>指单位按照国家有关规定，缴纳所得税、提取专用基金、转入非财政拨款结余等当年结余的分配情况。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sz w:val="32"/>
          <w:szCs w:val="32"/>
        </w:rPr>
      </w:pPr>
      <w:r>
        <w:rPr>
          <w:rStyle w:val="11"/>
          <w:rFonts w:hint="eastAsia" w:ascii="方正楷体_GBK" w:hAnsi="方正楷体_GBK" w:eastAsia="方正楷体_GBK" w:cs="方正楷体_GBK"/>
          <w:b w:val="0"/>
          <w:bCs/>
          <w:sz w:val="32"/>
          <w:szCs w:val="32"/>
          <w:shd w:val="clear" w:fill="FFFFFF"/>
        </w:rPr>
        <w:t>（八）年末结转和结余：</w:t>
      </w:r>
      <w:r>
        <w:rPr>
          <w:sz w:val="32"/>
          <w:szCs w:val="32"/>
          <w:shd w:val="clear" w:fill="FFFFFF"/>
        </w:rPr>
        <w:t>指单位结转下年的基本支出结转、项目支出结转和结余、经营结余。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sz w:val="32"/>
          <w:szCs w:val="32"/>
        </w:rPr>
      </w:pPr>
      <w:r>
        <w:rPr>
          <w:rStyle w:val="11"/>
          <w:rFonts w:hint="eastAsia" w:ascii="方正楷体_GBK" w:hAnsi="方正楷体_GBK" w:eastAsia="方正楷体_GBK" w:cs="方正楷体_GBK"/>
          <w:b w:val="0"/>
          <w:bCs/>
          <w:sz w:val="32"/>
          <w:szCs w:val="32"/>
          <w:shd w:val="clear" w:fill="FFFFFF"/>
        </w:rPr>
        <w:t>（九）基本支出：</w:t>
      </w:r>
      <w:r>
        <w:rPr>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sz w:val="32"/>
          <w:szCs w:val="32"/>
        </w:rPr>
      </w:pPr>
      <w:r>
        <w:rPr>
          <w:rStyle w:val="11"/>
          <w:rFonts w:hint="eastAsia" w:ascii="方正楷体_GBK" w:hAnsi="方正楷体_GBK" w:eastAsia="方正楷体_GBK" w:cs="方正楷体_GBK"/>
          <w:b w:val="0"/>
          <w:bCs/>
          <w:sz w:val="32"/>
          <w:szCs w:val="32"/>
          <w:shd w:val="clear" w:fill="FFFFFF"/>
        </w:rPr>
        <w:t>（十）项目支出：</w:t>
      </w:r>
      <w:r>
        <w:rPr>
          <w:sz w:val="32"/>
          <w:szCs w:val="32"/>
          <w:shd w:val="clear" w:fill="FFFFFF"/>
        </w:rPr>
        <w:t>指在基本支出之外为完成特定行政任务和事业发展目标所发生的支出。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sz w:val="32"/>
          <w:szCs w:val="32"/>
        </w:rPr>
      </w:pPr>
      <w:r>
        <w:rPr>
          <w:rStyle w:val="11"/>
          <w:rFonts w:hint="eastAsia" w:ascii="方正楷体_GBK" w:hAnsi="方正楷体_GBK" w:eastAsia="方正楷体_GBK" w:cs="方正楷体_GBK"/>
          <w:b w:val="0"/>
          <w:bCs/>
          <w:sz w:val="32"/>
          <w:szCs w:val="32"/>
          <w:shd w:val="clear" w:fill="FFFFFF"/>
        </w:rPr>
        <w:t>（十一）经营支出：</w:t>
      </w:r>
      <w:r>
        <w:rPr>
          <w:sz w:val="32"/>
          <w:szCs w:val="32"/>
          <w:shd w:val="clear" w:fill="FFFFFF"/>
        </w:rPr>
        <w:t>指事业单位在专业业务活动及其辅助活动之外开展非独立核算经营活动发生的支出。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sz w:val="32"/>
          <w:szCs w:val="32"/>
        </w:rPr>
      </w:pPr>
      <w:r>
        <w:rPr>
          <w:rStyle w:val="11"/>
          <w:rFonts w:hint="eastAsia" w:ascii="方正楷体_GBK" w:hAnsi="方正楷体_GBK" w:eastAsia="方正楷体_GBK" w:cs="方正楷体_GBK"/>
          <w:b w:val="0"/>
          <w:bCs/>
          <w:sz w:val="32"/>
          <w:szCs w:val="32"/>
          <w:shd w:val="clear" w:fill="FFFFFF"/>
        </w:rPr>
        <w:t>（十二）“三公”经费：</w:t>
      </w:r>
      <w:r>
        <w:rPr>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sz w:val="32"/>
          <w:szCs w:val="32"/>
        </w:rPr>
      </w:pPr>
      <w:r>
        <w:rPr>
          <w:rStyle w:val="11"/>
          <w:rFonts w:hint="eastAsia" w:ascii="方正楷体_GBK" w:hAnsi="方正楷体_GBK" w:eastAsia="方正楷体_GBK" w:cs="方正楷体_GBK"/>
          <w:b w:val="0"/>
          <w:bCs/>
          <w:sz w:val="32"/>
          <w:szCs w:val="32"/>
          <w:shd w:val="clear" w:fill="FFFFFF"/>
        </w:rPr>
        <w:t>（十三）机关运行经费：</w:t>
      </w:r>
      <w:r>
        <w:rPr>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sz w:val="32"/>
          <w:szCs w:val="32"/>
        </w:rPr>
      </w:pPr>
      <w:r>
        <w:rPr>
          <w:rStyle w:val="11"/>
          <w:rFonts w:hint="eastAsia" w:ascii="方正楷体_GBK" w:hAnsi="方正楷体_GBK" w:eastAsia="方正楷体_GBK" w:cs="方正楷体_GBK"/>
          <w:b w:val="0"/>
          <w:bCs/>
          <w:sz w:val="32"/>
          <w:szCs w:val="32"/>
          <w:shd w:val="clear" w:fill="FFFFFF"/>
        </w:rPr>
        <w:t>（十四）工资福利支出（支出经济分类科目类级）：</w:t>
      </w:r>
      <w:r>
        <w:rPr>
          <w:sz w:val="32"/>
          <w:szCs w:val="32"/>
          <w:shd w:val="clear" w:fill="FFFFFF"/>
        </w:rPr>
        <w:t>反映单位开支的在职职工和编制外长期聘用人员的各类劳动报酬，以及为上述人员缴纳的各项社会保险费等。</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sz w:val="32"/>
          <w:szCs w:val="32"/>
        </w:rPr>
      </w:pPr>
      <w:r>
        <w:rPr>
          <w:rStyle w:val="11"/>
          <w:rFonts w:hint="eastAsia" w:ascii="方正楷体_GBK" w:hAnsi="方正楷体_GBK" w:eastAsia="方正楷体_GBK" w:cs="方正楷体_GBK"/>
          <w:b w:val="0"/>
          <w:bCs/>
          <w:sz w:val="32"/>
          <w:szCs w:val="32"/>
          <w:shd w:val="clear" w:fill="FFFFFF"/>
        </w:rPr>
        <w:t>（十五）商品和服务支出（支出经济分类科目类级）：</w:t>
      </w:r>
      <w:r>
        <w:rPr>
          <w:sz w:val="32"/>
          <w:szCs w:val="32"/>
          <w:shd w:val="clear" w:fill="FFFFFF"/>
        </w:rPr>
        <w:t>反映单位购买商品和服务的支出（不包括用于购置固定资产的支出、战略性和应急储备支出）。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sz w:val="32"/>
          <w:szCs w:val="32"/>
        </w:rPr>
      </w:pPr>
      <w:r>
        <w:rPr>
          <w:rStyle w:val="11"/>
          <w:rFonts w:hint="eastAsia" w:ascii="方正楷体_GBK" w:hAnsi="方正楷体_GBK" w:eastAsia="方正楷体_GBK" w:cs="方正楷体_GBK"/>
          <w:b w:val="0"/>
          <w:bCs/>
          <w:sz w:val="32"/>
          <w:szCs w:val="32"/>
          <w:shd w:val="clear" w:fill="FFFFFF"/>
        </w:rPr>
        <w:t>（十六）对个人和家庭的补助（支出经济分类科目类级）：</w:t>
      </w:r>
      <w:r>
        <w:rPr>
          <w:sz w:val="32"/>
          <w:szCs w:val="32"/>
          <w:shd w:val="clear" w:fill="FFFFFF"/>
        </w:rPr>
        <w:t>反映用于对个人和家庭的补助支出。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sz w:val="32"/>
          <w:szCs w:val="32"/>
        </w:rPr>
      </w:pPr>
      <w:r>
        <w:rPr>
          <w:rStyle w:val="11"/>
          <w:rFonts w:hint="eastAsia" w:ascii="方正楷体_GBK" w:hAnsi="方正楷体_GBK" w:eastAsia="方正楷体_GBK" w:cs="方正楷体_GBK"/>
          <w:b w:val="0"/>
          <w:bCs/>
          <w:sz w:val="32"/>
          <w:szCs w:val="32"/>
          <w:shd w:val="clear" w:fill="FFFFFF"/>
        </w:rPr>
        <w:t>（十七）其他资本性支出（支出经济分类科目类级）：反映非</w:t>
      </w:r>
      <w:r>
        <w:rPr>
          <w:sz w:val="32"/>
          <w:szCs w:val="32"/>
          <w:shd w:val="clear" w:fill="FFFFFF"/>
        </w:rPr>
        <w:t>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rStyle w:val="11"/>
          <w:rFonts w:hint="eastAsia" w:ascii="方正黑体_GBK" w:hAnsi="方正黑体_GBK" w:eastAsia="方正黑体_GBK" w:cs="方正黑体_GBK"/>
          <w:b w:val="0"/>
          <w:bCs/>
          <w:sz w:val="32"/>
          <w:szCs w:val="32"/>
          <w:shd w:val="clear" w:fill="FFFFFF"/>
        </w:rPr>
      </w:pPr>
      <w:r>
        <w:rPr>
          <w:rStyle w:val="11"/>
          <w:rFonts w:hint="eastAsia" w:ascii="方正黑体_GBK" w:hAnsi="方正黑体_GBK" w:eastAsia="方正黑体_GBK" w:cs="方正黑体_GBK"/>
          <w:b w:val="0"/>
          <w:bCs/>
          <w:sz w:val="32"/>
          <w:szCs w:val="32"/>
          <w:shd w:val="clear" w:fill="FFFFFF"/>
        </w:rPr>
        <w:t>七、决算公开联系方式及信息反馈渠道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leftChars="0" w:firstLine="640" w:firstLineChars="200"/>
        <w:jc w:val="left"/>
        <w:textAlignment w:val="auto"/>
        <w:rPr>
          <w:rFonts w:hint="eastAsia" w:eastAsia="方正仿宋_GBK"/>
          <w:sz w:val="32"/>
          <w:szCs w:val="32"/>
          <w:lang w:val="en-US" w:eastAsia="zh-CN"/>
        </w:rPr>
      </w:pPr>
      <w:r>
        <w:rPr>
          <w:sz w:val="32"/>
          <w:szCs w:val="32"/>
          <w:shd w:val="clear" w:fill="FFFFFF"/>
        </w:rPr>
        <w:t>本单位决算公开信息反馈和联系方式：</w:t>
      </w:r>
      <w:r>
        <w:rPr>
          <w:rFonts w:hint="eastAsia"/>
          <w:sz w:val="32"/>
          <w:szCs w:val="32"/>
          <w:shd w:val="clear" w:fill="FFFFFF"/>
          <w:lang w:val="en-US" w:eastAsia="zh-CN"/>
        </w:rPr>
        <w:t>023-74606089。</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jc w:val="left"/>
        <w:textAlignment w:val="auto"/>
        <w:rPr>
          <w:sz w:val="32"/>
          <w:szCs w:val="32"/>
        </w:rPr>
      </w:pPr>
    </w:p>
    <w:p>
      <w:pPr>
        <w:ind w:left="0" w:leftChars="0" w:firstLine="0" w:firstLineChars="0"/>
        <w:rPr>
          <w:rFonts w:hint="eastAsia"/>
        </w:rPr>
      </w:pPr>
    </w:p>
    <w:p>
      <w:pPr>
        <w:rPr>
          <w:rFonts w:hint="eastAsia"/>
        </w:rPr>
      </w:pPr>
    </w:p>
    <w:p>
      <w:pPr>
        <w:ind w:firstLine="640"/>
        <w:rPr>
          <w:rFonts w:hint="eastAsia"/>
        </w:rPr>
      </w:pPr>
    </w:p>
    <w:p>
      <w:pPr>
        <w:ind w:firstLine="640"/>
        <w:rPr>
          <w:rFonts w:hint="eastAsia"/>
        </w:rPr>
      </w:pPr>
    </w:p>
    <w:p>
      <w:pPr>
        <w:ind w:left="0" w:leftChars="0" w:firstLine="0" w:firstLineChars="0"/>
        <w:rPr>
          <w:rFonts w:hint="eastAsia"/>
        </w:rPr>
      </w:pPr>
    </w:p>
    <w:p>
      <w:pPr>
        <w:ind w:left="0" w:leftChars="0" w:firstLine="0" w:firstLineChars="0"/>
        <w:rPr>
          <w:rFonts w:hint="eastAsia"/>
        </w:rPr>
        <w:sectPr>
          <w:headerReference r:id="rId5" w:type="first"/>
          <w:footerReference r:id="rId8" w:type="first"/>
          <w:headerReference r:id="rId3" w:type="default"/>
          <w:footerReference r:id="rId6" w:type="default"/>
          <w:headerReference r:id="rId4" w:type="even"/>
          <w:footerReference r:id="rId7" w:type="even"/>
          <w:pgSz w:w="11906" w:h="16838"/>
          <w:pgMar w:top="1984" w:right="1446" w:bottom="1644" w:left="1446" w:header="851" w:footer="992" w:gutter="0"/>
          <w:cols w:space="720" w:num="1"/>
          <w:docGrid w:type="lines" w:linePitch="312" w:charSpace="0"/>
        </w:sectPr>
      </w:pPr>
    </w:p>
    <w:tbl>
      <w:tblPr>
        <w:tblStyle w:val="9"/>
        <w:tblpPr w:leftFromText="180" w:rightFromText="180" w:vertAnchor="text" w:horzAnchor="page" w:tblpX="595" w:tblpY="-279"/>
        <w:tblOverlap w:val="never"/>
        <w:tblW w:w="110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5"/>
        <w:gridCol w:w="1480"/>
        <w:gridCol w:w="3630"/>
        <w:gridCol w:w="1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009"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方正小标宋_GBK" w:hAnsi="方正小标宋_GBK" w:eastAsia="方正小标宋_GBK" w:cs="方正小标宋_GBK"/>
                <w:i w:val="0"/>
                <w:iCs w:val="0"/>
                <w:color w:val="000000"/>
                <w:sz w:val="44"/>
                <w:szCs w:val="44"/>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15"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0"/>
                <w:szCs w:val="20"/>
                <w:u w:val="none"/>
              </w:rPr>
            </w:pPr>
          </w:p>
        </w:tc>
        <w:tc>
          <w:tcPr>
            <w:tcW w:w="148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0"/>
                <w:szCs w:val="20"/>
                <w:u w:val="none"/>
              </w:rPr>
            </w:pPr>
          </w:p>
        </w:tc>
        <w:tc>
          <w:tcPr>
            <w:tcW w:w="363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0"/>
                <w:szCs w:val="20"/>
                <w:u w:val="none"/>
              </w:rPr>
            </w:pPr>
          </w:p>
        </w:tc>
        <w:tc>
          <w:tcPr>
            <w:tcW w:w="1484"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09"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公开部门：中共垫江县委机构编制委员会办公室</w:t>
            </w:r>
            <w:r>
              <w:rPr>
                <w:rFonts w:hint="eastAsia" w:ascii="方正仿宋_GBK" w:hAnsi="方正仿宋_GBK" w:cs="方正仿宋_GBK"/>
                <w:i w:val="0"/>
                <w:iCs w:val="0"/>
                <w:color w:val="000000"/>
                <w:kern w:val="0"/>
                <w:sz w:val="20"/>
                <w:szCs w:val="20"/>
                <w:u w:val="none"/>
                <w:lang w:val="en-US" w:eastAsia="zh-CN" w:bidi="ar"/>
              </w:rPr>
              <w:t xml:space="preserve">                  </w:t>
            </w:r>
            <w:r>
              <w:rPr>
                <w:rFonts w:hint="eastAsia" w:ascii="方正仿宋_GBK" w:hAnsi="方正仿宋_GBK" w:eastAsia="方正仿宋_GBK" w:cs="方正仿宋_GBK"/>
                <w:i w:val="0"/>
                <w:iCs w:val="0"/>
                <w:color w:val="000000"/>
                <w:kern w:val="0"/>
                <w:sz w:val="20"/>
                <w:szCs w:val="20"/>
                <w:u w:val="none"/>
                <w:lang w:val="en-US" w:eastAsia="zh-CN" w:bidi="ar"/>
              </w:rPr>
              <w:t>2021年度</w:t>
            </w:r>
            <w:r>
              <w:rPr>
                <w:rFonts w:hint="eastAsia" w:ascii="方正仿宋_GBK" w:hAnsi="方正仿宋_GBK" w:cs="方正仿宋_GBK"/>
                <w:i w:val="0"/>
                <w:iCs w:val="0"/>
                <w:color w:val="000000"/>
                <w:kern w:val="0"/>
                <w:sz w:val="20"/>
                <w:szCs w:val="20"/>
                <w:u w:val="none"/>
                <w:lang w:val="en-US" w:eastAsia="zh-CN" w:bidi="ar"/>
              </w:rPr>
              <w:t xml:space="preserve">                             </w:t>
            </w:r>
            <w:r>
              <w:rPr>
                <w:rFonts w:hint="eastAsia" w:ascii="方正仿宋_GBK" w:hAnsi="方正仿宋_GBK" w:eastAsia="方正仿宋_GBK" w:cs="方正仿宋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收入</w:t>
            </w:r>
          </w:p>
        </w:tc>
        <w:tc>
          <w:tcPr>
            <w:tcW w:w="51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w:t>
            </w:r>
          </w:p>
        </w:tc>
        <w:tc>
          <w:tcPr>
            <w:tcW w:w="14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决算数</w:t>
            </w:r>
          </w:p>
        </w:tc>
        <w:tc>
          <w:tcPr>
            <w:tcW w:w="3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功能分类科目</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一、一般公共预算财政拨款收入</w:t>
            </w:r>
          </w:p>
        </w:tc>
        <w:tc>
          <w:tcPr>
            <w:tcW w:w="14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185.05</w:t>
            </w:r>
          </w:p>
        </w:tc>
        <w:tc>
          <w:tcPr>
            <w:tcW w:w="3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一、一般公共服务支出</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163.25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二、政府性基金预算财政拨款收入</w:t>
            </w:r>
          </w:p>
        </w:tc>
        <w:tc>
          <w:tcPr>
            <w:tcW w:w="14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3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二、外交支出</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三、国有资本经营预算财政拨款收入</w:t>
            </w:r>
          </w:p>
        </w:tc>
        <w:tc>
          <w:tcPr>
            <w:tcW w:w="14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3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三、国防支出</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四、上级补助收入</w:t>
            </w:r>
          </w:p>
        </w:tc>
        <w:tc>
          <w:tcPr>
            <w:tcW w:w="14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3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四、公共安全支出</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五、事业收入</w:t>
            </w:r>
          </w:p>
        </w:tc>
        <w:tc>
          <w:tcPr>
            <w:tcW w:w="14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3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五、教育支出</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六、经营收入</w:t>
            </w:r>
          </w:p>
        </w:tc>
        <w:tc>
          <w:tcPr>
            <w:tcW w:w="14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3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六、科学技术支出</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七、附属单位上缴收入</w:t>
            </w:r>
          </w:p>
        </w:tc>
        <w:tc>
          <w:tcPr>
            <w:tcW w:w="14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3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七、文化旅游体育与传媒支出</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八、其他收入</w:t>
            </w:r>
          </w:p>
        </w:tc>
        <w:tc>
          <w:tcPr>
            <w:tcW w:w="14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3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八、社会保障和就业支出</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0"/>
                <w:szCs w:val="20"/>
                <w:u w:val="none"/>
              </w:rPr>
            </w:pPr>
          </w:p>
        </w:tc>
        <w:tc>
          <w:tcPr>
            <w:tcW w:w="14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3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九、卫生健康支出</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0"/>
                <w:szCs w:val="20"/>
                <w:u w:val="none"/>
              </w:rPr>
            </w:pPr>
          </w:p>
        </w:tc>
        <w:tc>
          <w:tcPr>
            <w:tcW w:w="14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3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十、节能环保支出</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0"/>
                <w:szCs w:val="20"/>
                <w:u w:val="none"/>
              </w:rPr>
            </w:pPr>
          </w:p>
        </w:tc>
        <w:tc>
          <w:tcPr>
            <w:tcW w:w="14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3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十一、城乡社区支出</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0"/>
                <w:szCs w:val="20"/>
                <w:u w:val="none"/>
              </w:rPr>
            </w:pPr>
          </w:p>
        </w:tc>
        <w:tc>
          <w:tcPr>
            <w:tcW w:w="14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3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十二、农林水支出</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0"/>
                <w:szCs w:val="20"/>
                <w:u w:val="none"/>
              </w:rPr>
            </w:pPr>
          </w:p>
        </w:tc>
        <w:tc>
          <w:tcPr>
            <w:tcW w:w="14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3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十三、交通运输支出</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0"/>
                <w:szCs w:val="20"/>
                <w:u w:val="none"/>
              </w:rPr>
            </w:pPr>
          </w:p>
        </w:tc>
        <w:tc>
          <w:tcPr>
            <w:tcW w:w="14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3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十四、资源勘探信息等支出</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0"/>
                <w:szCs w:val="20"/>
                <w:u w:val="none"/>
              </w:rPr>
            </w:pPr>
          </w:p>
        </w:tc>
        <w:tc>
          <w:tcPr>
            <w:tcW w:w="14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3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十五、商业服务业等支出</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0"/>
                <w:szCs w:val="20"/>
                <w:u w:val="none"/>
              </w:rPr>
            </w:pPr>
          </w:p>
        </w:tc>
        <w:tc>
          <w:tcPr>
            <w:tcW w:w="14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3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十六、金融支出</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0"/>
                <w:szCs w:val="20"/>
                <w:u w:val="none"/>
              </w:rPr>
            </w:pPr>
          </w:p>
        </w:tc>
        <w:tc>
          <w:tcPr>
            <w:tcW w:w="14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3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十七、援助其他地区支出</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0"/>
                <w:szCs w:val="20"/>
                <w:u w:val="none"/>
              </w:rPr>
            </w:pPr>
          </w:p>
        </w:tc>
        <w:tc>
          <w:tcPr>
            <w:tcW w:w="14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3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十八、自然资源海洋气象等支出</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0"/>
                <w:szCs w:val="20"/>
                <w:u w:val="none"/>
              </w:rPr>
            </w:pPr>
          </w:p>
        </w:tc>
        <w:tc>
          <w:tcPr>
            <w:tcW w:w="14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3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十九、住房保障支出</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0"/>
                <w:szCs w:val="20"/>
                <w:u w:val="none"/>
              </w:rPr>
            </w:pPr>
          </w:p>
        </w:tc>
        <w:tc>
          <w:tcPr>
            <w:tcW w:w="14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3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二十、粮油物资储备支出</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0"/>
                <w:szCs w:val="20"/>
                <w:u w:val="none"/>
              </w:rPr>
            </w:pPr>
          </w:p>
        </w:tc>
        <w:tc>
          <w:tcPr>
            <w:tcW w:w="14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3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二十一、国有资本经营预算支出</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0"/>
                <w:szCs w:val="20"/>
                <w:u w:val="none"/>
              </w:rPr>
            </w:pPr>
          </w:p>
        </w:tc>
        <w:tc>
          <w:tcPr>
            <w:tcW w:w="14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3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二十二、灾害防治及应急管理支出</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0"/>
                <w:szCs w:val="20"/>
                <w:u w:val="none"/>
              </w:rPr>
            </w:pPr>
          </w:p>
        </w:tc>
        <w:tc>
          <w:tcPr>
            <w:tcW w:w="14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3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二十三、其他支出</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0"/>
                <w:szCs w:val="20"/>
                <w:u w:val="none"/>
              </w:rPr>
            </w:pPr>
          </w:p>
        </w:tc>
        <w:tc>
          <w:tcPr>
            <w:tcW w:w="14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3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二十四、债务还本支出</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4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3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二十五、债务付息支出</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u w:val="none"/>
              </w:rPr>
            </w:pPr>
          </w:p>
        </w:tc>
        <w:tc>
          <w:tcPr>
            <w:tcW w:w="14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3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二十六、抗疫特别国债安排的支出</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本年收入合计</w:t>
            </w:r>
          </w:p>
        </w:tc>
        <w:tc>
          <w:tcPr>
            <w:tcW w:w="14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185.05</w:t>
            </w:r>
          </w:p>
        </w:tc>
        <w:tc>
          <w:tcPr>
            <w:tcW w:w="3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本年支出合计</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使用非财政拨款结余</w:t>
            </w:r>
          </w:p>
        </w:tc>
        <w:tc>
          <w:tcPr>
            <w:tcW w:w="14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3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结余分配</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年初结转和结余</w:t>
            </w:r>
          </w:p>
        </w:tc>
        <w:tc>
          <w:tcPr>
            <w:tcW w:w="14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17.17</w:t>
            </w:r>
          </w:p>
        </w:tc>
        <w:tc>
          <w:tcPr>
            <w:tcW w:w="3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年末结转和结余</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总计</w:t>
            </w:r>
          </w:p>
        </w:tc>
        <w:tc>
          <w:tcPr>
            <w:tcW w:w="14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202.21</w:t>
            </w:r>
          </w:p>
        </w:tc>
        <w:tc>
          <w:tcPr>
            <w:tcW w:w="3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总计</w:t>
            </w:r>
          </w:p>
        </w:tc>
        <w:tc>
          <w:tcPr>
            <w:tcW w:w="1484"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cs="方正仿宋_GBK"/>
                <w:i w:val="0"/>
                <w:iCs w:val="0"/>
                <w:color w:val="000000"/>
                <w:kern w:val="0"/>
                <w:sz w:val="20"/>
                <w:szCs w:val="20"/>
                <w:u w:val="none"/>
                <w:lang w:val="en-US" w:eastAsia="zh-CN" w:bidi="ar"/>
              </w:rPr>
              <w:t xml:space="preserve"> </w:t>
            </w:r>
            <w:r>
              <w:rPr>
                <w:rFonts w:hint="eastAsia" w:ascii="方正仿宋_GBK" w:hAnsi="方正仿宋_GBK" w:eastAsia="方正仿宋_GBK" w:cs="方正仿宋_GBK"/>
                <w:i w:val="0"/>
                <w:iCs w:val="0"/>
                <w:color w:val="000000"/>
                <w:kern w:val="0"/>
                <w:sz w:val="20"/>
                <w:szCs w:val="20"/>
                <w:u w:val="none"/>
                <w:lang w:val="en-US" w:eastAsia="zh-CN" w:bidi="ar"/>
              </w:rPr>
              <w:t>202.21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09"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备注：本表反映部门本年度的总收支和年末结转结余等情况。</w:t>
            </w:r>
            <w:r>
              <w:rPr>
                <w:rStyle w:val="17"/>
                <w:rFonts w:eastAsia="方正仿宋_GBK"/>
                <w:lang w:val="en-US" w:eastAsia="zh-CN" w:bidi="ar"/>
              </w:rPr>
              <w:t xml:space="preserve"> </w:t>
            </w:r>
            <w:r>
              <w:rPr>
                <w:rStyle w:val="17"/>
                <w:rFonts w:hint="eastAsia" w:eastAsia="方正仿宋_GBK"/>
                <w:lang w:val="en-US" w:eastAsia="zh-CN" w:bidi="ar"/>
              </w:rPr>
              <w:t>部分数据由于四舍五入产生的计算误差，未做机械调整。</w:t>
            </w:r>
          </w:p>
        </w:tc>
      </w:tr>
    </w:tbl>
    <w:p>
      <w:pPr>
        <w:ind w:left="0" w:leftChars="0" w:firstLine="0" w:firstLineChars="0"/>
        <w:rPr>
          <w:rFonts w:hint="eastAsia"/>
        </w:rPr>
      </w:pPr>
    </w:p>
    <w:p>
      <w:pPr>
        <w:keepNext w:val="0"/>
        <w:keepLines w:val="0"/>
        <w:pageBreakBefore w:val="0"/>
        <w:kinsoku/>
        <w:wordWrap/>
        <w:overflowPunct/>
        <w:topLinePunct w:val="0"/>
        <w:autoSpaceDE/>
        <w:autoSpaceDN/>
        <w:bidi w:val="0"/>
        <w:adjustRightInd/>
        <w:snapToGrid/>
        <w:spacing w:line="240" w:lineRule="exact"/>
        <w:ind w:firstLine="640"/>
        <w:rPr>
          <w:rFonts w:hint="eastAsia"/>
        </w:rPr>
      </w:pPr>
    </w:p>
    <w:p>
      <w:pPr>
        <w:ind w:firstLine="640"/>
        <w:rPr>
          <w:rFonts w:hint="eastAsia"/>
        </w:rPr>
      </w:pPr>
    </w:p>
    <w:p>
      <w:pPr>
        <w:ind w:left="0" w:leftChars="0" w:firstLine="0" w:firstLineChars="0"/>
        <w:rPr>
          <w:rFonts w:hint="eastAsia"/>
        </w:rPr>
      </w:pPr>
    </w:p>
    <w:p>
      <w:pPr>
        <w:pStyle w:val="2"/>
        <w:rPr>
          <w:rFonts w:hint="eastAsia"/>
        </w:rPr>
      </w:pPr>
    </w:p>
    <w:tbl>
      <w:tblPr>
        <w:tblStyle w:val="9"/>
        <w:tblW w:w="110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6"/>
        <w:gridCol w:w="2937"/>
        <w:gridCol w:w="985"/>
        <w:gridCol w:w="985"/>
        <w:gridCol w:w="856"/>
        <w:gridCol w:w="856"/>
        <w:gridCol w:w="856"/>
        <w:gridCol w:w="856"/>
        <w:gridCol w:w="856"/>
        <w:gridCol w:w="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009"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09" w:type="dxa"/>
            <w:gridSpan w:val="10"/>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09" w:type="dxa"/>
            <w:gridSpan w:val="10"/>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公开部门：中共垫江县委机构编制委员会办公室</w:t>
            </w:r>
            <w:r>
              <w:rPr>
                <w:rFonts w:hint="eastAsia" w:ascii="方正仿宋_GBK" w:hAnsi="方正仿宋_GBK" w:cs="方正仿宋_GBK"/>
                <w:i w:val="0"/>
                <w:iCs w:val="0"/>
                <w:color w:val="000000"/>
                <w:kern w:val="0"/>
                <w:sz w:val="20"/>
                <w:szCs w:val="20"/>
                <w:u w:val="none"/>
                <w:lang w:val="en-US" w:eastAsia="zh-CN" w:bidi="ar"/>
              </w:rPr>
              <w:t xml:space="preserve">                </w:t>
            </w:r>
            <w:r>
              <w:rPr>
                <w:rFonts w:hint="eastAsia" w:ascii="方正仿宋_GBK" w:hAnsi="方正仿宋_GBK" w:eastAsia="方正仿宋_GBK" w:cs="方正仿宋_GBK"/>
                <w:i w:val="0"/>
                <w:iCs w:val="0"/>
                <w:color w:val="000000"/>
                <w:kern w:val="0"/>
                <w:sz w:val="20"/>
                <w:szCs w:val="20"/>
                <w:u w:val="none"/>
                <w:lang w:val="en-US" w:eastAsia="zh-CN" w:bidi="ar"/>
              </w:rPr>
              <w:t>2021年度</w:t>
            </w:r>
            <w:r>
              <w:rPr>
                <w:rFonts w:hint="eastAsia" w:ascii="方正仿宋_GBK" w:hAnsi="方正仿宋_GBK" w:cs="方正仿宋_GBK"/>
                <w:i w:val="0"/>
                <w:iCs w:val="0"/>
                <w:color w:val="000000"/>
                <w:kern w:val="0"/>
                <w:sz w:val="20"/>
                <w:szCs w:val="20"/>
                <w:u w:val="none"/>
                <w:lang w:val="en-US" w:eastAsia="zh-CN" w:bidi="ar"/>
              </w:rPr>
              <w:t xml:space="preserve">                                </w:t>
            </w:r>
            <w:r>
              <w:rPr>
                <w:rFonts w:hint="eastAsia" w:ascii="方正仿宋_GBK" w:hAnsi="方正仿宋_GBK" w:eastAsia="方正仿宋_GBK" w:cs="方正仿宋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本年收入合计</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财政拨款收入</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上级补助收入</w:t>
            </w:r>
          </w:p>
        </w:tc>
        <w:tc>
          <w:tcPr>
            <w:tcW w:w="17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事业收入</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经营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收入</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附属单位上缴收入</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b/>
                <w:bCs/>
                <w:i w:val="0"/>
                <w:iCs w:val="0"/>
                <w:color w:val="000000"/>
                <w:kern w:val="0"/>
                <w:sz w:val="20"/>
                <w:szCs w:val="20"/>
                <w:u w:val="none"/>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功能分类科目编码</w:t>
            </w:r>
          </w:p>
        </w:tc>
        <w:tc>
          <w:tcPr>
            <w:tcW w:w="29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项目（按“项”级功能分类科目）</w:t>
            </w: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7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小计</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其中：教育收费</w:t>
            </w: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90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合计</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185.05</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185.05</w:t>
            </w: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201</w:t>
            </w:r>
          </w:p>
        </w:tc>
        <w:tc>
          <w:tcPr>
            <w:tcW w:w="293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一般公共服务支出</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146.44</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146.44</w:t>
            </w: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20132</w:t>
            </w:r>
          </w:p>
        </w:tc>
        <w:tc>
          <w:tcPr>
            <w:tcW w:w="293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组织事务</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146.44</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146.44</w:t>
            </w: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2013201</w:t>
            </w:r>
          </w:p>
        </w:tc>
        <w:tc>
          <w:tcPr>
            <w:tcW w:w="293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行政运行</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129.44</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129.44</w:t>
            </w: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2013202</w:t>
            </w:r>
          </w:p>
        </w:tc>
        <w:tc>
          <w:tcPr>
            <w:tcW w:w="293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一般行政管理事务</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17.00</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17.00</w:t>
            </w: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205</w:t>
            </w:r>
          </w:p>
        </w:tc>
        <w:tc>
          <w:tcPr>
            <w:tcW w:w="293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教育支出</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0.40</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0.40</w:t>
            </w: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20508</w:t>
            </w:r>
          </w:p>
        </w:tc>
        <w:tc>
          <w:tcPr>
            <w:tcW w:w="293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进修及培训</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0.40</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0.40</w:t>
            </w: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2050803</w:t>
            </w:r>
          </w:p>
        </w:tc>
        <w:tc>
          <w:tcPr>
            <w:tcW w:w="293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培训支出</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0.40</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0.40</w:t>
            </w: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208</w:t>
            </w:r>
          </w:p>
        </w:tc>
        <w:tc>
          <w:tcPr>
            <w:tcW w:w="293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社会保障和就业支出</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25.20</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25.20</w:t>
            </w: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20805</w:t>
            </w:r>
          </w:p>
        </w:tc>
        <w:tc>
          <w:tcPr>
            <w:tcW w:w="293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行政事业单位养老支出</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25.20</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25.20</w:t>
            </w: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2080505</w:t>
            </w:r>
          </w:p>
        </w:tc>
        <w:tc>
          <w:tcPr>
            <w:tcW w:w="293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600" w:firstLineChars="30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机关事业单位基本养老保险缴费支出</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8.72</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8.72</w:t>
            </w: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2080506</w:t>
            </w:r>
          </w:p>
        </w:tc>
        <w:tc>
          <w:tcPr>
            <w:tcW w:w="293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机关事业单位职业年金缴费支出</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16.48</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16.48</w:t>
            </w: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210</w:t>
            </w:r>
          </w:p>
        </w:tc>
        <w:tc>
          <w:tcPr>
            <w:tcW w:w="293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卫生健康支出</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5.45</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5.45</w:t>
            </w: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21011</w:t>
            </w:r>
          </w:p>
        </w:tc>
        <w:tc>
          <w:tcPr>
            <w:tcW w:w="293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行政事业单位医疗</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5.45</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5.45</w:t>
            </w: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2101101</w:t>
            </w:r>
          </w:p>
        </w:tc>
        <w:tc>
          <w:tcPr>
            <w:tcW w:w="293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行政单位医疗</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5.45</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5.45</w:t>
            </w: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221</w:t>
            </w:r>
          </w:p>
        </w:tc>
        <w:tc>
          <w:tcPr>
            <w:tcW w:w="293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住房保障支出</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6.54</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6.54</w:t>
            </w: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22102</w:t>
            </w:r>
          </w:p>
        </w:tc>
        <w:tc>
          <w:tcPr>
            <w:tcW w:w="293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住房改革支出</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6.54</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6.54</w:t>
            </w: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2210201</w:t>
            </w:r>
          </w:p>
        </w:tc>
        <w:tc>
          <w:tcPr>
            <w:tcW w:w="293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住房公积金</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6.54</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6.54</w:t>
            </w: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224</w:t>
            </w:r>
          </w:p>
        </w:tc>
        <w:tc>
          <w:tcPr>
            <w:tcW w:w="293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灾害防治及应急管理支出</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1.00</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1.00</w:t>
            </w: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22401</w:t>
            </w:r>
          </w:p>
        </w:tc>
        <w:tc>
          <w:tcPr>
            <w:tcW w:w="293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应急管理事务</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1.00</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1.00</w:t>
            </w: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2240199</w:t>
            </w:r>
          </w:p>
        </w:tc>
        <w:tc>
          <w:tcPr>
            <w:tcW w:w="293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其他应急管理支出</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9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09" w:type="dxa"/>
            <w:gridSpan w:val="10"/>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备注：本表反映部门本年度取得的各项收入情况。</w:t>
            </w:r>
            <w:r>
              <w:rPr>
                <w:rStyle w:val="17"/>
                <w:rFonts w:hint="eastAsia" w:eastAsia="方正仿宋_GBK"/>
                <w:lang w:val="en-US" w:eastAsia="zh-CN" w:bidi="ar"/>
              </w:rPr>
              <w:t>部分数据由于四舍五入产生的计算误差，未做机械调整。</w:t>
            </w:r>
          </w:p>
        </w:tc>
      </w:tr>
    </w:tbl>
    <w:p>
      <w:pPr>
        <w:pStyle w:val="2"/>
        <w:keepNext w:val="0"/>
        <w:keepLines w:val="0"/>
        <w:pageBreakBefore w:val="0"/>
        <w:widowControl/>
        <w:kinsoku/>
        <w:wordWrap/>
        <w:overflowPunct/>
        <w:topLinePunct w:val="0"/>
        <w:autoSpaceDE/>
        <w:autoSpaceDN/>
        <w:bidi w:val="0"/>
        <w:adjustRightInd/>
        <w:snapToGrid/>
        <w:spacing w:line="240" w:lineRule="exact"/>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tbl>
      <w:tblPr>
        <w:tblStyle w:val="9"/>
        <w:tblW w:w="110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3"/>
        <w:gridCol w:w="4113"/>
        <w:gridCol w:w="1275"/>
        <w:gridCol w:w="1245"/>
        <w:gridCol w:w="1110"/>
        <w:gridCol w:w="917"/>
        <w:gridCol w:w="493"/>
        <w:gridCol w:w="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009"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009" w:type="dxa"/>
            <w:gridSpan w:val="8"/>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09" w:type="dxa"/>
            <w:gridSpan w:val="8"/>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公开部门：中共垫江县委机构编制委员会办公室</w:t>
            </w:r>
            <w:r>
              <w:rPr>
                <w:rFonts w:hint="eastAsia" w:ascii="方正仿宋_GBK" w:hAnsi="方正仿宋_GBK" w:cs="方正仿宋_GBK"/>
                <w:i w:val="0"/>
                <w:iCs w:val="0"/>
                <w:color w:val="000000"/>
                <w:kern w:val="0"/>
                <w:sz w:val="20"/>
                <w:szCs w:val="20"/>
                <w:u w:val="none"/>
                <w:lang w:val="en-US" w:eastAsia="zh-CN" w:bidi="ar"/>
              </w:rPr>
              <w:t xml:space="preserve">              </w:t>
            </w:r>
            <w:r>
              <w:rPr>
                <w:rFonts w:hint="eastAsia" w:ascii="方正仿宋_GBK" w:hAnsi="方正仿宋_GBK" w:eastAsia="方正仿宋_GBK" w:cs="方正仿宋_GBK"/>
                <w:i w:val="0"/>
                <w:iCs w:val="0"/>
                <w:color w:val="000000"/>
                <w:kern w:val="0"/>
                <w:sz w:val="20"/>
                <w:szCs w:val="20"/>
                <w:u w:val="none"/>
                <w:lang w:val="en-US" w:eastAsia="zh-CN" w:bidi="ar"/>
              </w:rPr>
              <w:t>2021年度</w:t>
            </w:r>
            <w:r>
              <w:rPr>
                <w:rFonts w:hint="eastAsia" w:ascii="方正仿宋_GBK" w:hAnsi="方正仿宋_GBK" w:cs="方正仿宋_GBK"/>
                <w:i w:val="0"/>
                <w:iCs w:val="0"/>
                <w:color w:val="000000"/>
                <w:kern w:val="0"/>
                <w:sz w:val="20"/>
                <w:szCs w:val="20"/>
                <w:u w:val="none"/>
                <w:lang w:val="en-US" w:eastAsia="zh-CN" w:bidi="ar"/>
              </w:rPr>
              <w:t xml:space="preserve">                                  </w:t>
            </w:r>
            <w:r>
              <w:rPr>
                <w:rFonts w:hint="eastAsia" w:ascii="方正仿宋_GBK" w:hAnsi="方正仿宋_GBK" w:eastAsia="方正仿宋_GBK" w:cs="方正仿宋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本支出合计</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基本支出</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项目支出</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上缴上级支出</w:t>
            </w: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经营支出</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功能分类科目编码</w:t>
            </w:r>
          </w:p>
        </w:tc>
        <w:tc>
          <w:tcPr>
            <w:tcW w:w="41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项目（按“项”级功能分类科目）</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4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4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8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合计</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201.86</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166.86</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35.00</w:t>
            </w:r>
          </w:p>
        </w:tc>
        <w:tc>
          <w:tcPr>
            <w:tcW w:w="91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4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201</w:t>
            </w:r>
          </w:p>
        </w:tc>
        <w:tc>
          <w:tcPr>
            <w:tcW w:w="41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一般公共服务支出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163.25</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129.25</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34.00</w:t>
            </w:r>
          </w:p>
        </w:tc>
        <w:tc>
          <w:tcPr>
            <w:tcW w:w="91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4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20132</w:t>
            </w:r>
          </w:p>
        </w:tc>
        <w:tc>
          <w:tcPr>
            <w:tcW w:w="41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组织事务</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163.25</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129.25</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34.00</w:t>
            </w:r>
          </w:p>
        </w:tc>
        <w:tc>
          <w:tcPr>
            <w:tcW w:w="91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4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2013201</w:t>
            </w:r>
          </w:p>
        </w:tc>
        <w:tc>
          <w:tcPr>
            <w:tcW w:w="41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行政运行</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129.25</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129.25</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91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4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2013202</w:t>
            </w:r>
          </w:p>
        </w:tc>
        <w:tc>
          <w:tcPr>
            <w:tcW w:w="41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一般行政管理事务</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34.00</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34.00</w:t>
            </w:r>
          </w:p>
        </w:tc>
        <w:tc>
          <w:tcPr>
            <w:tcW w:w="91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4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205</w:t>
            </w:r>
          </w:p>
        </w:tc>
        <w:tc>
          <w:tcPr>
            <w:tcW w:w="41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教育支出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0.40</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0.40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91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4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20508</w:t>
            </w:r>
          </w:p>
        </w:tc>
        <w:tc>
          <w:tcPr>
            <w:tcW w:w="41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进修及培训</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0.40</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0.40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91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4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2050803</w:t>
            </w:r>
          </w:p>
        </w:tc>
        <w:tc>
          <w:tcPr>
            <w:tcW w:w="41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培训支出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0.40</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0.40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91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4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208</w:t>
            </w:r>
          </w:p>
        </w:tc>
        <w:tc>
          <w:tcPr>
            <w:tcW w:w="41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社会保障和就业支出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25.20</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25.20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91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4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20805</w:t>
            </w:r>
          </w:p>
        </w:tc>
        <w:tc>
          <w:tcPr>
            <w:tcW w:w="41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行政事业单位养老支出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25.20</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25.20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91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4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2080505</w:t>
            </w:r>
          </w:p>
        </w:tc>
        <w:tc>
          <w:tcPr>
            <w:tcW w:w="41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机关事业单位基本养老保险缴费支出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8.72</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8.72</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91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4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2080506</w:t>
            </w:r>
          </w:p>
        </w:tc>
        <w:tc>
          <w:tcPr>
            <w:tcW w:w="41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机关事业单位职业年金缴费支出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16.48</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16.48</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91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4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210</w:t>
            </w:r>
          </w:p>
        </w:tc>
        <w:tc>
          <w:tcPr>
            <w:tcW w:w="41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卫生健康支出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5.45</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5.45</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91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4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21011</w:t>
            </w:r>
          </w:p>
        </w:tc>
        <w:tc>
          <w:tcPr>
            <w:tcW w:w="41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行政事业单位医疗</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5.45</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5.45</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91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4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2101101</w:t>
            </w:r>
          </w:p>
        </w:tc>
        <w:tc>
          <w:tcPr>
            <w:tcW w:w="41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行政单位医疗</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5.45</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5.45</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91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4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221</w:t>
            </w:r>
          </w:p>
        </w:tc>
        <w:tc>
          <w:tcPr>
            <w:tcW w:w="41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住房保障支出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6.54</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6.54</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91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4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22102</w:t>
            </w:r>
          </w:p>
        </w:tc>
        <w:tc>
          <w:tcPr>
            <w:tcW w:w="41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住房改革支出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6.54</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6.54</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91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4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2210201</w:t>
            </w:r>
          </w:p>
        </w:tc>
        <w:tc>
          <w:tcPr>
            <w:tcW w:w="41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住房公积金</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6.54</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6.54</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91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4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224</w:t>
            </w:r>
          </w:p>
        </w:tc>
        <w:tc>
          <w:tcPr>
            <w:tcW w:w="41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灾害防治及应急管理支出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1.00</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1.00</w:t>
            </w:r>
          </w:p>
        </w:tc>
        <w:tc>
          <w:tcPr>
            <w:tcW w:w="91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4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22401</w:t>
            </w:r>
          </w:p>
        </w:tc>
        <w:tc>
          <w:tcPr>
            <w:tcW w:w="41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应急管理事务</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1.00</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1.00</w:t>
            </w:r>
          </w:p>
        </w:tc>
        <w:tc>
          <w:tcPr>
            <w:tcW w:w="91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4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7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2240199</w:t>
            </w:r>
          </w:p>
        </w:tc>
        <w:tc>
          <w:tcPr>
            <w:tcW w:w="41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其他应急管理支出</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91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49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09" w:type="dxa"/>
            <w:gridSpan w:val="8"/>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备注：本表反映部门本年度各项支出情况。</w:t>
            </w:r>
            <w:r>
              <w:rPr>
                <w:rStyle w:val="17"/>
                <w:rFonts w:hint="eastAsia" w:eastAsia="方正仿宋_GBK"/>
                <w:lang w:val="en-US" w:eastAsia="zh-CN" w:bidi="ar"/>
              </w:rPr>
              <w:t>部分数据由于四舍五入产生的计算误差，未做机械调整。</w:t>
            </w:r>
          </w:p>
        </w:tc>
      </w:tr>
    </w:tbl>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tbl>
      <w:tblPr>
        <w:tblStyle w:val="9"/>
        <w:tblW w:w="110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36"/>
        <w:gridCol w:w="930"/>
        <w:gridCol w:w="3525"/>
        <w:gridCol w:w="765"/>
        <w:gridCol w:w="1050"/>
        <w:gridCol w:w="630"/>
        <w:gridCol w:w="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1009"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09"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09"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公开部门：中共垫江县委机构编制委员会办公室</w:t>
            </w:r>
            <w:r>
              <w:rPr>
                <w:rFonts w:hint="eastAsia" w:ascii="方正仿宋_GBK" w:hAnsi="方正仿宋_GBK" w:cs="方正仿宋_GBK"/>
                <w:i w:val="0"/>
                <w:iCs w:val="0"/>
                <w:color w:val="000000"/>
                <w:kern w:val="0"/>
                <w:sz w:val="20"/>
                <w:szCs w:val="20"/>
                <w:u w:val="none"/>
                <w:lang w:val="en-US" w:eastAsia="zh-CN" w:bidi="ar"/>
              </w:rPr>
              <w:t xml:space="preserve">              </w:t>
            </w:r>
            <w:r>
              <w:rPr>
                <w:rFonts w:hint="eastAsia" w:ascii="方正仿宋_GBK" w:hAnsi="方正仿宋_GBK" w:eastAsia="方正仿宋_GBK" w:cs="方正仿宋_GBK"/>
                <w:i w:val="0"/>
                <w:iCs w:val="0"/>
                <w:color w:val="000000"/>
                <w:kern w:val="0"/>
                <w:sz w:val="20"/>
                <w:szCs w:val="20"/>
                <w:u w:val="none"/>
                <w:lang w:val="en-US" w:eastAsia="zh-CN" w:bidi="ar"/>
              </w:rPr>
              <w:t>2021年度</w:t>
            </w:r>
            <w:r>
              <w:rPr>
                <w:rFonts w:hint="eastAsia" w:ascii="方正仿宋_GBK" w:hAnsi="方正仿宋_GBK" w:cs="方正仿宋_GBK"/>
                <w:i w:val="0"/>
                <w:iCs w:val="0"/>
                <w:color w:val="000000"/>
                <w:kern w:val="0"/>
                <w:sz w:val="20"/>
                <w:szCs w:val="20"/>
                <w:u w:val="none"/>
                <w:lang w:val="en-US" w:eastAsia="zh-CN" w:bidi="ar"/>
              </w:rPr>
              <w:t xml:space="preserve">                                  </w:t>
            </w:r>
            <w:r>
              <w:rPr>
                <w:rFonts w:hint="eastAsia" w:ascii="方正仿宋_GBK" w:hAnsi="方正仿宋_GBK" w:eastAsia="方正仿宋_GBK" w:cs="方正仿宋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收     入</w:t>
            </w:r>
          </w:p>
        </w:tc>
        <w:tc>
          <w:tcPr>
            <w:tcW w:w="674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    目</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决算数</w:t>
            </w:r>
          </w:p>
        </w:tc>
        <w:tc>
          <w:tcPr>
            <w:tcW w:w="3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功能分类科目</w:t>
            </w:r>
          </w:p>
        </w:tc>
        <w:tc>
          <w:tcPr>
            <w:tcW w:w="32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方正仿宋_GBK" w:hAnsi="方正仿宋_GBK" w:eastAsia="方正仿宋_GBK" w:cs="方正仿宋_GBK"/>
                <w:b/>
                <w:bCs/>
                <w:i w:val="0"/>
                <w:iCs w:val="0"/>
                <w:color w:val="000000"/>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方正仿宋_GBK" w:hAnsi="方正仿宋_GBK" w:eastAsia="方正仿宋_GBK" w:cs="方正仿宋_GBK"/>
                <w:b/>
                <w:bCs/>
                <w:i w:val="0"/>
                <w:iCs w:val="0"/>
                <w:color w:val="000000"/>
                <w:sz w:val="20"/>
                <w:szCs w:val="20"/>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方正仿宋_GBK" w:hAnsi="方正仿宋_GBK" w:eastAsia="方正仿宋_GBK" w:cs="方正仿宋_GBK"/>
                <w:b/>
                <w:bCs/>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小计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一般公共预算财政拨款</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政府性基金预算财政拨款</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一、一般公共预算财政拨款</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0" w:firstLineChars="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185.05</w:t>
            </w:r>
          </w:p>
        </w:tc>
        <w:tc>
          <w:tcPr>
            <w:tcW w:w="35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一、一般公共服务支出</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163.25</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163.25</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二、政府性基金预算财政拨款</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0" w:firstLineChars="0"/>
              <w:jc w:val="both"/>
              <w:textAlignment w:val="center"/>
              <w:rPr>
                <w:rFonts w:hint="eastAsia" w:ascii="方正仿宋_GBK" w:hAnsi="方正仿宋_GBK" w:eastAsia="方正仿宋_GBK" w:cs="方正仿宋_GBK"/>
                <w:i w:val="0"/>
                <w:iCs w:val="0"/>
                <w:color w:val="000000"/>
                <w:sz w:val="20"/>
                <w:szCs w:val="20"/>
                <w:u w:val="none"/>
              </w:rPr>
            </w:pPr>
          </w:p>
        </w:tc>
        <w:tc>
          <w:tcPr>
            <w:tcW w:w="35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二、外交支出</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三、国有资本经营预算财政拨款</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0" w:firstLineChars="0"/>
              <w:jc w:val="both"/>
              <w:textAlignment w:val="center"/>
              <w:rPr>
                <w:rFonts w:hint="eastAsia" w:ascii="方正仿宋_GBK" w:hAnsi="方正仿宋_GBK" w:eastAsia="方正仿宋_GBK" w:cs="方正仿宋_GBK"/>
                <w:i w:val="0"/>
                <w:iCs w:val="0"/>
                <w:color w:val="000000"/>
                <w:sz w:val="20"/>
                <w:szCs w:val="20"/>
                <w:u w:val="none"/>
              </w:rPr>
            </w:pPr>
          </w:p>
        </w:tc>
        <w:tc>
          <w:tcPr>
            <w:tcW w:w="35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三、国防支出</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方正仿宋_GBK" w:hAnsi="方正仿宋_GBK" w:eastAsia="方正仿宋_GBK" w:cs="方正仿宋_GBK"/>
                <w:i w:val="0"/>
                <w:iCs w:val="0"/>
                <w:color w:val="000000"/>
                <w:sz w:val="20"/>
                <w:szCs w:val="20"/>
                <w:u w:val="none"/>
              </w:rPr>
            </w:pP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35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四、公共安全支出</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方正仿宋_GBK" w:hAnsi="方正仿宋_GBK" w:eastAsia="方正仿宋_GBK" w:cs="方正仿宋_GBK"/>
                <w:i w:val="0"/>
                <w:iCs w:val="0"/>
                <w:color w:val="000000"/>
                <w:sz w:val="20"/>
                <w:szCs w:val="20"/>
                <w:u w:val="none"/>
              </w:rPr>
            </w:pP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35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五、教育支出</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方正仿宋_GBK" w:hAnsi="方正仿宋_GBK" w:eastAsia="方正仿宋_GBK" w:cs="方正仿宋_GBK"/>
                <w:i w:val="0"/>
                <w:iCs w:val="0"/>
                <w:color w:val="000000"/>
                <w:sz w:val="20"/>
                <w:szCs w:val="20"/>
                <w:u w:val="none"/>
              </w:rPr>
            </w:pP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35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六、科学技术支出</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方正仿宋_GBK" w:hAnsi="方正仿宋_GBK" w:eastAsia="方正仿宋_GBK" w:cs="方正仿宋_GBK"/>
                <w:i w:val="0"/>
                <w:iCs w:val="0"/>
                <w:color w:val="000000"/>
                <w:sz w:val="20"/>
                <w:szCs w:val="20"/>
                <w:u w:val="none"/>
              </w:rPr>
            </w:pP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35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七、文化旅游体育与传媒支出</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方正仿宋_GBK" w:hAnsi="方正仿宋_GBK" w:eastAsia="方正仿宋_GBK" w:cs="方正仿宋_GBK"/>
                <w:i w:val="0"/>
                <w:iCs w:val="0"/>
                <w:color w:val="000000"/>
                <w:sz w:val="20"/>
                <w:szCs w:val="20"/>
                <w:u w:val="none"/>
              </w:rPr>
            </w:pP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35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八、社会保障和就业支出</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25.20</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25.20</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方正仿宋_GBK" w:hAnsi="方正仿宋_GBK" w:eastAsia="方正仿宋_GBK" w:cs="方正仿宋_GBK"/>
                <w:i w:val="0"/>
                <w:iCs w:val="0"/>
                <w:color w:val="000000"/>
                <w:sz w:val="20"/>
                <w:szCs w:val="20"/>
                <w:u w:val="none"/>
              </w:rPr>
            </w:pP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35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九、卫生健康支出</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5.45</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5.45</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方正仿宋_GBK" w:hAnsi="方正仿宋_GBK" w:eastAsia="方正仿宋_GBK" w:cs="方正仿宋_GBK"/>
                <w:i w:val="0"/>
                <w:iCs w:val="0"/>
                <w:color w:val="000000"/>
                <w:sz w:val="20"/>
                <w:szCs w:val="20"/>
                <w:u w:val="none"/>
              </w:rPr>
            </w:pP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35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十、节能环保支出</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方正仿宋_GBK" w:hAnsi="方正仿宋_GBK" w:eastAsia="方正仿宋_GBK" w:cs="方正仿宋_GBK"/>
                <w:i w:val="0"/>
                <w:iCs w:val="0"/>
                <w:color w:val="000000"/>
                <w:sz w:val="20"/>
                <w:szCs w:val="20"/>
                <w:u w:val="none"/>
              </w:rPr>
            </w:pP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35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十一、城乡社区支出</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方正仿宋_GBK" w:hAnsi="方正仿宋_GBK" w:eastAsia="方正仿宋_GBK" w:cs="方正仿宋_GBK"/>
                <w:i w:val="0"/>
                <w:iCs w:val="0"/>
                <w:color w:val="000000"/>
                <w:sz w:val="20"/>
                <w:szCs w:val="20"/>
                <w:u w:val="none"/>
              </w:rPr>
            </w:pP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35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十二、农林水支出</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方正仿宋_GBK" w:hAnsi="方正仿宋_GBK" w:eastAsia="方正仿宋_GBK" w:cs="方正仿宋_GBK"/>
                <w:i w:val="0"/>
                <w:iCs w:val="0"/>
                <w:color w:val="000000"/>
                <w:sz w:val="20"/>
                <w:szCs w:val="20"/>
                <w:u w:val="none"/>
              </w:rPr>
            </w:pP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35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十三、交通运输支出</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方正仿宋_GBK" w:hAnsi="方正仿宋_GBK" w:eastAsia="方正仿宋_GBK" w:cs="方正仿宋_GBK"/>
                <w:i w:val="0"/>
                <w:iCs w:val="0"/>
                <w:color w:val="000000"/>
                <w:sz w:val="20"/>
                <w:szCs w:val="20"/>
                <w:u w:val="none"/>
              </w:rPr>
            </w:pP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35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十四、资源勘探工业信息等支出</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方正仿宋_GBK" w:hAnsi="方正仿宋_GBK" w:eastAsia="方正仿宋_GBK" w:cs="方正仿宋_GBK"/>
                <w:i w:val="0"/>
                <w:iCs w:val="0"/>
                <w:color w:val="000000"/>
                <w:sz w:val="20"/>
                <w:szCs w:val="20"/>
                <w:u w:val="none"/>
              </w:rPr>
            </w:pP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35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十五、商业服务业等支出</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方正仿宋_GBK" w:hAnsi="方正仿宋_GBK" w:eastAsia="方正仿宋_GBK" w:cs="方正仿宋_GBK"/>
                <w:i w:val="0"/>
                <w:iCs w:val="0"/>
                <w:color w:val="000000"/>
                <w:sz w:val="20"/>
                <w:szCs w:val="20"/>
                <w:u w:val="none"/>
              </w:rPr>
            </w:pP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35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十六、金融支出</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方正仿宋_GBK" w:hAnsi="方正仿宋_GBK" w:eastAsia="方正仿宋_GBK" w:cs="方正仿宋_GBK"/>
                <w:i w:val="0"/>
                <w:iCs w:val="0"/>
                <w:color w:val="000000"/>
                <w:sz w:val="20"/>
                <w:szCs w:val="20"/>
                <w:u w:val="none"/>
              </w:rPr>
            </w:pP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35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十七、援助其他地区支出</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方正仿宋_GBK" w:hAnsi="方正仿宋_GBK" w:eastAsia="方正仿宋_GBK" w:cs="方正仿宋_GBK"/>
                <w:i w:val="0"/>
                <w:iCs w:val="0"/>
                <w:color w:val="000000"/>
                <w:sz w:val="20"/>
                <w:szCs w:val="20"/>
                <w:u w:val="none"/>
              </w:rPr>
            </w:pP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35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十八、自然资源海洋气象等支出</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方正仿宋_GBK" w:hAnsi="方正仿宋_GBK" w:eastAsia="方正仿宋_GBK" w:cs="方正仿宋_GBK"/>
                <w:i w:val="0"/>
                <w:iCs w:val="0"/>
                <w:color w:val="000000"/>
                <w:sz w:val="20"/>
                <w:szCs w:val="20"/>
                <w:u w:val="none"/>
              </w:rPr>
            </w:pP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35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十九、住房保障支出</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6.54</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6.54</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方正仿宋_GBK" w:hAnsi="方正仿宋_GBK" w:eastAsia="方正仿宋_GBK" w:cs="方正仿宋_GBK"/>
                <w:i w:val="0"/>
                <w:iCs w:val="0"/>
                <w:color w:val="000000"/>
                <w:sz w:val="20"/>
                <w:szCs w:val="20"/>
                <w:u w:val="none"/>
              </w:rPr>
            </w:pP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35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二十、粮油物资储备支出</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方正仿宋_GBK" w:hAnsi="方正仿宋_GBK" w:eastAsia="方正仿宋_GBK" w:cs="方正仿宋_GBK"/>
                <w:i w:val="0"/>
                <w:iCs w:val="0"/>
                <w:color w:val="000000"/>
                <w:sz w:val="20"/>
                <w:szCs w:val="20"/>
                <w:u w:val="none"/>
              </w:rPr>
            </w:pP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35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二十一、国有资本经营预算支出</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方正仿宋_GBK" w:hAnsi="方正仿宋_GBK" w:eastAsia="方正仿宋_GBK" w:cs="方正仿宋_GBK"/>
                <w:i w:val="0"/>
                <w:iCs w:val="0"/>
                <w:color w:val="000000"/>
                <w:sz w:val="20"/>
                <w:szCs w:val="20"/>
                <w:u w:val="none"/>
              </w:rPr>
            </w:pP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35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二十二、灾害防治及应急管理支出</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方正仿宋_GBK" w:hAnsi="方正仿宋_GBK" w:eastAsia="方正仿宋_GBK" w:cs="方正仿宋_GBK"/>
                <w:i w:val="0"/>
                <w:iCs w:val="0"/>
                <w:color w:val="000000"/>
                <w:sz w:val="20"/>
                <w:szCs w:val="20"/>
                <w:u w:val="none"/>
              </w:rPr>
            </w:pP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35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二十三、其他支出</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方正仿宋_GBK" w:hAnsi="方正仿宋_GBK" w:eastAsia="方正仿宋_GBK" w:cs="方正仿宋_GBK"/>
                <w:i w:val="0"/>
                <w:iCs w:val="0"/>
                <w:color w:val="000000"/>
                <w:sz w:val="20"/>
                <w:szCs w:val="20"/>
                <w:u w:val="none"/>
              </w:rPr>
            </w:pP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35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二十四、债务还本支出</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本年收入合计</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0" w:firstLineChars="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185.05</w:t>
            </w:r>
          </w:p>
        </w:tc>
        <w:tc>
          <w:tcPr>
            <w:tcW w:w="35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二十五、债务付息支出</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年初财政拨款结转和结余</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0" w:firstLineChars="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17.17</w:t>
            </w:r>
          </w:p>
        </w:tc>
        <w:tc>
          <w:tcPr>
            <w:tcW w:w="35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二十六、抗疫特别国债安排的支出</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一、一般公共预算财政拨款</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0" w:firstLineChars="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17.17</w:t>
            </w:r>
          </w:p>
        </w:tc>
        <w:tc>
          <w:tcPr>
            <w:tcW w:w="35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本年支出合计</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201.86</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201.86</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二、政府性基金预算财政拨款</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35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年末财政拨款结转和结余</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0.36</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0.36</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三、国有资本经营预算财政拨款</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35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方正仿宋_GBK" w:hAnsi="方正仿宋_GBK" w:eastAsia="方正仿宋_GBK" w:cs="方正仿宋_GBK"/>
                <w:i w:val="0"/>
                <w:iCs w:val="0"/>
                <w:color w:val="000000"/>
                <w:sz w:val="20"/>
                <w:szCs w:val="20"/>
                <w:u w:val="none"/>
              </w:rPr>
            </w:pP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总计</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0" w:firstLineChars="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202.21</w:t>
            </w:r>
          </w:p>
        </w:tc>
        <w:tc>
          <w:tcPr>
            <w:tcW w:w="35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总计</w:t>
            </w:r>
          </w:p>
        </w:tc>
        <w:tc>
          <w:tcPr>
            <w:tcW w:w="76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202.21</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202.21</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c>
          <w:tcPr>
            <w:tcW w:w="77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0236"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备注：本表反映部门本年度一般公共预算财政拨款、政府性基金预算财政拨款及国有资本经营预算财政拨款的总收支和年末结转结余情况。</w:t>
            </w:r>
            <w:r>
              <w:rPr>
                <w:rStyle w:val="17"/>
                <w:rFonts w:hint="eastAsia" w:eastAsia="方正仿宋_GBK"/>
                <w:lang w:val="en-US" w:eastAsia="zh-CN" w:bidi="ar"/>
              </w:rPr>
              <w:t>部分数据由于四舍五入产生的计算误差，未做机械调整。</w:t>
            </w:r>
          </w:p>
        </w:tc>
        <w:tc>
          <w:tcPr>
            <w:tcW w:w="773"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方正仿宋_GBK" w:hAnsi="方正仿宋_GBK" w:eastAsia="方正仿宋_GBK" w:cs="方正仿宋_GBK"/>
                <w:i w:val="0"/>
                <w:iCs w:val="0"/>
                <w:color w:val="000000"/>
                <w:sz w:val="20"/>
                <w:szCs w:val="20"/>
                <w:u w:val="none"/>
              </w:rPr>
            </w:pPr>
          </w:p>
        </w:tc>
      </w:tr>
    </w:tbl>
    <w:p>
      <w:pPr>
        <w:pStyle w:val="2"/>
        <w:rPr>
          <w:rFonts w:hint="eastAsia"/>
        </w:rPr>
      </w:pPr>
    </w:p>
    <w:p>
      <w:pPr>
        <w:rPr>
          <w:rFonts w:hint="eastAsia"/>
        </w:rPr>
      </w:pPr>
    </w:p>
    <w:tbl>
      <w:tblPr>
        <w:tblStyle w:val="9"/>
        <w:tblW w:w="110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34"/>
        <w:gridCol w:w="4256"/>
        <w:gridCol w:w="1751"/>
        <w:gridCol w:w="1406"/>
        <w:gridCol w:w="1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009"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09" w:type="dxa"/>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09" w:type="dxa"/>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公开部门：中共垫江县委机构编制委员会办公室             2021年度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w:t>
            </w:r>
          </w:p>
        </w:tc>
        <w:tc>
          <w:tcPr>
            <w:tcW w:w="4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功能分类科目编码</w:t>
            </w:r>
          </w:p>
        </w:tc>
        <w:tc>
          <w:tcPr>
            <w:tcW w:w="42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项目（按“项”级功能分类科目）</w:t>
            </w:r>
          </w:p>
        </w:tc>
        <w:tc>
          <w:tcPr>
            <w:tcW w:w="1751"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合计</w:t>
            </w:r>
          </w:p>
        </w:tc>
        <w:tc>
          <w:tcPr>
            <w:tcW w:w="140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基本支出</w:t>
            </w:r>
          </w:p>
        </w:tc>
        <w:tc>
          <w:tcPr>
            <w:tcW w:w="1362"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2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42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751"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40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362"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42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751"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40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362"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9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合计</w:t>
            </w:r>
          </w:p>
        </w:tc>
        <w:tc>
          <w:tcPr>
            <w:tcW w:w="17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201.86</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166.86</w:t>
            </w:r>
          </w:p>
        </w:tc>
        <w:tc>
          <w:tcPr>
            <w:tcW w:w="13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201</w:t>
            </w:r>
          </w:p>
        </w:tc>
        <w:tc>
          <w:tcPr>
            <w:tcW w:w="42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一般公共服务支出</w:t>
            </w:r>
          </w:p>
        </w:tc>
        <w:tc>
          <w:tcPr>
            <w:tcW w:w="17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163.25</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129.25</w:t>
            </w:r>
          </w:p>
        </w:tc>
        <w:tc>
          <w:tcPr>
            <w:tcW w:w="13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20132</w:t>
            </w:r>
          </w:p>
        </w:tc>
        <w:tc>
          <w:tcPr>
            <w:tcW w:w="42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组织事务</w:t>
            </w:r>
          </w:p>
        </w:tc>
        <w:tc>
          <w:tcPr>
            <w:tcW w:w="17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163.25</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129.25</w:t>
            </w:r>
          </w:p>
        </w:tc>
        <w:tc>
          <w:tcPr>
            <w:tcW w:w="13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2013201</w:t>
            </w:r>
          </w:p>
        </w:tc>
        <w:tc>
          <w:tcPr>
            <w:tcW w:w="42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行政运行</w:t>
            </w:r>
          </w:p>
        </w:tc>
        <w:tc>
          <w:tcPr>
            <w:tcW w:w="17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129.25</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129.25</w:t>
            </w:r>
          </w:p>
        </w:tc>
        <w:tc>
          <w:tcPr>
            <w:tcW w:w="13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2013202</w:t>
            </w:r>
          </w:p>
        </w:tc>
        <w:tc>
          <w:tcPr>
            <w:tcW w:w="42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一般行政管理事务</w:t>
            </w:r>
          </w:p>
        </w:tc>
        <w:tc>
          <w:tcPr>
            <w:tcW w:w="17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34.00</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13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205</w:t>
            </w:r>
          </w:p>
        </w:tc>
        <w:tc>
          <w:tcPr>
            <w:tcW w:w="42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教育支出</w:t>
            </w:r>
          </w:p>
        </w:tc>
        <w:tc>
          <w:tcPr>
            <w:tcW w:w="17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0.40</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0.40</w:t>
            </w:r>
          </w:p>
        </w:tc>
        <w:tc>
          <w:tcPr>
            <w:tcW w:w="13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20508</w:t>
            </w:r>
          </w:p>
        </w:tc>
        <w:tc>
          <w:tcPr>
            <w:tcW w:w="42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进修及培训</w:t>
            </w:r>
          </w:p>
        </w:tc>
        <w:tc>
          <w:tcPr>
            <w:tcW w:w="17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0.40</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0.40</w:t>
            </w:r>
          </w:p>
        </w:tc>
        <w:tc>
          <w:tcPr>
            <w:tcW w:w="13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2050803</w:t>
            </w:r>
          </w:p>
        </w:tc>
        <w:tc>
          <w:tcPr>
            <w:tcW w:w="42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培训支出</w:t>
            </w:r>
          </w:p>
        </w:tc>
        <w:tc>
          <w:tcPr>
            <w:tcW w:w="17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0.40</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0.40</w:t>
            </w:r>
          </w:p>
        </w:tc>
        <w:tc>
          <w:tcPr>
            <w:tcW w:w="13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208</w:t>
            </w:r>
          </w:p>
        </w:tc>
        <w:tc>
          <w:tcPr>
            <w:tcW w:w="42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社会保障和就业支出</w:t>
            </w:r>
          </w:p>
        </w:tc>
        <w:tc>
          <w:tcPr>
            <w:tcW w:w="17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25.20</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25.20</w:t>
            </w:r>
          </w:p>
        </w:tc>
        <w:tc>
          <w:tcPr>
            <w:tcW w:w="13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20805</w:t>
            </w:r>
          </w:p>
        </w:tc>
        <w:tc>
          <w:tcPr>
            <w:tcW w:w="42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行政事业单位养老支出</w:t>
            </w:r>
          </w:p>
        </w:tc>
        <w:tc>
          <w:tcPr>
            <w:tcW w:w="17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25.20</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25.20</w:t>
            </w:r>
          </w:p>
        </w:tc>
        <w:tc>
          <w:tcPr>
            <w:tcW w:w="13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2080505</w:t>
            </w:r>
          </w:p>
        </w:tc>
        <w:tc>
          <w:tcPr>
            <w:tcW w:w="42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机关事业单位基本养老保险缴费支出</w:t>
            </w:r>
          </w:p>
        </w:tc>
        <w:tc>
          <w:tcPr>
            <w:tcW w:w="17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8.72</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8.72</w:t>
            </w:r>
          </w:p>
        </w:tc>
        <w:tc>
          <w:tcPr>
            <w:tcW w:w="13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2080506</w:t>
            </w:r>
          </w:p>
        </w:tc>
        <w:tc>
          <w:tcPr>
            <w:tcW w:w="42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机关事业单位职业年金缴费支出</w:t>
            </w:r>
          </w:p>
        </w:tc>
        <w:tc>
          <w:tcPr>
            <w:tcW w:w="17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16.48</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16.48</w:t>
            </w:r>
          </w:p>
        </w:tc>
        <w:tc>
          <w:tcPr>
            <w:tcW w:w="13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210</w:t>
            </w:r>
          </w:p>
        </w:tc>
        <w:tc>
          <w:tcPr>
            <w:tcW w:w="42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卫生健康支出</w:t>
            </w:r>
          </w:p>
        </w:tc>
        <w:tc>
          <w:tcPr>
            <w:tcW w:w="17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5.45</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5.45</w:t>
            </w:r>
          </w:p>
        </w:tc>
        <w:tc>
          <w:tcPr>
            <w:tcW w:w="13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21011</w:t>
            </w:r>
          </w:p>
        </w:tc>
        <w:tc>
          <w:tcPr>
            <w:tcW w:w="42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行政事业单位医疗</w:t>
            </w:r>
          </w:p>
        </w:tc>
        <w:tc>
          <w:tcPr>
            <w:tcW w:w="17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5.45</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5.45</w:t>
            </w:r>
          </w:p>
        </w:tc>
        <w:tc>
          <w:tcPr>
            <w:tcW w:w="13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2101101</w:t>
            </w:r>
          </w:p>
        </w:tc>
        <w:tc>
          <w:tcPr>
            <w:tcW w:w="42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行政单位医疗</w:t>
            </w:r>
          </w:p>
        </w:tc>
        <w:tc>
          <w:tcPr>
            <w:tcW w:w="17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5.45</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5.45</w:t>
            </w:r>
          </w:p>
        </w:tc>
        <w:tc>
          <w:tcPr>
            <w:tcW w:w="13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221</w:t>
            </w:r>
          </w:p>
        </w:tc>
        <w:tc>
          <w:tcPr>
            <w:tcW w:w="42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住房保障支出</w:t>
            </w:r>
          </w:p>
        </w:tc>
        <w:tc>
          <w:tcPr>
            <w:tcW w:w="17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6.54</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6.54</w:t>
            </w:r>
          </w:p>
        </w:tc>
        <w:tc>
          <w:tcPr>
            <w:tcW w:w="13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22102</w:t>
            </w:r>
          </w:p>
        </w:tc>
        <w:tc>
          <w:tcPr>
            <w:tcW w:w="42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住房改革支出</w:t>
            </w:r>
          </w:p>
        </w:tc>
        <w:tc>
          <w:tcPr>
            <w:tcW w:w="17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6.54</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6.54</w:t>
            </w:r>
          </w:p>
        </w:tc>
        <w:tc>
          <w:tcPr>
            <w:tcW w:w="13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2210201</w:t>
            </w:r>
          </w:p>
        </w:tc>
        <w:tc>
          <w:tcPr>
            <w:tcW w:w="42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住房公积金</w:t>
            </w:r>
          </w:p>
        </w:tc>
        <w:tc>
          <w:tcPr>
            <w:tcW w:w="17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6.54</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6.54</w:t>
            </w:r>
          </w:p>
        </w:tc>
        <w:tc>
          <w:tcPr>
            <w:tcW w:w="13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224</w:t>
            </w:r>
          </w:p>
        </w:tc>
        <w:tc>
          <w:tcPr>
            <w:tcW w:w="42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灾害防治及应急管理支出</w:t>
            </w:r>
          </w:p>
        </w:tc>
        <w:tc>
          <w:tcPr>
            <w:tcW w:w="17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1.00</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13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22401</w:t>
            </w:r>
          </w:p>
        </w:tc>
        <w:tc>
          <w:tcPr>
            <w:tcW w:w="42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应急管理事务</w:t>
            </w:r>
          </w:p>
        </w:tc>
        <w:tc>
          <w:tcPr>
            <w:tcW w:w="17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1.00</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p>
        </w:tc>
        <w:tc>
          <w:tcPr>
            <w:tcW w:w="13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2240199</w:t>
            </w:r>
          </w:p>
        </w:tc>
        <w:tc>
          <w:tcPr>
            <w:tcW w:w="425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其他应急管理支出</w:t>
            </w:r>
          </w:p>
        </w:tc>
        <w:tc>
          <w:tcPr>
            <w:tcW w:w="175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140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136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09" w:type="dxa"/>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备注：本表反映部门本年度一般公共预算财政拨款支出情况。</w:t>
            </w:r>
            <w:r>
              <w:rPr>
                <w:rStyle w:val="17"/>
                <w:rFonts w:hint="eastAsia" w:eastAsia="方正仿宋_GBK"/>
                <w:lang w:val="en-US" w:eastAsia="zh-CN" w:bidi="ar"/>
              </w:rPr>
              <w:t>部分数据由于四舍五入产生的计算误差，未做机械调整。</w:t>
            </w:r>
          </w:p>
        </w:tc>
      </w:tr>
    </w:tbl>
    <w:p>
      <w:pPr>
        <w:pStyle w:val="2"/>
        <w:keepNext w:val="0"/>
        <w:keepLines w:val="0"/>
        <w:pageBreakBefore w:val="0"/>
        <w:widowControl/>
        <w:kinsoku/>
        <w:wordWrap/>
        <w:overflowPunct/>
        <w:topLinePunct w:val="0"/>
        <w:autoSpaceDE/>
        <w:autoSpaceDN/>
        <w:bidi w:val="0"/>
        <w:adjustRightInd/>
        <w:snapToGrid/>
        <w:spacing w:line="240" w:lineRule="exact"/>
        <w:ind w:left="0" w:leftChars="0" w:firstLine="0" w:firstLineChars="0"/>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tbl>
      <w:tblPr>
        <w:tblStyle w:val="9"/>
        <w:tblW w:w="110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2220"/>
        <w:gridCol w:w="810"/>
        <w:gridCol w:w="705"/>
        <w:gridCol w:w="2040"/>
        <w:gridCol w:w="705"/>
        <w:gridCol w:w="675"/>
        <w:gridCol w:w="2385"/>
        <w:gridCol w:w="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1009" w:type="dxa"/>
            <w:gridSpan w:val="9"/>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09" w:type="dxa"/>
            <w:gridSpan w:val="9"/>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09" w:type="dxa"/>
            <w:gridSpan w:val="9"/>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公开部门：中共垫江县委机构编制委员会办公室</w:t>
            </w:r>
            <w:r>
              <w:rPr>
                <w:rFonts w:hint="eastAsia" w:ascii="方正仿宋_GBK" w:hAnsi="方正仿宋_GBK" w:cs="方正仿宋_GBK"/>
                <w:i w:val="0"/>
                <w:iCs w:val="0"/>
                <w:color w:val="000000"/>
                <w:kern w:val="0"/>
                <w:sz w:val="20"/>
                <w:szCs w:val="20"/>
                <w:u w:val="none"/>
                <w:lang w:val="en-US" w:eastAsia="zh-CN" w:bidi="ar"/>
              </w:rPr>
              <w:t xml:space="preserve">            </w:t>
            </w:r>
            <w:r>
              <w:rPr>
                <w:rFonts w:hint="eastAsia" w:ascii="方正仿宋_GBK" w:hAnsi="方正仿宋_GBK" w:eastAsia="方正仿宋_GBK" w:cs="方正仿宋_GBK"/>
                <w:i w:val="0"/>
                <w:iCs w:val="0"/>
                <w:color w:val="000000"/>
                <w:kern w:val="0"/>
                <w:sz w:val="20"/>
                <w:szCs w:val="20"/>
                <w:u w:val="none"/>
                <w:lang w:val="en-US" w:eastAsia="zh-CN" w:bidi="ar"/>
              </w:rPr>
              <w:t>2021年度</w:t>
            </w:r>
            <w:r>
              <w:rPr>
                <w:rFonts w:hint="eastAsia" w:ascii="方正仿宋_GBK" w:hAnsi="方正仿宋_GBK" w:cs="方正仿宋_GBK"/>
                <w:i w:val="0"/>
                <w:iCs w:val="0"/>
                <w:color w:val="000000"/>
                <w:kern w:val="0"/>
                <w:sz w:val="20"/>
                <w:szCs w:val="20"/>
                <w:u w:val="none"/>
                <w:lang w:val="en-US" w:eastAsia="zh-CN" w:bidi="ar"/>
              </w:rPr>
              <w:t xml:space="preserve">                                   </w:t>
            </w:r>
            <w:r>
              <w:rPr>
                <w:rFonts w:hint="eastAsia" w:ascii="方正仿宋_GBK" w:hAnsi="方正仿宋_GBK" w:eastAsia="方正仿宋_GBK" w:cs="方正仿宋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人员经费</w:t>
            </w:r>
          </w:p>
        </w:tc>
        <w:tc>
          <w:tcPr>
            <w:tcW w:w="72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经济分类科目编码</w:t>
            </w:r>
          </w:p>
        </w:tc>
        <w:tc>
          <w:tcPr>
            <w:tcW w:w="222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经济分类科目（按“款”级功能分类科目）</w:t>
            </w:r>
          </w:p>
        </w:tc>
        <w:tc>
          <w:tcPr>
            <w:tcW w:w="81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金额</w:t>
            </w:r>
          </w:p>
        </w:tc>
        <w:tc>
          <w:tcPr>
            <w:tcW w:w="70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经济分类科目编码</w:t>
            </w:r>
          </w:p>
        </w:tc>
        <w:tc>
          <w:tcPr>
            <w:tcW w:w="204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经济分类科目（按“款”级功能分类科目）</w:t>
            </w:r>
          </w:p>
        </w:tc>
        <w:tc>
          <w:tcPr>
            <w:tcW w:w="70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金额</w:t>
            </w:r>
          </w:p>
        </w:tc>
        <w:tc>
          <w:tcPr>
            <w:tcW w:w="67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经济分类科目编码</w:t>
            </w:r>
          </w:p>
        </w:tc>
        <w:tc>
          <w:tcPr>
            <w:tcW w:w="238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经济分类科目（按“款”级功能分类科目）</w:t>
            </w:r>
          </w:p>
        </w:tc>
        <w:tc>
          <w:tcPr>
            <w:tcW w:w="71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222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81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204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67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2385"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71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301</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工资福利支出</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142.18</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302</w:t>
            </w:r>
          </w:p>
        </w:tc>
        <w:tc>
          <w:tcPr>
            <w:tcW w:w="2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商品和服务支出</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21.07</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310</w:t>
            </w:r>
          </w:p>
        </w:tc>
        <w:tc>
          <w:tcPr>
            <w:tcW w:w="23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资本性支出</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30101</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基本工资</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29.06</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30201</w:t>
            </w:r>
          </w:p>
        </w:tc>
        <w:tc>
          <w:tcPr>
            <w:tcW w:w="2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办公费</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2.10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31001</w:t>
            </w:r>
          </w:p>
        </w:tc>
        <w:tc>
          <w:tcPr>
            <w:tcW w:w="23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房屋建筑物购建</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30102</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津贴补贴</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25.40</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30202</w:t>
            </w:r>
          </w:p>
        </w:tc>
        <w:tc>
          <w:tcPr>
            <w:tcW w:w="2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印刷费</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31002</w:t>
            </w:r>
          </w:p>
        </w:tc>
        <w:tc>
          <w:tcPr>
            <w:tcW w:w="23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办公设备购置</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30103</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奖金</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17.46</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30203</w:t>
            </w:r>
          </w:p>
        </w:tc>
        <w:tc>
          <w:tcPr>
            <w:tcW w:w="2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咨询费</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31003</w:t>
            </w:r>
          </w:p>
        </w:tc>
        <w:tc>
          <w:tcPr>
            <w:tcW w:w="23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专用设备购置</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30106</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伙食补助费</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6.41</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30204</w:t>
            </w:r>
          </w:p>
        </w:tc>
        <w:tc>
          <w:tcPr>
            <w:tcW w:w="2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手续费</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31005</w:t>
            </w:r>
          </w:p>
        </w:tc>
        <w:tc>
          <w:tcPr>
            <w:tcW w:w="23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基础设施建设</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30107</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绩效工资</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18"/>
                <w:szCs w:val="18"/>
                <w:u w:val="none"/>
              </w:rPr>
            </w:pP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30205</w:t>
            </w:r>
          </w:p>
        </w:tc>
        <w:tc>
          <w:tcPr>
            <w:tcW w:w="2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水费</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31006</w:t>
            </w:r>
          </w:p>
        </w:tc>
        <w:tc>
          <w:tcPr>
            <w:tcW w:w="23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大型修缮</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30108</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机关事业单位基本养老保险费</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9.19</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30206</w:t>
            </w:r>
          </w:p>
        </w:tc>
        <w:tc>
          <w:tcPr>
            <w:tcW w:w="2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电费</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31007</w:t>
            </w:r>
          </w:p>
        </w:tc>
        <w:tc>
          <w:tcPr>
            <w:tcW w:w="23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信息网络及软件购置更新</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30109</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职业年金缴费</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16.74</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30207</w:t>
            </w:r>
          </w:p>
        </w:tc>
        <w:tc>
          <w:tcPr>
            <w:tcW w:w="2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邮电费</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0.65</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31008</w:t>
            </w:r>
          </w:p>
        </w:tc>
        <w:tc>
          <w:tcPr>
            <w:tcW w:w="23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物资储备</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30110</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职工基本医疗保险缴费</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5.78</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30208</w:t>
            </w:r>
          </w:p>
        </w:tc>
        <w:tc>
          <w:tcPr>
            <w:tcW w:w="2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取暖费</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31009</w:t>
            </w:r>
          </w:p>
        </w:tc>
        <w:tc>
          <w:tcPr>
            <w:tcW w:w="23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土地补偿</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30111</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公务员医疗补助缴费</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30209</w:t>
            </w:r>
          </w:p>
        </w:tc>
        <w:tc>
          <w:tcPr>
            <w:tcW w:w="2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物业管理费</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31010</w:t>
            </w:r>
          </w:p>
        </w:tc>
        <w:tc>
          <w:tcPr>
            <w:tcW w:w="23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安置补助</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30112</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其他社会保障缴费</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1.25</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30211</w:t>
            </w:r>
          </w:p>
        </w:tc>
        <w:tc>
          <w:tcPr>
            <w:tcW w:w="2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差旅费</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2.11</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31011</w:t>
            </w:r>
          </w:p>
        </w:tc>
        <w:tc>
          <w:tcPr>
            <w:tcW w:w="23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地上附着物和青苗补偿</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30113</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住房公积金</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11.94</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30212</w:t>
            </w:r>
          </w:p>
        </w:tc>
        <w:tc>
          <w:tcPr>
            <w:tcW w:w="2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因公出国（境）费用</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31012</w:t>
            </w:r>
          </w:p>
        </w:tc>
        <w:tc>
          <w:tcPr>
            <w:tcW w:w="23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拆迁补偿</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30114</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医疗费</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2.52</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30213</w:t>
            </w:r>
          </w:p>
        </w:tc>
        <w:tc>
          <w:tcPr>
            <w:tcW w:w="2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维修（护）费</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31013</w:t>
            </w:r>
          </w:p>
        </w:tc>
        <w:tc>
          <w:tcPr>
            <w:tcW w:w="23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公务用车购置</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30199</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其他工资福利支出</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16.44</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30214</w:t>
            </w:r>
          </w:p>
        </w:tc>
        <w:tc>
          <w:tcPr>
            <w:tcW w:w="2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租赁费</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31019</w:t>
            </w:r>
          </w:p>
        </w:tc>
        <w:tc>
          <w:tcPr>
            <w:tcW w:w="23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其他交通工具购置</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303</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对个人和家庭的补助</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3.46</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30215</w:t>
            </w:r>
          </w:p>
        </w:tc>
        <w:tc>
          <w:tcPr>
            <w:tcW w:w="2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会议费</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31021</w:t>
            </w:r>
          </w:p>
        </w:tc>
        <w:tc>
          <w:tcPr>
            <w:tcW w:w="23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文物和陈列品购置</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30301</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离休费</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30216</w:t>
            </w:r>
          </w:p>
        </w:tc>
        <w:tc>
          <w:tcPr>
            <w:tcW w:w="2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培训费</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0.40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31022</w:t>
            </w:r>
          </w:p>
        </w:tc>
        <w:tc>
          <w:tcPr>
            <w:tcW w:w="23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无形资产购置</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30302</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退休费</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30217</w:t>
            </w:r>
          </w:p>
        </w:tc>
        <w:tc>
          <w:tcPr>
            <w:tcW w:w="2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公务接待费</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0.34</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31099</w:t>
            </w:r>
          </w:p>
        </w:tc>
        <w:tc>
          <w:tcPr>
            <w:tcW w:w="23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其他资本性支出</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30303</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退职（役）费</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30218</w:t>
            </w:r>
          </w:p>
        </w:tc>
        <w:tc>
          <w:tcPr>
            <w:tcW w:w="2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专用材料费</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312</w:t>
            </w:r>
          </w:p>
        </w:tc>
        <w:tc>
          <w:tcPr>
            <w:tcW w:w="23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对企业补助</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30304</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抚恤金</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30224</w:t>
            </w:r>
          </w:p>
        </w:tc>
        <w:tc>
          <w:tcPr>
            <w:tcW w:w="2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被装购置费</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31201</w:t>
            </w:r>
          </w:p>
        </w:tc>
        <w:tc>
          <w:tcPr>
            <w:tcW w:w="23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资本金注入</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30305</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生活补助</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3.46</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30225</w:t>
            </w:r>
          </w:p>
        </w:tc>
        <w:tc>
          <w:tcPr>
            <w:tcW w:w="2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专用燃料费</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31203</w:t>
            </w:r>
          </w:p>
        </w:tc>
        <w:tc>
          <w:tcPr>
            <w:tcW w:w="23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政府投资基金股权投资</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30306</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救济费</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30226</w:t>
            </w:r>
          </w:p>
        </w:tc>
        <w:tc>
          <w:tcPr>
            <w:tcW w:w="2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劳务费</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0.26</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31204</w:t>
            </w:r>
          </w:p>
        </w:tc>
        <w:tc>
          <w:tcPr>
            <w:tcW w:w="23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费用补贴</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30307</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医疗费补助</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30227</w:t>
            </w:r>
          </w:p>
        </w:tc>
        <w:tc>
          <w:tcPr>
            <w:tcW w:w="2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委托业务费</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31205</w:t>
            </w:r>
          </w:p>
        </w:tc>
        <w:tc>
          <w:tcPr>
            <w:tcW w:w="23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利息补贴</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30308</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助学金</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30228</w:t>
            </w:r>
          </w:p>
        </w:tc>
        <w:tc>
          <w:tcPr>
            <w:tcW w:w="2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工会经费</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8.65</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31299</w:t>
            </w:r>
          </w:p>
        </w:tc>
        <w:tc>
          <w:tcPr>
            <w:tcW w:w="23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其他对企业补助</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30309</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奖励金</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30229</w:t>
            </w:r>
          </w:p>
        </w:tc>
        <w:tc>
          <w:tcPr>
            <w:tcW w:w="2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福利费</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18"/>
                <w:szCs w:val="18"/>
                <w:u w:val="none"/>
              </w:rPr>
            </w:pP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399</w:t>
            </w:r>
          </w:p>
        </w:tc>
        <w:tc>
          <w:tcPr>
            <w:tcW w:w="23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其他支出</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30310</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个人农业生产补贴</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30231</w:t>
            </w:r>
          </w:p>
        </w:tc>
        <w:tc>
          <w:tcPr>
            <w:tcW w:w="2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公务用车运行维护费</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39907</w:t>
            </w:r>
          </w:p>
        </w:tc>
        <w:tc>
          <w:tcPr>
            <w:tcW w:w="23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国家赔偿费用支出</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30311</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代缴社会保险费</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30239</w:t>
            </w:r>
          </w:p>
        </w:tc>
        <w:tc>
          <w:tcPr>
            <w:tcW w:w="2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其他交通费用</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6.24</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39908</w:t>
            </w:r>
          </w:p>
        </w:tc>
        <w:tc>
          <w:tcPr>
            <w:tcW w:w="23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对民间非营利组织和群众性自治组织补贴</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30399</w:t>
            </w: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其他个人和家庭的补助支出</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30240</w:t>
            </w:r>
          </w:p>
        </w:tc>
        <w:tc>
          <w:tcPr>
            <w:tcW w:w="2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税金及附加费用</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39999</w:t>
            </w:r>
          </w:p>
        </w:tc>
        <w:tc>
          <w:tcPr>
            <w:tcW w:w="23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其他支出</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18"/>
                <w:szCs w:val="18"/>
                <w:u w:val="none"/>
              </w:rPr>
            </w:pP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18"/>
                <w:szCs w:val="18"/>
                <w:u w:val="none"/>
              </w:rPr>
            </w:pP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18"/>
                <w:szCs w:val="18"/>
                <w:u w:val="none"/>
              </w:rPr>
            </w:pP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30299</w:t>
            </w:r>
          </w:p>
        </w:tc>
        <w:tc>
          <w:tcPr>
            <w:tcW w:w="2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其他商品和服务支出</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0.32</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p>
        </w:tc>
        <w:tc>
          <w:tcPr>
            <w:tcW w:w="23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18"/>
                <w:szCs w:val="18"/>
                <w:u w:val="none"/>
              </w:rPr>
            </w:pP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18"/>
                <w:szCs w:val="18"/>
                <w:u w:val="none"/>
              </w:rPr>
            </w:pP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18"/>
                <w:szCs w:val="18"/>
                <w:u w:val="none"/>
              </w:rPr>
            </w:pP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307</w:t>
            </w:r>
          </w:p>
        </w:tc>
        <w:tc>
          <w:tcPr>
            <w:tcW w:w="2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债务利息及费用支出</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18"/>
                <w:szCs w:val="18"/>
                <w:u w:val="none"/>
              </w:rPr>
            </w:pPr>
          </w:p>
        </w:tc>
        <w:tc>
          <w:tcPr>
            <w:tcW w:w="23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18"/>
                <w:szCs w:val="18"/>
                <w:u w:val="none"/>
              </w:rPr>
            </w:pP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18"/>
                <w:szCs w:val="18"/>
                <w:u w:val="none"/>
              </w:rPr>
            </w:pPr>
          </w:p>
        </w:tc>
        <w:tc>
          <w:tcPr>
            <w:tcW w:w="222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18"/>
                <w:szCs w:val="18"/>
                <w:u w:val="none"/>
              </w:rPr>
            </w:pP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18"/>
                <w:szCs w:val="18"/>
                <w:u w:val="none"/>
              </w:rPr>
            </w:pP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30701</w:t>
            </w:r>
          </w:p>
        </w:tc>
        <w:tc>
          <w:tcPr>
            <w:tcW w:w="204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国内债务付息</w:t>
            </w:r>
          </w:p>
        </w:tc>
        <w:tc>
          <w:tcPr>
            <w:tcW w:w="70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18"/>
                <w:szCs w:val="18"/>
                <w:u w:val="none"/>
              </w:rPr>
            </w:pPr>
          </w:p>
        </w:tc>
        <w:tc>
          <w:tcPr>
            <w:tcW w:w="238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18"/>
                <w:szCs w:val="18"/>
                <w:u w:val="none"/>
              </w:rPr>
            </w:pP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18"/>
                <w:szCs w:val="18"/>
                <w:u w:val="none"/>
              </w:rPr>
            </w:pPr>
          </w:p>
        </w:tc>
        <w:tc>
          <w:tcPr>
            <w:tcW w:w="2220" w:type="dxa"/>
            <w:tcBorders>
              <w:top w:val="nil"/>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18"/>
                <w:szCs w:val="18"/>
                <w:u w:val="none"/>
              </w:rPr>
            </w:pPr>
          </w:p>
        </w:tc>
        <w:tc>
          <w:tcPr>
            <w:tcW w:w="810" w:type="dxa"/>
            <w:tcBorders>
              <w:top w:val="nil"/>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18"/>
                <w:szCs w:val="18"/>
                <w:u w:val="none"/>
              </w:rPr>
            </w:pPr>
          </w:p>
        </w:tc>
        <w:tc>
          <w:tcPr>
            <w:tcW w:w="705" w:type="dxa"/>
            <w:tcBorders>
              <w:top w:val="nil"/>
              <w:left w:val="nil"/>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30702</w:t>
            </w:r>
          </w:p>
        </w:tc>
        <w:tc>
          <w:tcPr>
            <w:tcW w:w="2040" w:type="dxa"/>
            <w:tcBorders>
              <w:top w:val="nil"/>
              <w:left w:val="nil"/>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国外债务付息</w:t>
            </w:r>
          </w:p>
        </w:tc>
        <w:tc>
          <w:tcPr>
            <w:tcW w:w="705" w:type="dxa"/>
            <w:tcBorders>
              <w:top w:val="nil"/>
              <w:left w:val="nil"/>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675" w:type="dxa"/>
            <w:tcBorders>
              <w:top w:val="nil"/>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18"/>
                <w:szCs w:val="18"/>
                <w:u w:val="none"/>
              </w:rPr>
            </w:pPr>
          </w:p>
        </w:tc>
        <w:tc>
          <w:tcPr>
            <w:tcW w:w="2385" w:type="dxa"/>
            <w:tcBorders>
              <w:top w:val="nil"/>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18"/>
                <w:szCs w:val="18"/>
                <w:u w:val="none"/>
              </w:rPr>
            </w:pPr>
          </w:p>
        </w:tc>
        <w:tc>
          <w:tcPr>
            <w:tcW w:w="713" w:type="dxa"/>
            <w:tcBorders>
              <w:top w:val="nil"/>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18"/>
                <w:szCs w:val="18"/>
                <w:u w:val="none"/>
              </w:rPr>
            </w:pPr>
          </w:p>
        </w:tc>
        <w:tc>
          <w:tcPr>
            <w:tcW w:w="2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18"/>
                <w:szCs w:val="18"/>
                <w:u w:val="none"/>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18"/>
                <w:szCs w:val="18"/>
                <w:u w:val="none"/>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30703</w:t>
            </w:r>
          </w:p>
        </w:tc>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国内债务发行费用</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18"/>
                <w:szCs w:val="18"/>
                <w:u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18"/>
                <w:szCs w:val="18"/>
                <w:u w:val="none"/>
              </w:rPr>
            </w:pPr>
          </w:p>
        </w:tc>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18"/>
                <w:szCs w:val="18"/>
                <w:u w:val="none"/>
              </w:rPr>
            </w:pPr>
          </w:p>
        </w:tc>
        <w:tc>
          <w:tcPr>
            <w:tcW w:w="222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18"/>
                <w:szCs w:val="18"/>
                <w:u w:val="none"/>
              </w:rPr>
            </w:pPr>
          </w:p>
        </w:tc>
        <w:tc>
          <w:tcPr>
            <w:tcW w:w="81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18"/>
                <w:szCs w:val="18"/>
                <w:u w:val="none"/>
              </w:rPr>
            </w:pPr>
          </w:p>
        </w:tc>
        <w:tc>
          <w:tcPr>
            <w:tcW w:w="705"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30704</w:t>
            </w:r>
          </w:p>
        </w:tc>
        <w:tc>
          <w:tcPr>
            <w:tcW w:w="204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180" w:firstLineChars="10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国外债务发行费用</w:t>
            </w:r>
          </w:p>
        </w:tc>
        <w:tc>
          <w:tcPr>
            <w:tcW w:w="705"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18"/>
                <w:szCs w:val="18"/>
                <w:u w:val="none"/>
              </w:rPr>
            </w:pPr>
          </w:p>
        </w:tc>
        <w:tc>
          <w:tcPr>
            <w:tcW w:w="675"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18"/>
                <w:szCs w:val="18"/>
                <w:u w:val="none"/>
              </w:rPr>
            </w:pPr>
          </w:p>
        </w:tc>
        <w:tc>
          <w:tcPr>
            <w:tcW w:w="2385"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18"/>
                <w:szCs w:val="18"/>
                <w:u w:val="none"/>
              </w:rPr>
            </w:pPr>
          </w:p>
        </w:tc>
        <w:tc>
          <w:tcPr>
            <w:tcW w:w="71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7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人员经费合计</w:t>
            </w:r>
          </w:p>
        </w:tc>
        <w:tc>
          <w:tcPr>
            <w:tcW w:w="8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145.64</w:t>
            </w:r>
          </w:p>
        </w:tc>
        <w:tc>
          <w:tcPr>
            <w:tcW w:w="6510" w:type="dxa"/>
            <w:gridSpan w:val="5"/>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公用经费合计</w:t>
            </w:r>
          </w:p>
        </w:tc>
        <w:tc>
          <w:tcPr>
            <w:tcW w:w="713"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09" w:type="dxa"/>
            <w:gridSpan w:val="9"/>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注：本表反映部门本年度一般公共预算财政拨款基本支出明细情况。</w:t>
            </w:r>
            <w:r>
              <w:rPr>
                <w:rStyle w:val="17"/>
                <w:rFonts w:hint="eastAsia" w:eastAsia="方正仿宋_GBK"/>
                <w:lang w:val="en-US" w:eastAsia="zh-CN" w:bidi="ar"/>
              </w:rPr>
              <w:t>部分数据由于四舍五入产生的计算误差，未做机械调整。</w:t>
            </w:r>
          </w:p>
        </w:tc>
      </w:tr>
    </w:tbl>
    <w:tbl>
      <w:tblPr>
        <w:tblStyle w:val="9"/>
        <w:tblpPr w:leftFromText="180" w:rightFromText="180" w:vertAnchor="text" w:horzAnchor="page" w:tblpX="550" w:tblpY="28"/>
        <w:tblOverlap w:val="never"/>
        <w:tblW w:w="110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27"/>
        <w:gridCol w:w="1407"/>
        <w:gridCol w:w="1192"/>
        <w:gridCol w:w="1192"/>
        <w:gridCol w:w="1411"/>
        <w:gridCol w:w="1491"/>
        <w:gridCol w:w="1297"/>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009"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009" w:type="dxa"/>
            <w:gridSpan w:val="8"/>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009" w:type="dxa"/>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公开部门：中共垫江县委机构编制委员会办公室</w:t>
            </w:r>
            <w:r>
              <w:rPr>
                <w:rFonts w:hint="eastAsia" w:ascii="方正仿宋_GBK" w:hAnsi="方正仿宋_GBK" w:cs="方正仿宋_GBK"/>
                <w:i w:val="0"/>
                <w:iCs w:val="0"/>
                <w:color w:val="000000"/>
                <w:kern w:val="0"/>
                <w:sz w:val="20"/>
                <w:szCs w:val="20"/>
                <w:u w:val="none"/>
                <w:lang w:val="en-US" w:eastAsia="zh-CN" w:bidi="ar"/>
              </w:rPr>
              <w:t xml:space="preserve">              </w:t>
            </w:r>
            <w:r>
              <w:rPr>
                <w:rFonts w:hint="eastAsia" w:ascii="方正仿宋_GBK" w:hAnsi="方正仿宋_GBK" w:eastAsia="方正仿宋_GBK" w:cs="方正仿宋_GBK"/>
                <w:i w:val="0"/>
                <w:iCs w:val="0"/>
                <w:color w:val="000000"/>
                <w:kern w:val="0"/>
                <w:sz w:val="20"/>
                <w:szCs w:val="20"/>
                <w:u w:val="none"/>
                <w:lang w:val="en-US" w:eastAsia="zh-CN" w:bidi="ar"/>
              </w:rPr>
              <w:t>2021年度</w:t>
            </w:r>
            <w:r>
              <w:rPr>
                <w:rFonts w:hint="eastAsia" w:ascii="方正仿宋_GBK" w:hAnsi="方正仿宋_GBK" w:cs="方正仿宋_GBK"/>
                <w:i w:val="0"/>
                <w:iCs w:val="0"/>
                <w:color w:val="000000"/>
                <w:kern w:val="0"/>
                <w:sz w:val="20"/>
                <w:szCs w:val="20"/>
                <w:u w:val="none"/>
                <w:lang w:val="en-US" w:eastAsia="zh-CN" w:bidi="ar"/>
              </w:rPr>
              <w:t xml:space="preserve">                                  </w:t>
            </w:r>
            <w:r>
              <w:rPr>
                <w:rFonts w:hint="eastAsia" w:ascii="方正仿宋_GBK" w:hAnsi="方正仿宋_GBK" w:eastAsia="方正仿宋_GBK" w:cs="方正仿宋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年初结转和结余</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本年收入</w:t>
            </w:r>
          </w:p>
        </w:tc>
        <w:tc>
          <w:tcPr>
            <w:tcW w:w="41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本年支出</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功能分类科目编码</w:t>
            </w:r>
          </w:p>
        </w:tc>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项目（按“项”级功能分类科目）</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4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合计</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基本支出</w:t>
            </w:r>
          </w:p>
        </w:tc>
        <w:tc>
          <w:tcPr>
            <w:tcW w:w="12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项目支出</w:t>
            </w: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合计</w:t>
            </w:r>
          </w:p>
        </w:tc>
        <w:tc>
          <w:tcPr>
            <w:tcW w:w="119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119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141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129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119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0"/>
                <w:szCs w:val="20"/>
                <w:u w:val="none"/>
              </w:rPr>
            </w:pPr>
          </w:p>
        </w:tc>
        <w:tc>
          <w:tcPr>
            <w:tcW w:w="140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0"/>
                <w:szCs w:val="20"/>
                <w:u w:val="none"/>
              </w:rPr>
            </w:pPr>
          </w:p>
        </w:tc>
        <w:tc>
          <w:tcPr>
            <w:tcW w:w="119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119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141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149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129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1192"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09" w:type="dxa"/>
            <w:gridSpan w:val="8"/>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备注：本表反映部门本年度政府性基金预算财政拨款收入支出及结转和结余情况。本</w:t>
            </w:r>
            <w:r>
              <w:rPr>
                <w:rFonts w:hint="eastAsia" w:ascii="方正仿宋_GBK" w:hAnsi="方正仿宋_GBK" w:cs="方正仿宋_GBK"/>
                <w:i w:val="0"/>
                <w:iCs w:val="0"/>
                <w:color w:val="000000"/>
                <w:kern w:val="0"/>
                <w:sz w:val="20"/>
                <w:szCs w:val="20"/>
                <w:u w:val="none"/>
                <w:lang w:val="en-US" w:eastAsia="zh-CN" w:bidi="ar"/>
              </w:rPr>
              <w:t>部门</w:t>
            </w:r>
            <w:r>
              <w:rPr>
                <w:rFonts w:hint="eastAsia" w:ascii="方正仿宋_GBK" w:hAnsi="方正仿宋_GBK" w:eastAsia="方正仿宋_GBK" w:cs="方正仿宋_GBK"/>
                <w:i w:val="0"/>
                <w:iCs w:val="0"/>
                <w:color w:val="000000"/>
                <w:kern w:val="0"/>
                <w:sz w:val="20"/>
                <w:szCs w:val="20"/>
                <w:u w:val="none"/>
                <w:lang w:val="en-US" w:eastAsia="zh-CN" w:bidi="ar"/>
              </w:rPr>
              <w:t>无政府性基金收入，也没有使用政府性基金安排的支出，故本表无数据。</w:t>
            </w:r>
          </w:p>
        </w:tc>
      </w:tr>
    </w:tbl>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tbl>
      <w:tblPr>
        <w:tblStyle w:val="9"/>
        <w:tblpPr w:leftFromText="180" w:rightFromText="180" w:vertAnchor="text" w:horzAnchor="page" w:tblpX="490" w:tblpY="-4"/>
        <w:tblOverlap w:val="never"/>
        <w:tblW w:w="110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5"/>
        <w:gridCol w:w="1680"/>
        <w:gridCol w:w="1049"/>
        <w:gridCol w:w="1049"/>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009"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09" w:type="dxa"/>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009" w:type="dxa"/>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公开部门：中共垫江县委机构编制委员会办公室</w:t>
            </w:r>
            <w:r>
              <w:rPr>
                <w:rFonts w:hint="eastAsia" w:ascii="方正仿宋_GBK" w:hAnsi="方正仿宋_GBK" w:cs="方正仿宋_GBK"/>
                <w:i w:val="0"/>
                <w:iCs w:val="0"/>
                <w:color w:val="000000"/>
                <w:kern w:val="0"/>
                <w:sz w:val="20"/>
                <w:szCs w:val="20"/>
                <w:u w:val="none"/>
                <w:lang w:val="en-US" w:eastAsia="zh-CN" w:bidi="ar"/>
              </w:rPr>
              <w:t xml:space="preserve">              </w:t>
            </w:r>
            <w:r>
              <w:rPr>
                <w:rFonts w:hint="eastAsia" w:ascii="方正仿宋_GBK" w:hAnsi="方正仿宋_GBK" w:eastAsia="方正仿宋_GBK" w:cs="方正仿宋_GBK"/>
                <w:i w:val="0"/>
                <w:iCs w:val="0"/>
                <w:color w:val="000000"/>
                <w:kern w:val="0"/>
                <w:sz w:val="20"/>
                <w:szCs w:val="20"/>
                <w:u w:val="none"/>
                <w:lang w:val="en-US" w:eastAsia="zh-CN" w:bidi="ar"/>
              </w:rPr>
              <w:t>2021年度</w:t>
            </w:r>
            <w:r>
              <w:rPr>
                <w:rFonts w:hint="eastAsia" w:ascii="方正仿宋_GBK" w:hAnsi="方正仿宋_GBK" w:cs="方正仿宋_GBK"/>
                <w:i w:val="0"/>
                <w:iCs w:val="0"/>
                <w:color w:val="000000"/>
                <w:kern w:val="0"/>
                <w:sz w:val="20"/>
                <w:szCs w:val="20"/>
                <w:u w:val="none"/>
                <w:lang w:val="en-US" w:eastAsia="zh-CN" w:bidi="ar"/>
              </w:rPr>
              <w:t xml:space="preserve">                                  </w:t>
            </w:r>
            <w:r>
              <w:rPr>
                <w:rFonts w:hint="eastAsia" w:ascii="方正仿宋_GBK" w:hAnsi="方正仿宋_GBK" w:eastAsia="方正仿宋_GBK" w:cs="方正仿宋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w:t>
            </w:r>
          </w:p>
        </w:tc>
        <w:tc>
          <w:tcPr>
            <w:tcW w:w="39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功能分类科目编码</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科目名称</w:t>
            </w:r>
          </w:p>
        </w:tc>
        <w:tc>
          <w:tcPr>
            <w:tcW w:w="1049"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合计</w:t>
            </w:r>
          </w:p>
        </w:tc>
        <w:tc>
          <w:tcPr>
            <w:tcW w:w="1049"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基本支出</w:t>
            </w:r>
          </w:p>
        </w:tc>
        <w:tc>
          <w:tcPr>
            <w:tcW w:w="182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049"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049"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82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0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049"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049"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c>
          <w:tcPr>
            <w:tcW w:w="182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合计</w:t>
            </w:r>
          </w:p>
        </w:tc>
        <w:tc>
          <w:tcPr>
            <w:tcW w:w="1049"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u w:val="none"/>
              </w:rPr>
            </w:pPr>
          </w:p>
        </w:tc>
        <w:tc>
          <w:tcPr>
            <w:tcW w:w="1049"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u w:val="none"/>
              </w:rPr>
            </w:pPr>
          </w:p>
        </w:tc>
        <w:tc>
          <w:tcPr>
            <w:tcW w:w="182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0"/>
                <w:szCs w:val="20"/>
                <w:u w:val="none"/>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0"/>
                <w:szCs w:val="20"/>
                <w:u w:val="none"/>
              </w:rPr>
            </w:pPr>
          </w:p>
        </w:tc>
        <w:tc>
          <w:tcPr>
            <w:tcW w:w="1049"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1049"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182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09" w:type="dxa"/>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备注：本表反映部门本年度国有资本经营预算财政拨款支出情况。本</w:t>
            </w:r>
            <w:r>
              <w:rPr>
                <w:rFonts w:hint="eastAsia" w:ascii="方正仿宋_GBK" w:hAnsi="方正仿宋_GBK" w:cs="方正仿宋_GBK"/>
                <w:i w:val="0"/>
                <w:iCs w:val="0"/>
                <w:color w:val="000000"/>
                <w:kern w:val="0"/>
                <w:sz w:val="20"/>
                <w:szCs w:val="20"/>
                <w:u w:val="none"/>
                <w:lang w:val="en-US" w:eastAsia="zh-CN" w:bidi="ar"/>
              </w:rPr>
              <w:t>部门</w:t>
            </w:r>
            <w:r>
              <w:rPr>
                <w:rFonts w:hint="eastAsia" w:ascii="方正仿宋_GBK" w:hAnsi="方正仿宋_GBK" w:eastAsia="方正仿宋_GBK" w:cs="方正仿宋_GBK"/>
                <w:i w:val="0"/>
                <w:iCs w:val="0"/>
                <w:color w:val="000000"/>
                <w:kern w:val="0"/>
                <w:sz w:val="20"/>
                <w:szCs w:val="20"/>
                <w:u w:val="none"/>
                <w:lang w:val="en-US" w:eastAsia="zh-CN" w:bidi="ar"/>
              </w:rPr>
              <w:t>无国有资本经营预算财政拨款支出，故本表无数据。</w:t>
            </w:r>
          </w:p>
        </w:tc>
      </w:tr>
    </w:tbl>
    <w:p>
      <w:pPr>
        <w:pStyle w:val="2"/>
        <w:ind w:left="0" w:leftChars="0" w:firstLine="0" w:firstLineChars="0"/>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ind w:left="0" w:leftChars="0" w:firstLine="0" w:firstLineChars="0"/>
        <w:rPr>
          <w:rFonts w:hint="eastAsia"/>
        </w:rPr>
      </w:pPr>
    </w:p>
    <w:tbl>
      <w:tblPr>
        <w:tblStyle w:val="9"/>
        <w:tblW w:w="110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74"/>
        <w:gridCol w:w="897"/>
        <w:gridCol w:w="825"/>
        <w:gridCol w:w="4935"/>
        <w:gridCol w:w="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1009"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09" w:type="dxa"/>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09" w:type="dxa"/>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公开部门：中共垫江县委机构编制委员会办公室</w:t>
            </w:r>
            <w:r>
              <w:rPr>
                <w:rFonts w:hint="eastAsia" w:ascii="方正仿宋_GBK" w:hAnsi="方正仿宋_GBK" w:cs="方正仿宋_GBK"/>
                <w:i w:val="0"/>
                <w:iCs w:val="0"/>
                <w:color w:val="000000"/>
                <w:kern w:val="0"/>
                <w:sz w:val="20"/>
                <w:szCs w:val="20"/>
                <w:u w:val="none"/>
                <w:lang w:val="en-US" w:eastAsia="zh-CN" w:bidi="ar"/>
              </w:rPr>
              <w:t xml:space="preserve">           </w:t>
            </w:r>
            <w:r>
              <w:rPr>
                <w:rFonts w:hint="eastAsia" w:ascii="方正仿宋_GBK" w:hAnsi="方正仿宋_GBK" w:eastAsia="方正仿宋_GBK" w:cs="方正仿宋_GBK"/>
                <w:i w:val="0"/>
                <w:iCs w:val="0"/>
                <w:color w:val="000000"/>
                <w:kern w:val="0"/>
                <w:sz w:val="20"/>
                <w:szCs w:val="20"/>
                <w:u w:val="none"/>
                <w:lang w:val="en-US" w:eastAsia="zh-CN" w:bidi="ar"/>
              </w:rPr>
              <w:t>2021年度</w:t>
            </w:r>
            <w:r>
              <w:rPr>
                <w:rFonts w:hint="eastAsia" w:ascii="方正仿宋_GBK" w:hAnsi="方正仿宋_GBK" w:cs="方正仿宋_GBK"/>
                <w:i w:val="0"/>
                <w:iCs w:val="0"/>
                <w:color w:val="000000"/>
                <w:kern w:val="0"/>
                <w:sz w:val="20"/>
                <w:szCs w:val="20"/>
                <w:u w:val="none"/>
                <w:lang w:val="en-US" w:eastAsia="zh-CN" w:bidi="ar"/>
              </w:rPr>
              <w:t xml:space="preserve">                                     </w:t>
            </w:r>
            <w:r>
              <w:rPr>
                <w:rFonts w:hint="eastAsia" w:ascii="方正仿宋_GBK" w:hAnsi="方正仿宋_GBK" w:eastAsia="方正仿宋_GBK" w:cs="方正仿宋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  目</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预算数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决算数</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  目</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一、“三公”经费支出</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四、机关运行经费</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（一）支出合计</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1.40</w:t>
            </w:r>
          </w:p>
        </w:tc>
        <w:tc>
          <w:tcPr>
            <w:tcW w:w="8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0.42</w:t>
            </w: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（一）行政单位</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1．因公出国（境）费</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（二）参照公务员法管理事业单位</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2．公务用车购置及运行维护费</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五、国有资产占用情况</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（1）公务用车购置费</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（一）车辆数合计（辆）</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（2）公务用车运行维护费</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1.副部（省）级及以上领导用车</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3．公务接待费</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1.40</w:t>
            </w:r>
          </w:p>
        </w:tc>
        <w:tc>
          <w:tcPr>
            <w:tcW w:w="8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0.42</w:t>
            </w: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2.主要领导干部用车</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（1）国内接待费</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0.42</w:t>
            </w: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3.机要通信用车</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其中：外事接待费</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4.应急保障用车</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（2）国（境）外接待费</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5.执法执勤用车</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（二）相关统计数</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6.特种专业技术用车</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1．因公出国（境）团组数（个）</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7.离退休干部用车</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2．因公出国（境）人次数（人）</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8.其他用车</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3．公务用车购置数（辆）</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（二）单价50万元（含）以上通用设备（台，套）</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4．公务用车保有量（辆）</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（三）单价100万（含）元以上专用设备（台，套）</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5．国内公务接待批次（个）</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7</w:t>
            </w: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六、政府采购支出信息</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其中：外事接待批次（个）</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（一）政府采购支出合计</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6．国内公务接待人次（人）</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29</w:t>
            </w: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1．政府采购货物支出</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其中：外事接待人次（人）</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2．政府采购工程支出</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7．国（境）外公务接待批次（个）</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3．政府采购服务支出</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8．国（境）外公务接待人次（人）</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（二）政府采购授予中小企业合同金额</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二、会议费</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0.10</w:t>
            </w: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其中：授予小微企业合同金额</w:t>
            </w: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7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三、培训费</w:t>
            </w:r>
          </w:p>
        </w:tc>
        <w:tc>
          <w:tcPr>
            <w:tcW w:w="897"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82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0.56</w:t>
            </w:r>
          </w:p>
        </w:tc>
        <w:tc>
          <w:tcPr>
            <w:tcW w:w="4935"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0"/>
                <w:szCs w:val="20"/>
                <w:u w:val="none"/>
              </w:rPr>
            </w:pPr>
          </w:p>
        </w:tc>
        <w:tc>
          <w:tcPr>
            <w:tcW w:w="878"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09" w:type="dxa"/>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备注：预算数年初部门预算批复数，决算数包括当年财政拨款预算和以前年度结转结余资金安排的实际支出。</w:t>
            </w:r>
          </w:p>
        </w:tc>
      </w:tr>
    </w:tbl>
    <w:p>
      <w:pPr>
        <w:pStyle w:val="2"/>
        <w:keepNext w:val="0"/>
        <w:keepLines w:val="0"/>
        <w:pageBreakBefore w:val="0"/>
        <w:widowControl/>
        <w:kinsoku/>
        <w:wordWrap/>
        <w:overflowPunct/>
        <w:topLinePunct w:val="0"/>
        <w:autoSpaceDE/>
        <w:autoSpaceDN/>
        <w:bidi w:val="0"/>
        <w:adjustRightInd/>
        <w:snapToGrid/>
        <w:spacing w:line="240" w:lineRule="exact"/>
        <w:ind w:left="0" w:leftChars="0" w:firstLine="0" w:firstLineChars="0"/>
        <w:rPr>
          <w:rFonts w:hint="eastAsia"/>
        </w:rPr>
      </w:pPr>
    </w:p>
    <w:sectPr>
      <w:pgSz w:w="11906" w:h="16838"/>
      <w:pgMar w:top="567" w:right="510" w:bottom="567" w:left="51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ind w:firstLine="560" w:firstLineChars="0"/>
      <w:jc w:val="right"/>
      <w:rPr>
        <w:rFonts w:hint="eastAsia" w:ascii="方正仿宋_GBK"/>
        <w:sz w:val="28"/>
        <w:szCs w:val="28"/>
      </w:rPr>
    </w:pPr>
    <w:r>
      <w:rPr>
        <w:rFonts w:hint="eastAsia" w:ascii="方正黑体_GBK" w:eastAsia="方正黑体_GBK"/>
        <w:sz w:val="28"/>
        <w:szCs w:val="32"/>
      </w:rPr>
      <w:t xml:space="preserve"> </w:t>
    </w:r>
    <w:r>
      <w:rPr>
        <w:rFonts w:hint="eastAsia" w:ascii="方正仿宋_GBK"/>
        <w:sz w:val="28"/>
        <w:szCs w:val="28"/>
      </w:rPr>
      <w:t xml:space="preserve"> — </w:t>
    </w:r>
    <w:r>
      <w:rPr>
        <w:rFonts w:hint="eastAsia" w:ascii="方正仿宋_GBK"/>
        <w:sz w:val="28"/>
        <w:szCs w:val="28"/>
      </w:rPr>
      <w:fldChar w:fldCharType="begin"/>
    </w:r>
    <w:r>
      <w:rPr>
        <w:rFonts w:hint="eastAsia" w:ascii="方正仿宋_GBK"/>
        <w:sz w:val="28"/>
        <w:szCs w:val="28"/>
      </w:rPr>
      <w:instrText xml:space="preserve">PAGE   \* MERGEFORMAT</w:instrText>
    </w:r>
    <w:r>
      <w:rPr>
        <w:rFonts w:hint="eastAsia" w:ascii="方正仿宋_GBK"/>
        <w:sz w:val="28"/>
        <w:szCs w:val="28"/>
      </w:rPr>
      <w:fldChar w:fldCharType="separate"/>
    </w:r>
    <w:r>
      <w:rPr>
        <w:rFonts w:ascii="方正仿宋_GBK"/>
        <w:sz w:val="28"/>
        <w:szCs w:val="28"/>
        <w:lang w:val="zh-CN"/>
      </w:rPr>
      <w:t>1</w:t>
    </w:r>
    <w:r>
      <w:rPr>
        <w:rFonts w:hint="eastAsia" w:ascii="方正仿宋_GBK"/>
        <w:sz w:val="28"/>
        <w:szCs w:val="28"/>
      </w:rPr>
      <w:fldChar w:fldCharType="end"/>
    </w:r>
    <w:r>
      <w:rPr>
        <w:rFonts w:hint="eastAsia" w:ascii="方正仿宋_GBK"/>
        <w:sz w:val="28"/>
        <w:szCs w:val="28"/>
      </w:rPr>
      <w:t xml:space="preserve"> </w:t>
    </w:r>
    <w:r>
      <w:rPr>
        <w:rFonts w:hint="eastAsia" w:ascii="方正黑体_GBK" w:eastAsia="方正黑体_GBK"/>
        <w:szCs w:val="3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40" w:firstLineChars="0"/>
      <w:rPr>
        <w:rFonts w:hint="eastAsia" w:ascii="方正仿宋_GBK"/>
        <w:sz w:val="28"/>
        <w:szCs w:val="28"/>
      </w:rPr>
    </w:pPr>
    <w:r>
      <w:rPr>
        <w:rFonts w:hint="eastAsia" w:ascii="方正仿宋_GBK"/>
        <w:sz w:val="28"/>
        <w:szCs w:val="28"/>
      </w:rPr>
      <w:t xml:space="preserve">— </w:t>
    </w:r>
    <w:r>
      <w:rPr>
        <w:rFonts w:hint="eastAsia" w:ascii="方正仿宋_GBK"/>
        <w:sz w:val="28"/>
        <w:szCs w:val="28"/>
      </w:rPr>
      <w:fldChar w:fldCharType="begin"/>
    </w:r>
    <w:r>
      <w:rPr>
        <w:rFonts w:hint="eastAsia" w:ascii="方正仿宋_GBK"/>
        <w:sz w:val="28"/>
        <w:szCs w:val="28"/>
      </w:rPr>
      <w:instrText xml:space="preserve">PAGE   \* MERGEFORMAT</w:instrText>
    </w:r>
    <w:r>
      <w:rPr>
        <w:rFonts w:hint="eastAsia" w:ascii="方正仿宋_GBK"/>
        <w:sz w:val="28"/>
        <w:szCs w:val="28"/>
      </w:rPr>
      <w:fldChar w:fldCharType="separate"/>
    </w:r>
    <w:r>
      <w:rPr>
        <w:rFonts w:ascii="方正仿宋_GBK"/>
        <w:sz w:val="28"/>
        <w:szCs w:val="28"/>
        <w:lang w:val="zh-CN"/>
      </w:rPr>
      <w:t>2</w:t>
    </w:r>
    <w:r>
      <w:rPr>
        <w:rFonts w:hint="eastAsia" w:ascii="方正仿宋_GBK"/>
        <w:sz w:val="28"/>
        <w:szCs w:val="28"/>
      </w:rPr>
      <w:fldChar w:fldCharType="end"/>
    </w:r>
    <w:r>
      <w:rPr>
        <w:rFonts w:hint="eastAsia" w:ascii="方正仿宋_GBK"/>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0"/>
  <w:bordersDoNotSurroundFooter w:val="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707F5"/>
    <w:rsid w:val="00193163"/>
    <w:rsid w:val="002C69AC"/>
    <w:rsid w:val="003C75FD"/>
    <w:rsid w:val="008946F3"/>
    <w:rsid w:val="00F752CB"/>
    <w:rsid w:val="00FD75C1"/>
    <w:rsid w:val="01165423"/>
    <w:rsid w:val="01297BA5"/>
    <w:rsid w:val="01523308"/>
    <w:rsid w:val="01586A98"/>
    <w:rsid w:val="018C0BE2"/>
    <w:rsid w:val="01BA643D"/>
    <w:rsid w:val="01DB4B48"/>
    <w:rsid w:val="02171754"/>
    <w:rsid w:val="02546304"/>
    <w:rsid w:val="025E23A2"/>
    <w:rsid w:val="0273615A"/>
    <w:rsid w:val="02CB7AF6"/>
    <w:rsid w:val="02D9540D"/>
    <w:rsid w:val="03222049"/>
    <w:rsid w:val="03493579"/>
    <w:rsid w:val="03A97014"/>
    <w:rsid w:val="03AD7D64"/>
    <w:rsid w:val="03C106DC"/>
    <w:rsid w:val="03DA0229"/>
    <w:rsid w:val="043D29B2"/>
    <w:rsid w:val="045F7B1D"/>
    <w:rsid w:val="047B4D68"/>
    <w:rsid w:val="04BF716E"/>
    <w:rsid w:val="04C355B3"/>
    <w:rsid w:val="05046570"/>
    <w:rsid w:val="051305FE"/>
    <w:rsid w:val="05184D10"/>
    <w:rsid w:val="05222476"/>
    <w:rsid w:val="054718CA"/>
    <w:rsid w:val="056460E8"/>
    <w:rsid w:val="056A6BF8"/>
    <w:rsid w:val="05B32D04"/>
    <w:rsid w:val="05C60524"/>
    <w:rsid w:val="05CE0E93"/>
    <w:rsid w:val="06173C80"/>
    <w:rsid w:val="061B2591"/>
    <w:rsid w:val="06723B0A"/>
    <w:rsid w:val="06744AC2"/>
    <w:rsid w:val="06C231ED"/>
    <w:rsid w:val="06CF77E1"/>
    <w:rsid w:val="06D92144"/>
    <w:rsid w:val="070516DC"/>
    <w:rsid w:val="073E29A8"/>
    <w:rsid w:val="078D255D"/>
    <w:rsid w:val="079159BA"/>
    <w:rsid w:val="07E85192"/>
    <w:rsid w:val="07F11708"/>
    <w:rsid w:val="07FC4F95"/>
    <w:rsid w:val="07FE6881"/>
    <w:rsid w:val="0858753F"/>
    <w:rsid w:val="087B4059"/>
    <w:rsid w:val="08907FDF"/>
    <w:rsid w:val="08C337C5"/>
    <w:rsid w:val="08D40E0B"/>
    <w:rsid w:val="095301FD"/>
    <w:rsid w:val="09756B91"/>
    <w:rsid w:val="09B123A2"/>
    <w:rsid w:val="09B436C7"/>
    <w:rsid w:val="09D1229D"/>
    <w:rsid w:val="09F3053C"/>
    <w:rsid w:val="0A1358C4"/>
    <w:rsid w:val="0A37461C"/>
    <w:rsid w:val="0A3B3C16"/>
    <w:rsid w:val="0B0D76CB"/>
    <w:rsid w:val="0B2B48AE"/>
    <w:rsid w:val="0B2D46D4"/>
    <w:rsid w:val="0B575B26"/>
    <w:rsid w:val="0B6A4BB4"/>
    <w:rsid w:val="0B7375EB"/>
    <w:rsid w:val="0B90205A"/>
    <w:rsid w:val="0BCF0474"/>
    <w:rsid w:val="0C444981"/>
    <w:rsid w:val="0C566E24"/>
    <w:rsid w:val="0C5813C4"/>
    <w:rsid w:val="0C6E1D70"/>
    <w:rsid w:val="0CC22D6E"/>
    <w:rsid w:val="0CC803A3"/>
    <w:rsid w:val="0CE026B8"/>
    <w:rsid w:val="0D005D17"/>
    <w:rsid w:val="0D7E156C"/>
    <w:rsid w:val="0D7F203C"/>
    <w:rsid w:val="0D960C8D"/>
    <w:rsid w:val="0D99354A"/>
    <w:rsid w:val="0DBF6EB6"/>
    <w:rsid w:val="0E0E5E66"/>
    <w:rsid w:val="0E2B4DE4"/>
    <w:rsid w:val="0E3A6C2B"/>
    <w:rsid w:val="0E590A9F"/>
    <w:rsid w:val="0E5B3CF1"/>
    <w:rsid w:val="0E6E481C"/>
    <w:rsid w:val="0E72769A"/>
    <w:rsid w:val="0ED17AE7"/>
    <w:rsid w:val="0F190D2F"/>
    <w:rsid w:val="0F1946AF"/>
    <w:rsid w:val="0F5F1C42"/>
    <w:rsid w:val="0F8B67FE"/>
    <w:rsid w:val="0F9C6EF5"/>
    <w:rsid w:val="0FE31056"/>
    <w:rsid w:val="0FE47347"/>
    <w:rsid w:val="0FEB33ED"/>
    <w:rsid w:val="0FEE1D54"/>
    <w:rsid w:val="104F61A8"/>
    <w:rsid w:val="107E7B78"/>
    <w:rsid w:val="10AF0ECE"/>
    <w:rsid w:val="10B21962"/>
    <w:rsid w:val="10DA5374"/>
    <w:rsid w:val="10F709B3"/>
    <w:rsid w:val="11893C5F"/>
    <w:rsid w:val="119A4A71"/>
    <w:rsid w:val="11E309B9"/>
    <w:rsid w:val="11EF4BDE"/>
    <w:rsid w:val="12021C12"/>
    <w:rsid w:val="123951B0"/>
    <w:rsid w:val="127C4D9E"/>
    <w:rsid w:val="12822A82"/>
    <w:rsid w:val="12A37795"/>
    <w:rsid w:val="12F8546F"/>
    <w:rsid w:val="130769B0"/>
    <w:rsid w:val="13A93146"/>
    <w:rsid w:val="13EF3C80"/>
    <w:rsid w:val="14334F48"/>
    <w:rsid w:val="14405E9F"/>
    <w:rsid w:val="145B05D5"/>
    <w:rsid w:val="14B91689"/>
    <w:rsid w:val="15A77C7B"/>
    <w:rsid w:val="161E4677"/>
    <w:rsid w:val="16407118"/>
    <w:rsid w:val="166B6567"/>
    <w:rsid w:val="16C5170C"/>
    <w:rsid w:val="174166D2"/>
    <w:rsid w:val="1788054B"/>
    <w:rsid w:val="17C82F0B"/>
    <w:rsid w:val="17F20D13"/>
    <w:rsid w:val="180E477D"/>
    <w:rsid w:val="181B49CB"/>
    <w:rsid w:val="186E40B6"/>
    <w:rsid w:val="1881137E"/>
    <w:rsid w:val="18BB5D97"/>
    <w:rsid w:val="190409C1"/>
    <w:rsid w:val="1912616C"/>
    <w:rsid w:val="192C5085"/>
    <w:rsid w:val="19456A0E"/>
    <w:rsid w:val="19523A71"/>
    <w:rsid w:val="196D0957"/>
    <w:rsid w:val="197D03CC"/>
    <w:rsid w:val="197F0788"/>
    <w:rsid w:val="19B12454"/>
    <w:rsid w:val="1A4168C1"/>
    <w:rsid w:val="1A4C7199"/>
    <w:rsid w:val="1A794103"/>
    <w:rsid w:val="1A815789"/>
    <w:rsid w:val="1A873B5F"/>
    <w:rsid w:val="1AB95EAC"/>
    <w:rsid w:val="1AD40D67"/>
    <w:rsid w:val="1AE90B43"/>
    <w:rsid w:val="1B047AB9"/>
    <w:rsid w:val="1B577516"/>
    <w:rsid w:val="1B7C54FE"/>
    <w:rsid w:val="1B8B481F"/>
    <w:rsid w:val="1B8F2308"/>
    <w:rsid w:val="1BB36586"/>
    <w:rsid w:val="1C16322C"/>
    <w:rsid w:val="1C625C9F"/>
    <w:rsid w:val="1C756C79"/>
    <w:rsid w:val="1C9E7297"/>
    <w:rsid w:val="1CC14E02"/>
    <w:rsid w:val="1CDB7927"/>
    <w:rsid w:val="1D1D77E5"/>
    <w:rsid w:val="1D5026AF"/>
    <w:rsid w:val="1D7325C2"/>
    <w:rsid w:val="1D9C3D26"/>
    <w:rsid w:val="1DBD272A"/>
    <w:rsid w:val="1DC77B20"/>
    <w:rsid w:val="1DDB0A58"/>
    <w:rsid w:val="1DE17735"/>
    <w:rsid w:val="1DFE202A"/>
    <w:rsid w:val="1E1A7ED1"/>
    <w:rsid w:val="1E33681D"/>
    <w:rsid w:val="1E801C08"/>
    <w:rsid w:val="1ED04C04"/>
    <w:rsid w:val="1F217EFD"/>
    <w:rsid w:val="1F2E2E77"/>
    <w:rsid w:val="1F2F58EA"/>
    <w:rsid w:val="1F4B7A9B"/>
    <w:rsid w:val="1F590973"/>
    <w:rsid w:val="1F66773E"/>
    <w:rsid w:val="1F6D5121"/>
    <w:rsid w:val="1F733EB0"/>
    <w:rsid w:val="1F7C7861"/>
    <w:rsid w:val="1F8002B6"/>
    <w:rsid w:val="20077DB8"/>
    <w:rsid w:val="201C1C4B"/>
    <w:rsid w:val="205A2350"/>
    <w:rsid w:val="205F7441"/>
    <w:rsid w:val="20686980"/>
    <w:rsid w:val="20D87C58"/>
    <w:rsid w:val="21447979"/>
    <w:rsid w:val="21D765EF"/>
    <w:rsid w:val="21F33B0E"/>
    <w:rsid w:val="22051667"/>
    <w:rsid w:val="22591DE1"/>
    <w:rsid w:val="225B3C7A"/>
    <w:rsid w:val="22A54B8E"/>
    <w:rsid w:val="22C72083"/>
    <w:rsid w:val="22FC4FD3"/>
    <w:rsid w:val="22FE3A5C"/>
    <w:rsid w:val="23016F6A"/>
    <w:rsid w:val="232D7EB4"/>
    <w:rsid w:val="23704252"/>
    <w:rsid w:val="23764D63"/>
    <w:rsid w:val="23845CF7"/>
    <w:rsid w:val="23AC4D49"/>
    <w:rsid w:val="24112CC6"/>
    <w:rsid w:val="242256E7"/>
    <w:rsid w:val="242C3342"/>
    <w:rsid w:val="246C363D"/>
    <w:rsid w:val="24AC713F"/>
    <w:rsid w:val="24AF05D9"/>
    <w:rsid w:val="24DF6D3E"/>
    <w:rsid w:val="24E94533"/>
    <w:rsid w:val="251F1A11"/>
    <w:rsid w:val="25222BA3"/>
    <w:rsid w:val="25371908"/>
    <w:rsid w:val="253C07D5"/>
    <w:rsid w:val="254D42CD"/>
    <w:rsid w:val="255F3A56"/>
    <w:rsid w:val="25B3761B"/>
    <w:rsid w:val="25D4190A"/>
    <w:rsid w:val="25D75B98"/>
    <w:rsid w:val="25E835F7"/>
    <w:rsid w:val="25EE48A5"/>
    <w:rsid w:val="260D6801"/>
    <w:rsid w:val="26212C30"/>
    <w:rsid w:val="26253552"/>
    <w:rsid w:val="262A0A0E"/>
    <w:rsid w:val="26427FCB"/>
    <w:rsid w:val="26461E90"/>
    <w:rsid w:val="265C7082"/>
    <w:rsid w:val="265E33E0"/>
    <w:rsid w:val="26A677CE"/>
    <w:rsid w:val="26BA5091"/>
    <w:rsid w:val="26EA789D"/>
    <w:rsid w:val="26F8582A"/>
    <w:rsid w:val="274339B0"/>
    <w:rsid w:val="274E5BB3"/>
    <w:rsid w:val="27B21860"/>
    <w:rsid w:val="27B60263"/>
    <w:rsid w:val="27C61FA5"/>
    <w:rsid w:val="28F0166F"/>
    <w:rsid w:val="290210BB"/>
    <w:rsid w:val="2918139A"/>
    <w:rsid w:val="29257676"/>
    <w:rsid w:val="29555FD4"/>
    <w:rsid w:val="29584855"/>
    <w:rsid w:val="29752D70"/>
    <w:rsid w:val="29CE357C"/>
    <w:rsid w:val="29FE2C48"/>
    <w:rsid w:val="2A0C21B0"/>
    <w:rsid w:val="2A6E18ED"/>
    <w:rsid w:val="2A904ADC"/>
    <w:rsid w:val="2AA96E48"/>
    <w:rsid w:val="2AAB4964"/>
    <w:rsid w:val="2AD32E35"/>
    <w:rsid w:val="2AD45F4B"/>
    <w:rsid w:val="2AD96079"/>
    <w:rsid w:val="2AF02C95"/>
    <w:rsid w:val="2B2756E0"/>
    <w:rsid w:val="2B483DB7"/>
    <w:rsid w:val="2B554891"/>
    <w:rsid w:val="2B953458"/>
    <w:rsid w:val="2B9B1287"/>
    <w:rsid w:val="2C2A2857"/>
    <w:rsid w:val="2C821F89"/>
    <w:rsid w:val="2C9E449E"/>
    <w:rsid w:val="2CAE5285"/>
    <w:rsid w:val="2CB81F7A"/>
    <w:rsid w:val="2CF054F0"/>
    <w:rsid w:val="2D3F3D71"/>
    <w:rsid w:val="2D4F09A0"/>
    <w:rsid w:val="2D855A6E"/>
    <w:rsid w:val="2D8D2101"/>
    <w:rsid w:val="2DD45749"/>
    <w:rsid w:val="2DEA0479"/>
    <w:rsid w:val="2DFF0063"/>
    <w:rsid w:val="2E3056A6"/>
    <w:rsid w:val="2E361489"/>
    <w:rsid w:val="2E766285"/>
    <w:rsid w:val="2EA96986"/>
    <w:rsid w:val="2EC03D9D"/>
    <w:rsid w:val="2F111334"/>
    <w:rsid w:val="2F1359B8"/>
    <w:rsid w:val="2F1A0157"/>
    <w:rsid w:val="2F217652"/>
    <w:rsid w:val="2F4451F8"/>
    <w:rsid w:val="2FD236F9"/>
    <w:rsid w:val="2FDF0E3C"/>
    <w:rsid w:val="30296463"/>
    <w:rsid w:val="30487809"/>
    <w:rsid w:val="304F654A"/>
    <w:rsid w:val="30DA5A26"/>
    <w:rsid w:val="30F037DA"/>
    <w:rsid w:val="30F613C0"/>
    <w:rsid w:val="3141344D"/>
    <w:rsid w:val="316548F4"/>
    <w:rsid w:val="31B40A53"/>
    <w:rsid w:val="32137476"/>
    <w:rsid w:val="32770208"/>
    <w:rsid w:val="32842185"/>
    <w:rsid w:val="329D40D2"/>
    <w:rsid w:val="331C2649"/>
    <w:rsid w:val="33261A45"/>
    <w:rsid w:val="333C345E"/>
    <w:rsid w:val="3370032C"/>
    <w:rsid w:val="33800D81"/>
    <w:rsid w:val="33977775"/>
    <w:rsid w:val="339E4978"/>
    <w:rsid w:val="33A3617A"/>
    <w:rsid w:val="33A6645E"/>
    <w:rsid w:val="33F81602"/>
    <w:rsid w:val="33FA5130"/>
    <w:rsid w:val="34217015"/>
    <w:rsid w:val="3436528D"/>
    <w:rsid w:val="346C355F"/>
    <w:rsid w:val="3474601E"/>
    <w:rsid w:val="34870896"/>
    <w:rsid w:val="34C13744"/>
    <w:rsid w:val="34F52E5A"/>
    <w:rsid w:val="34F7163F"/>
    <w:rsid w:val="35153EFC"/>
    <w:rsid w:val="35895E28"/>
    <w:rsid w:val="35B14DE2"/>
    <w:rsid w:val="35CE7653"/>
    <w:rsid w:val="35D9529A"/>
    <w:rsid w:val="35DE584A"/>
    <w:rsid w:val="35E1272B"/>
    <w:rsid w:val="35E17A6D"/>
    <w:rsid w:val="366102BA"/>
    <w:rsid w:val="36A213F6"/>
    <w:rsid w:val="36D12735"/>
    <w:rsid w:val="36F304DA"/>
    <w:rsid w:val="37105A5F"/>
    <w:rsid w:val="371971AB"/>
    <w:rsid w:val="37966458"/>
    <w:rsid w:val="37994B9B"/>
    <w:rsid w:val="37DE1AAC"/>
    <w:rsid w:val="37E90DA2"/>
    <w:rsid w:val="37F973EE"/>
    <w:rsid w:val="37FF7936"/>
    <w:rsid w:val="38051397"/>
    <w:rsid w:val="38353335"/>
    <w:rsid w:val="3846409C"/>
    <w:rsid w:val="38B72137"/>
    <w:rsid w:val="38CF0804"/>
    <w:rsid w:val="38E27F29"/>
    <w:rsid w:val="392C0A4A"/>
    <w:rsid w:val="399470DA"/>
    <w:rsid w:val="399473A3"/>
    <w:rsid w:val="39973D9E"/>
    <w:rsid w:val="39982969"/>
    <w:rsid w:val="39C6751F"/>
    <w:rsid w:val="39DA7BA5"/>
    <w:rsid w:val="3A1A6209"/>
    <w:rsid w:val="3A4E073D"/>
    <w:rsid w:val="3A800E3F"/>
    <w:rsid w:val="3A8E2FFA"/>
    <w:rsid w:val="3A914ABC"/>
    <w:rsid w:val="3AA76E78"/>
    <w:rsid w:val="3AC277FE"/>
    <w:rsid w:val="3AF41634"/>
    <w:rsid w:val="3AFA083C"/>
    <w:rsid w:val="3B6516F9"/>
    <w:rsid w:val="3B795DBE"/>
    <w:rsid w:val="3B9A1ADC"/>
    <w:rsid w:val="3C0562CE"/>
    <w:rsid w:val="3C0F5263"/>
    <w:rsid w:val="3C5F0FCA"/>
    <w:rsid w:val="3C8B5309"/>
    <w:rsid w:val="3C8C5C26"/>
    <w:rsid w:val="3CCA2F96"/>
    <w:rsid w:val="3CF507DE"/>
    <w:rsid w:val="3CFD6785"/>
    <w:rsid w:val="3D3B59FE"/>
    <w:rsid w:val="3D5C6295"/>
    <w:rsid w:val="3D6A0FA8"/>
    <w:rsid w:val="3DF80DFC"/>
    <w:rsid w:val="3E08188C"/>
    <w:rsid w:val="3E5D5933"/>
    <w:rsid w:val="3E6246A7"/>
    <w:rsid w:val="3E6D28FE"/>
    <w:rsid w:val="3EBA08A8"/>
    <w:rsid w:val="3ECB30A1"/>
    <w:rsid w:val="3EE956C0"/>
    <w:rsid w:val="3EFC2802"/>
    <w:rsid w:val="3F226537"/>
    <w:rsid w:val="3F2A5AB2"/>
    <w:rsid w:val="3F96086C"/>
    <w:rsid w:val="3FC14885"/>
    <w:rsid w:val="3FF90105"/>
    <w:rsid w:val="40164AB9"/>
    <w:rsid w:val="40510430"/>
    <w:rsid w:val="40830D58"/>
    <w:rsid w:val="40973FDA"/>
    <w:rsid w:val="40A40772"/>
    <w:rsid w:val="40BA6EBE"/>
    <w:rsid w:val="40BB459A"/>
    <w:rsid w:val="40E239B0"/>
    <w:rsid w:val="410D4099"/>
    <w:rsid w:val="41542927"/>
    <w:rsid w:val="415B7024"/>
    <w:rsid w:val="415D6DD9"/>
    <w:rsid w:val="4172025B"/>
    <w:rsid w:val="41E312AB"/>
    <w:rsid w:val="41F16A66"/>
    <w:rsid w:val="41F906F2"/>
    <w:rsid w:val="420345DF"/>
    <w:rsid w:val="42414092"/>
    <w:rsid w:val="42614741"/>
    <w:rsid w:val="427C30D1"/>
    <w:rsid w:val="42805BAB"/>
    <w:rsid w:val="428835A8"/>
    <w:rsid w:val="428B5D65"/>
    <w:rsid w:val="42B64008"/>
    <w:rsid w:val="43254505"/>
    <w:rsid w:val="434855A0"/>
    <w:rsid w:val="43CD6F1D"/>
    <w:rsid w:val="440035D2"/>
    <w:rsid w:val="44491E00"/>
    <w:rsid w:val="445741EA"/>
    <w:rsid w:val="445C72CE"/>
    <w:rsid w:val="4460571E"/>
    <w:rsid w:val="44680FA0"/>
    <w:rsid w:val="446D5BC1"/>
    <w:rsid w:val="44A11DF1"/>
    <w:rsid w:val="44B247E5"/>
    <w:rsid w:val="45135592"/>
    <w:rsid w:val="45426495"/>
    <w:rsid w:val="45470FCC"/>
    <w:rsid w:val="456D5160"/>
    <w:rsid w:val="45941378"/>
    <w:rsid w:val="45996BD6"/>
    <w:rsid w:val="45B03B9D"/>
    <w:rsid w:val="470F3EA8"/>
    <w:rsid w:val="47512051"/>
    <w:rsid w:val="47671971"/>
    <w:rsid w:val="47D258AB"/>
    <w:rsid w:val="480841EB"/>
    <w:rsid w:val="48174819"/>
    <w:rsid w:val="48260B77"/>
    <w:rsid w:val="482A3E8E"/>
    <w:rsid w:val="483469DF"/>
    <w:rsid w:val="483A1F30"/>
    <w:rsid w:val="48495C87"/>
    <w:rsid w:val="48685FA6"/>
    <w:rsid w:val="48A0105D"/>
    <w:rsid w:val="48B247C5"/>
    <w:rsid w:val="48B75143"/>
    <w:rsid w:val="48D53E7E"/>
    <w:rsid w:val="48D82067"/>
    <w:rsid w:val="49052B3A"/>
    <w:rsid w:val="491518B4"/>
    <w:rsid w:val="4935525F"/>
    <w:rsid w:val="4991036B"/>
    <w:rsid w:val="49CF3E62"/>
    <w:rsid w:val="49DA6131"/>
    <w:rsid w:val="49DB5655"/>
    <w:rsid w:val="49F83B7C"/>
    <w:rsid w:val="49F976E2"/>
    <w:rsid w:val="4A3F1787"/>
    <w:rsid w:val="4A5B523F"/>
    <w:rsid w:val="4A641004"/>
    <w:rsid w:val="4A814CC6"/>
    <w:rsid w:val="4A95551D"/>
    <w:rsid w:val="4ABB2B1C"/>
    <w:rsid w:val="4ABB5455"/>
    <w:rsid w:val="4ADF3131"/>
    <w:rsid w:val="4B224917"/>
    <w:rsid w:val="4B262603"/>
    <w:rsid w:val="4B3E7EC3"/>
    <w:rsid w:val="4B440BAB"/>
    <w:rsid w:val="4B801172"/>
    <w:rsid w:val="4B885EDD"/>
    <w:rsid w:val="4BD8163D"/>
    <w:rsid w:val="4C58334A"/>
    <w:rsid w:val="4CB01DBC"/>
    <w:rsid w:val="4CB81ABF"/>
    <w:rsid w:val="4CC264C1"/>
    <w:rsid w:val="4CCA0089"/>
    <w:rsid w:val="4CE026F7"/>
    <w:rsid w:val="4CFE109A"/>
    <w:rsid w:val="4D2569A3"/>
    <w:rsid w:val="4D4342DA"/>
    <w:rsid w:val="4D497E74"/>
    <w:rsid w:val="4D4A0594"/>
    <w:rsid w:val="4D5E03AA"/>
    <w:rsid w:val="4D86214C"/>
    <w:rsid w:val="4DC96ACC"/>
    <w:rsid w:val="4E1074BD"/>
    <w:rsid w:val="4E2C7AC1"/>
    <w:rsid w:val="4E5F68F6"/>
    <w:rsid w:val="4EE30A7B"/>
    <w:rsid w:val="4F387D6F"/>
    <w:rsid w:val="4F54364E"/>
    <w:rsid w:val="4F822454"/>
    <w:rsid w:val="4FB94D74"/>
    <w:rsid w:val="4FE96457"/>
    <w:rsid w:val="503D5EB3"/>
    <w:rsid w:val="505A1AC1"/>
    <w:rsid w:val="508C12E3"/>
    <w:rsid w:val="50AD5D43"/>
    <w:rsid w:val="50DF0587"/>
    <w:rsid w:val="50E73C88"/>
    <w:rsid w:val="511971C3"/>
    <w:rsid w:val="51225CCD"/>
    <w:rsid w:val="517C1ECF"/>
    <w:rsid w:val="517C2C1B"/>
    <w:rsid w:val="51CB4AA1"/>
    <w:rsid w:val="51DF7478"/>
    <w:rsid w:val="52181A08"/>
    <w:rsid w:val="521969EA"/>
    <w:rsid w:val="523472FF"/>
    <w:rsid w:val="52443B29"/>
    <w:rsid w:val="528F3EB1"/>
    <w:rsid w:val="52C40C2B"/>
    <w:rsid w:val="52C65B5D"/>
    <w:rsid w:val="539A58EF"/>
    <w:rsid w:val="53C31A21"/>
    <w:rsid w:val="53C440BF"/>
    <w:rsid w:val="53FC2784"/>
    <w:rsid w:val="54752C9A"/>
    <w:rsid w:val="54804E87"/>
    <w:rsid w:val="548F0266"/>
    <w:rsid w:val="54911FE8"/>
    <w:rsid w:val="54A22A61"/>
    <w:rsid w:val="54AF72FD"/>
    <w:rsid w:val="54BA27A6"/>
    <w:rsid w:val="54C14ECB"/>
    <w:rsid w:val="54C404D8"/>
    <w:rsid w:val="54F92307"/>
    <w:rsid w:val="551574DB"/>
    <w:rsid w:val="552872F7"/>
    <w:rsid w:val="552F246E"/>
    <w:rsid w:val="553B2AED"/>
    <w:rsid w:val="55426DB6"/>
    <w:rsid w:val="559311D1"/>
    <w:rsid w:val="55AA5E5B"/>
    <w:rsid w:val="55FA7DBC"/>
    <w:rsid w:val="56037534"/>
    <w:rsid w:val="56303138"/>
    <w:rsid w:val="563D7C88"/>
    <w:rsid w:val="564E05DC"/>
    <w:rsid w:val="567D1CEF"/>
    <w:rsid w:val="56A066F3"/>
    <w:rsid w:val="56AD4191"/>
    <w:rsid w:val="571B76EB"/>
    <w:rsid w:val="574B4A95"/>
    <w:rsid w:val="577A7F77"/>
    <w:rsid w:val="577B658F"/>
    <w:rsid w:val="57EF2964"/>
    <w:rsid w:val="58151030"/>
    <w:rsid w:val="583B534C"/>
    <w:rsid w:val="58441B50"/>
    <w:rsid w:val="58514DF6"/>
    <w:rsid w:val="58810B35"/>
    <w:rsid w:val="58813204"/>
    <w:rsid w:val="58A47930"/>
    <w:rsid w:val="59271327"/>
    <w:rsid w:val="593D141F"/>
    <w:rsid w:val="5940395B"/>
    <w:rsid w:val="59E37FC0"/>
    <w:rsid w:val="5A5D7E26"/>
    <w:rsid w:val="5A630F90"/>
    <w:rsid w:val="5A895748"/>
    <w:rsid w:val="5A9D62B0"/>
    <w:rsid w:val="5AC707F5"/>
    <w:rsid w:val="5AE8363E"/>
    <w:rsid w:val="5B2A0700"/>
    <w:rsid w:val="5B4E427E"/>
    <w:rsid w:val="5B577058"/>
    <w:rsid w:val="5B64412D"/>
    <w:rsid w:val="5BAB424E"/>
    <w:rsid w:val="5BD91DB0"/>
    <w:rsid w:val="5BFD05DE"/>
    <w:rsid w:val="5C1433B5"/>
    <w:rsid w:val="5C4A07F9"/>
    <w:rsid w:val="5C99672F"/>
    <w:rsid w:val="5CA65DB2"/>
    <w:rsid w:val="5CBD7891"/>
    <w:rsid w:val="5CD86879"/>
    <w:rsid w:val="5CF41096"/>
    <w:rsid w:val="5D4372D5"/>
    <w:rsid w:val="5D453045"/>
    <w:rsid w:val="5DB8581D"/>
    <w:rsid w:val="5DE15C0C"/>
    <w:rsid w:val="5E22642B"/>
    <w:rsid w:val="5E3211F2"/>
    <w:rsid w:val="5E321C90"/>
    <w:rsid w:val="5E616605"/>
    <w:rsid w:val="5E63339C"/>
    <w:rsid w:val="5E76115B"/>
    <w:rsid w:val="5E7F3995"/>
    <w:rsid w:val="5E8A2E96"/>
    <w:rsid w:val="5EAC0B90"/>
    <w:rsid w:val="5EB66E7D"/>
    <w:rsid w:val="5EB9568A"/>
    <w:rsid w:val="5EE05F18"/>
    <w:rsid w:val="5EEC5E97"/>
    <w:rsid w:val="5F301651"/>
    <w:rsid w:val="5F3B3CB8"/>
    <w:rsid w:val="5F482CE0"/>
    <w:rsid w:val="5F6B37DA"/>
    <w:rsid w:val="5F6F5053"/>
    <w:rsid w:val="5F8B79B9"/>
    <w:rsid w:val="60027257"/>
    <w:rsid w:val="60077599"/>
    <w:rsid w:val="600C287A"/>
    <w:rsid w:val="60212BB1"/>
    <w:rsid w:val="605C4536"/>
    <w:rsid w:val="60AE57A6"/>
    <w:rsid w:val="60B12259"/>
    <w:rsid w:val="61004CFF"/>
    <w:rsid w:val="6101324E"/>
    <w:rsid w:val="61054C86"/>
    <w:rsid w:val="61233B90"/>
    <w:rsid w:val="613A387C"/>
    <w:rsid w:val="616421EC"/>
    <w:rsid w:val="619D56DA"/>
    <w:rsid w:val="61A210EA"/>
    <w:rsid w:val="62153652"/>
    <w:rsid w:val="622E4364"/>
    <w:rsid w:val="62652360"/>
    <w:rsid w:val="62EE1CB0"/>
    <w:rsid w:val="62F21A98"/>
    <w:rsid w:val="6302526F"/>
    <w:rsid w:val="63040555"/>
    <w:rsid w:val="631114DC"/>
    <w:rsid w:val="63A81AE9"/>
    <w:rsid w:val="63EA28A1"/>
    <w:rsid w:val="64800DEF"/>
    <w:rsid w:val="648C1E1B"/>
    <w:rsid w:val="64AA0290"/>
    <w:rsid w:val="65255307"/>
    <w:rsid w:val="65344A5F"/>
    <w:rsid w:val="654E20D0"/>
    <w:rsid w:val="6554667B"/>
    <w:rsid w:val="656B617A"/>
    <w:rsid w:val="656F0E02"/>
    <w:rsid w:val="65EA5D56"/>
    <w:rsid w:val="65EC32C5"/>
    <w:rsid w:val="6649251C"/>
    <w:rsid w:val="665B14ED"/>
    <w:rsid w:val="665C00B8"/>
    <w:rsid w:val="667607B7"/>
    <w:rsid w:val="668866E0"/>
    <w:rsid w:val="66C73119"/>
    <w:rsid w:val="66F22A03"/>
    <w:rsid w:val="674E4BC8"/>
    <w:rsid w:val="675031BE"/>
    <w:rsid w:val="67C14C5D"/>
    <w:rsid w:val="67C6709B"/>
    <w:rsid w:val="67D747C1"/>
    <w:rsid w:val="67DB78AD"/>
    <w:rsid w:val="67E36C52"/>
    <w:rsid w:val="683214B3"/>
    <w:rsid w:val="68393423"/>
    <w:rsid w:val="688E54C1"/>
    <w:rsid w:val="68A5562E"/>
    <w:rsid w:val="68A64F25"/>
    <w:rsid w:val="68C22C69"/>
    <w:rsid w:val="68DA13F7"/>
    <w:rsid w:val="68DE1277"/>
    <w:rsid w:val="68E55D5E"/>
    <w:rsid w:val="68EF235E"/>
    <w:rsid w:val="69234AF8"/>
    <w:rsid w:val="693C0BA6"/>
    <w:rsid w:val="69453F86"/>
    <w:rsid w:val="69787AB6"/>
    <w:rsid w:val="69C008CF"/>
    <w:rsid w:val="6A10127F"/>
    <w:rsid w:val="6A17640C"/>
    <w:rsid w:val="6A325356"/>
    <w:rsid w:val="6A5941D3"/>
    <w:rsid w:val="6A7449C9"/>
    <w:rsid w:val="6A912D31"/>
    <w:rsid w:val="6A9C2F4B"/>
    <w:rsid w:val="6AFC22E1"/>
    <w:rsid w:val="6B11582E"/>
    <w:rsid w:val="6B2029D8"/>
    <w:rsid w:val="6B4A6B1F"/>
    <w:rsid w:val="6B4C0F8A"/>
    <w:rsid w:val="6B6372F9"/>
    <w:rsid w:val="6B785F88"/>
    <w:rsid w:val="6B8410DC"/>
    <w:rsid w:val="6B8C351C"/>
    <w:rsid w:val="6B8F73F7"/>
    <w:rsid w:val="6BA501E6"/>
    <w:rsid w:val="6BD920FF"/>
    <w:rsid w:val="6C1166AE"/>
    <w:rsid w:val="6C613CEA"/>
    <w:rsid w:val="6C875468"/>
    <w:rsid w:val="6C9B0AA6"/>
    <w:rsid w:val="6CC871B8"/>
    <w:rsid w:val="6D0713B0"/>
    <w:rsid w:val="6D0E77D9"/>
    <w:rsid w:val="6D116D25"/>
    <w:rsid w:val="6D660433"/>
    <w:rsid w:val="6D7905B7"/>
    <w:rsid w:val="6D7B2D61"/>
    <w:rsid w:val="6DC20C61"/>
    <w:rsid w:val="6E141050"/>
    <w:rsid w:val="6E5116A3"/>
    <w:rsid w:val="6E5547AB"/>
    <w:rsid w:val="6E670F3D"/>
    <w:rsid w:val="6E6C47C5"/>
    <w:rsid w:val="6E916F49"/>
    <w:rsid w:val="6EEA3B95"/>
    <w:rsid w:val="6F0D7173"/>
    <w:rsid w:val="6F2A6819"/>
    <w:rsid w:val="6F2E1A82"/>
    <w:rsid w:val="6F4B66E6"/>
    <w:rsid w:val="6F54367F"/>
    <w:rsid w:val="6F555163"/>
    <w:rsid w:val="6F626775"/>
    <w:rsid w:val="6F892507"/>
    <w:rsid w:val="6F9C24FB"/>
    <w:rsid w:val="6FBE53A7"/>
    <w:rsid w:val="6FCE7344"/>
    <w:rsid w:val="70151031"/>
    <w:rsid w:val="70173E9A"/>
    <w:rsid w:val="70301D22"/>
    <w:rsid w:val="70333E5F"/>
    <w:rsid w:val="704D67F0"/>
    <w:rsid w:val="7063338F"/>
    <w:rsid w:val="70934AB7"/>
    <w:rsid w:val="709959FF"/>
    <w:rsid w:val="70C6670A"/>
    <w:rsid w:val="70E46602"/>
    <w:rsid w:val="70EE29AD"/>
    <w:rsid w:val="71366203"/>
    <w:rsid w:val="716B3981"/>
    <w:rsid w:val="71887955"/>
    <w:rsid w:val="71913C38"/>
    <w:rsid w:val="71B15F47"/>
    <w:rsid w:val="71C71C6C"/>
    <w:rsid w:val="72060CF1"/>
    <w:rsid w:val="72293B46"/>
    <w:rsid w:val="72342688"/>
    <w:rsid w:val="72526978"/>
    <w:rsid w:val="725F1EA5"/>
    <w:rsid w:val="72BF5357"/>
    <w:rsid w:val="72D10A5D"/>
    <w:rsid w:val="72E63915"/>
    <w:rsid w:val="73065A9B"/>
    <w:rsid w:val="734413E2"/>
    <w:rsid w:val="73486D7D"/>
    <w:rsid w:val="738C55B5"/>
    <w:rsid w:val="73A04D0B"/>
    <w:rsid w:val="73ED1F64"/>
    <w:rsid w:val="73F55C58"/>
    <w:rsid w:val="74093C41"/>
    <w:rsid w:val="74465632"/>
    <w:rsid w:val="745830FB"/>
    <w:rsid w:val="747E5D88"/>
    <w:rsid w:val="74B607FA"/>
    <w:rsid w:val="74D336A4"/>
    <w:rsid w:val="74F518FD"/>
    <w:rsid w:val="750244DF"/>
    <w:rsid w:val="750A6F6A"/>
    <w:rsid w:val="753C26FC"/>
    <w:rsid w:val="75572263"/>
    <w:rsid w:val="758310F9"/>
    <w:rsid w:val="75A63651"/>
    <w:rsid w:val="75CA0D26"/>
    <w:rsid w:val="766146DC"/>
    <w:rsid w:val="766E531C"/>
    <w:rsid w:val="768458E0"/>
    <w:rsid w:val="76AF6E29"/>
    <w:rsid w:val="76E07DB7"/>
    <w:rsid w:val="77027521"/>
    <w:rsid w:val="772A7850"/>
    <w:rsid w:val="77372B61"/>
    <w:rsid w:val="77835D7C"/>
    <w:rsid w:val="77FD4122"/>
    <w:rsid w:val="783C7624"/>
    <w:rsid w:val="783E4641"/>
    <w:rsid w:val="785774E1"/>
    <w:rsid w:val="7888660D"/>
    <w:rsid w:val="789C0CCE"/>
    <w:rsid w:val="78D97721"/>
    <w:rsid w:val="78EF2112"/>
    <w:rsid w:val="7927753B"/>
    <w:rsid w:val="792D4B82"/>
    <w:rsid w:val="796E1A64"/>
    <w:rsid w:val="79775EEC"/>
    <w:rsid w:val="79821194"/>
    <w:rsid w:val="79A059D2"/>
    <w:rsid w:val="79B17A26"/>
    <w:rsid w:val="79BB135F"/>
    <w:rsid w:val="7A1C555F"/>
    <w:rsid w:val="7A3352F1"/>
    <w:rsid w:val="7A3A2125"/>
    <w:rsid w:val="7A3A6CE8"/>
    <w:rsid w:val="7A3B2C98"/>
    <w:rsid w:val="7AC41E65"/>
    <w:rsid w:val="7B4D1350"/>
    <w:rsid w:val="7BAD2CB8"/>
    <w:rsid w:val="7BBA3345"/>
    <w:rsid w:val="7BDF1DF5"/>
    <w:rsid w:val="7C1F7FCE"/>
    <w:rsid w:val="7C812501"/>
    <w:rsid w:val="7C9D61CA"/>
    <w:rsid w:val="7CBC6008"/>
    <w:rsid w:val="7CBF6003"/>
    <w:rsid w:val="7CDC038D"/>
    <w:rsid w:val="7CE34004"/>
    <w:rsid w:val="7D19698F"/>
    <w:rsid w:val="7D511D04"/>
    <w:rsid w:val="7DA81369"/>
    <w:rsid w:val="7E2429AC"/>
    <w:rsid w:val="7E497409"/>
    <w:rsid w:val="7EAE30A0"/>
    <w:rsid w:val="7EDF2E10"/>
    <w:rsid w:val="7F4D5E9B"/>
    <w:rsid w:val="7F574703"/>
    <w:rsid w:val="7F867374"/>
    <w:rsid w:val="7F912C58"/>
    <w:rsid w:val="7FAF70E8"/>
    <w:rsid w:val="7FE40E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link w:val="15"/>
    <w:qFormat/>
    <w:uiPriority w:val="0"/>
    <w:pPr>
      <w:keepNext/>
      <w:keepLines/>
      <w:outlineLvl w:val="0"/>
    </w:pPr>
    <w:rPr>
      <w:rFonts w:eastAsia="方正黑体_GBK"/>
      <w:bCs/>
      <w:kern w:val="44"/>
      <w:szCs w:val="44"/>
    </w:rPr>
  </w:style>
  <w:style w:type="paragraph" w:styleId="4">
    <w:name w:val="heading 2"/>
    <w:basedOn w:val="1"/>
    <w:next w:val="1"/>
    <w:link w:val="16"/>
    <w:semiHidden/>
    <w:unhideWhenUsed/>
    <w:qFormat/>
    <w:uiPriority w:val="0"/>
    <w:pPr>
      <w:keepNext/>
      <w:keepLines/>
      <w:outlineLvl w:val="1"/>
    </w:pPr>
    <w:rPr>
      <w:rFonts w:ascii="Cambria" w:hAnsi="Cambria" w:eastAsia="方正楷体_GBK" w:cs="Times New Roman"/>
      <w:bCs/>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spacing w:line="425" w:lineRule="atLeast"/>
      <w:ind w:firstLine="420"/>
      <w:textAlignment w:val="baseline"/>
    </w:pPr>
    <w:rPr>
      <w:rFonts w:ascii="Calibri" w:hAnsi="Calibri" w:eastAsia="宋体"/>
      <w:color w:val="000000"/>
      <w:kern w:val="0"/>
      <w:sz w:val="21"/>
      <w:szCs w:val="22"/>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link w:val="14"/>
    <w:qFormat/>
    <w:uiPriority w:val="0"/>
    <w:pPr>
      <w:ind w:firstLine="0" w:firstLineChars="0"/>
      <w:jc w:val="center"/>
      <w:outlineLvl w:val="0"/>
    </w:pPr>
    <w:rPr>
      <w:rFonts w:ascii="Times New Roman" w:hAnsi="Times New Roman" w:eastAsia="方正小标宋_GBK" w:cs="Times New Roman"/>
      <w:bCs/>
      <w:sz w:val="36"/>
      <w:szCs w:val="32"/>
    </w:rPr>
  </w:style>
  <w:style w:type="character" w:styleId="11">
    <w:name w:val="Strong"/>
    <w:basedOn w:val="10"/>
    <w:qFormat/>
    <w:uiPriority w:val="0"/>
    <w:rPr>
      <w:b/>
    </w:rPr>
  </w:style>
  <w:style w:type="character" w:styleId="12">
    <w:name w:val="page number"/>
    <w:basedOn w:val="10"/>
    <w:qFormat/>
    <w:uiPriority w:val="0"/>
  </w:style>
  <w:style w:type="character" w:customStyle="1" w:styleId="13">
    <w:name w:val="页脚 Char"/>
    <w:link w:val="5"/>
    <w:qFormat/>
    <w:uiPriority w:val="99"/>
    <w:rPr>
      <w:kern w:val="2"/>
      <w:sz w:val="18"/>
      <w:szCs w:val="24"/>
    </w:rPr>
  </w:style>
  <w:style w:type="character" w:customStyle="1" w:styleId="14">
    <w:name w:val="标题 Char"/>
    <w:link w:val="8"/>
    <w:qFormat/>
    <w:uiPriority w:val="0"/>
    <w:rPr>
      <w:rFonts w:ascii="Times New Roman" w:hAnsi="Times New Roman" w:eastAsia="方正小标宋_GBK" w:cs="Times New Roman"/>
      <w:bCs/>
      <w:kern w:val="2"/>
      <w:sz w:val="36"/>
      <w:szCs w:val="32"/>
    </w:rPr>
  </w:style>
  <w:style w:type="character" w:customStyle="1" w:styleId="15">
    <w:name w:val="标题 1 Char"/>
    <w:link w:val="3"/>
    <w:qFormat/>
    <w:uiPriority w:val="0"/>
    <w:rPr>
      <w:rFonts w:eastAsia="方正黑体_GBK"/>
      <w:bCs/>
      <w:kern w:val="44"/>
      <w:sz w:val="32"/>
      <w:szCs w:val="44"/>
    </w:rPr>
  </w:style>
  <w:style w:type="character" w:customStyle="1" w:styleId="16">
    <w:name w:val="标题 2 Char"/>
    <w:link w:val="4"/>
    <w:semiHidden/>
    <w:qFormat/>
    <w:uiPriority w:val="0"/>
    <w:rPr>
      <w:rFonts w:ascii="Cambria" w:hAnsi="Cambria" w:eastAsia="方正楷体_GBK" w:cs="Times New Roman"/>
      <w:bCs/>
      <w:kern w:val="2"/>
      <w:sz w:val="32"/>
      <w:szCs w:val="32"/>
    </w:rPr>
  </w:style>
  <w:style w:type="character" w:customStyle="1" w:styleId="17">
    <w:name w:val="font31"/>
    <w:basedOn w:val="10"/>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1</Lines>
  <Paragraphs>1</Paragraphs>
  <TotalTime>22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2022-08-29T02:13:00Z</dcterms:created>
  <dc:creator>Administrator</dc:creator>
  <cp:lastModifiedBy>向毅</cp:lastModifiedBy>
  <cp:lastPrinted>2022-09-16T03:56:00Z</cp:lastPrinted>
  <dcterms:modified xsi:type="dcterms:W3CDTF">2024-12-20T09:33:25Z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A42B9EAFD4904EA695AA061D2985FEF3</vt:lpwstr>
  </property>
</Properties>
</file>