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方正小标宋_GBK" w:eastAsia="方正小标宋_GBK"/>
        </w:rPr>
      </w:pPr>
      <w:bookmarkStart w:id="0" w:name="_GoBack"/>
      <w:bookmarkEnd w:id="0"/>
      <w:r>
        <w:rPr>
          <w:rFonts w:hint="eastAsia" w:ascii="方正小标宋_GBK" w:eastAsia="方正小标宋_GBK"/>
          <w:sz w:val="54"/>
          <w:szCs w:val="54"/>
        </w:rPr>
        <w:t>重庆市垫江县供销合作社联合社</w:t>
      </w:r>
    </w:p>
    <w:p>
      <w:pPr>
        <w:pStyle w:val="5"/>
        <w:jc w:val="center"/>
        <w:rPr>
          <w:rFonts w:ascii="方正小标宋_GBK" w:eastAsia="方正小标宋_GBK"/>
        </w:rPr>
      </w:pPr>
      <w:r>
        <w:rPr>
          <w:rFonts w:hint="eastAsia" w:ascii="方正小标宋_GBK" w:eastAsia="方正小标宋_GBK"/>
          <w:sz w:val="54"/>
          <w:szCs w:val="54"/>
        </w:rPr>
        <w:t>2021年度部门决算情况说明</w:t>
      </w:r>
    </w:p>
    <w:p>
      <w:pPr>
        <w:pStyle w:val="5"/>
      </w:pPr>
      <w:r>
        <w:rPr>
          <w:rStyle w:val="8"/>
          <w:sz w:val="33"/>
          <w:szCs w:val="33"/>
        </w:rPr>
        <w:t>  一、部门基本情况</w:t>
      </w:r>
    </w:p>
    <w:p>
      <w:pPr>
        <w:pStyle w:val="5"/>
      </w:pPr>
      <w:r>
        <w:rPr>
          <w:rStyle w:val="8"/>
          <w:sz w:val="27"/>
          <w:szCs w:val="27"/>
        </w:rPr>
        <w:t>  （一）职能职责。</w:t>
      </w:r>
    </w:p>
    <w:p>
      <w:pPr>
        <w:spacing w:line="600" w:lineRule="exact"/>
        <w:ind w:firstLine="560" w:firstLineChars="200"/>
        <w:rPr>
          <w:rFonts w:ascii="宋体" w:hAnsi="宋体" w:eastAsia="宋体" w:cs="仿宋_GB2312"/>
          <w:sz w:val="27"/>
          <w:szCs w:val="27"/>
        </w:rPr>
      </w:pPr>
      <w:r>
        <w:rPr>
          <w:rFonts w:asciiTheme="minorEastAsia" w:hAnsiTheme="minorEastAsia"/>
          <w:color w:val="FF0000"/>
          <w:sz w:val="28"/>
          <w:szCs w:val="28"/>
        </w:rPr>
        <w:t> </w:t>
      </w:r>
      <w:r>
        <w:rPr>
          <w:rFonts w:hint="eastAsia" w:ascii="宋体" w:hAnsi="宋体" w:eastAsia="宋体" w:cs="仿宋_GB2312"/>
          <w:sz w:val="27"/>
          <w:szCs w:val="27"/>
        </w:rPr>
        <w:t>1、贯彻执行党中央、国务院、市委、市政府和县委、县政府有关农村经济工作和社会发展的方针政策；</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2、研究拟订全县供销合作社的发展战略和发展规划，指导全县供销合作社的改革和发展，起草供销合作社事业有关地方性政策文件；</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3、按照政府授权对主要农业生产资料、再生资源及农副产品等经营进行指导、协调和管理，负责全县供销合作社系统化肥储备和供应工作；</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4、推进全县农村合作经济组织及各类专业合作社的发展，加强农村综合服务体系建设，开拓培育城乡市场，参与农业产业化经营、农村现代流通网络建设和农村合作经济组织人员的培训工作；</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5、依法管理运营本级社有资产，监督社有资产保值增值，指导社有出资企业改革发展，建设完善现代企业制度，对社有出资企业行使出资人职责，对基层社改制后的剩余资产代为行使所有权和管理权；</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6、承担全县烟花爆竹安全经营管理和烟花爆竹市场有序供应的责任，负责全县烟花爆竹统一归口经营管理，承担全县烟花爆竹专营管理的日常工作；</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7、承办县政府交办的其他事项；</w:t>
      </w:r>
    </w:p>
    <w:p>
      <w:pPr>
        <w:spacing w:line="600" w:lineRule="exact"/>
        <w:ind w:firstLine="540" w:firstLineChars="200"/>
        <w:rPr>
          <w:rFonts w:ascii="宋体" w:hAnsi="宋体" w:eastAsia="宋体" w:cs="仿宋_GB2312"/>
          <w:sz w:val="27"/>
          <w:szCs w:val="27"/>
        </w:rPr>
      </w:pPr>
      <w:r>
        <w:rPr>
          <w:rFonts w:hint="eastAsia" w:ascii="宋体" w:hAnsi="宋体" w:eastAsia="宋体" w:cs="仿宋_GB2312"/>
          <w:sz w:val="27"/>
          <w:szCs w:val="27"/>
        </w:rPr>
        <w:t>8、负责全县废弃农膜回收利用，负责全县农膜回收网络体系建设工作。</w:t>
      </w:r>
    </w:p>
    <w:p>
      <w:pPr>
        <w:pStyle w:val="5"/>
      </w:pPr>
      <w:r>
        <w:rPr>
          <w:rStyle w:val="8"/>
          <w:sz w:val="27"/>
          <w:szCs w:val="27"/>
        </w:rPr>
        <w:t>  （二）机构设置。</w:t>
      </w:r>
    </w:p>
    <w:p>
      <w:pPr>
        <w:pStyle w:val="5"/>
        <w:ind w:firstLine="540" w:firstLineChars="200"/>
        <w:rPr>
          <w:b/>
          <w:bCs/>
          <w:sz w:val="27"/>
          <w:szCs w:val="27"/>
        </w:rPr>
      </w:pPr>
      <w:r>
        <w:rPr>
          <w:rFonts w:hint="eastAsia" w:cs="仿宋_GB2312"/>
          <w:sz w:val="27"/>
          <w:szCs w:val="27"/>
        </w:rPr>
        <w:t>垫江县供销合作社联合社内设5个科</w:t>
      </w:r>
      <w:r>
        <w:rPr>
          <w:rFonts w:cs="仿宋_GB2312"/>
          <w:sz w:val="27"/>
          <w:szCs w:val="27"/>
        </w:rPr>
        <w:t>室</w:t>
      </w:r>
      <w:r>
        <w:rPr>
          <w:rFonts w:hint="eastAsia" w:cs="仿宋_GB2312"/>
          <w:sz w:val="27"/>
          <w:szCs w:val="27"/>
        </w:rPr>
        <w:t>，分别为办公室、监事会办公室、经济发展科、合作指导科、财务审计科。</w:t>
      </w:r>
      <w:r>
        <w:rPr>
          <w:rFonts w:hint="eastAsia"/>
          <w:sz w:val="27"/>
          <w:szCs w:val="27"/>
        </w:rPr>
        <w:t>无二级预算单位。</w:t>
      </w:r>
    </w:p>
    <w:p>
      <w:pPr>
        <w:pStyle w:val="5"/>
      </w:pPr>
      <w:r>
        <w:rPr>
          <w:rStyle w:val="8"/>
          <w:sz w:val="33"/>
          <w:szCs w:val="33"/>
        </w:rPr>
        <w:t>  二、部门决算情况说明</w:t>
      </w:r>
    </w:p>
    <w:p>
      <w:pPr>
        <w:pStyle w:val="5"/>
        <w:numPr>
          <w:ilvl w:val="0"/>
          <w:numId w:val="1"/>
        </w:numPr>
      </w:pPr>
      <w:r>
        <w:rPr>
          <w:rStyle w:val="8"/>
          <w:sz w:val="27"/>
          <w:szCs w:val="27"/>
        </w:rPr>
        <w:t>收入支出决算总体情况说明。</w:t>
      </w:r>
    </w:p>
    <w:p>
      <w:pPr>
        <w:pStyle w:val="5"/>
        <w:ind w:firstLine="531" w:firstLineChars="196"/>
        <w:rPr>
          <w:b/>
          <w:sz w:val="27"/>
          <w:szCs w:val="27"/>
        </w:rPr>
      </w:pPr>
      <w:r>
        <w:rPr>
          <w:rStyle w:val="8"/>
          <w:rFonts w:hint="eastAsia"/>
          <w:sz w:val="27"/>
          <w:szCs w:val="27"/>
        </w:rPr>
        <w:t>1.</w:t>
      </w:r>
      <w:r>
        <w:rPr>
          <w:rStyle w:val="8"/>
          <w:sz w:val="27"/>
          <w:szCs w:val="27"/>
        </w:rPr>
        <w:t>总体情况。</w:t>
      </w:r>
      <w:r>
        <w:rPr>
          <w:rStyle w:val="8"/>
          <w:rFonts w:hint="eastAsia"/>
          <w:b w:val="0"/>
          <w:sz w:val="27"/>
          <w:szCs w:val="27"/>
        </w:rPr>
        <w:t>2021年度收入总计1,231.65万元，支出总计1,231.65万元。收支较上年决算数减少205.77万元、下降14.3%，主要原因是一是人员支出方面在职人员综合目标考核奖励和退休人员健康疗养费标准降低，二是2020年度支出中含2019年度市级项目开展未验收支付的基层社和综合服务社建设补助结转资金200万元。</w:t>
      </w:r>
    </w:p>
    <w:p>
      <w:pPr>
        <w:pStyle w:val="5"/>
        <w:ind w:firstLine="531" w:firstLineChars="196"/>
      </w:pPr>
      <w:r>
        <w:rPr>
          <w:rStyle w:val="8"/>
          <w:sz w:val="27"/>
          <w:szCs w:val="27"/>
        </w:rPr>
        <w:t>2.收入情况。</w:t>
      </w:r>
      <w:r>
        <w:rPr>
          <w:sz w:val="27"/>
          <w:szCs w:val="27"/>
        </w:rPr>
        <w:t>2021年度收入合计914.81万元，较上年决算数增加68.53万元，增长8.1%，主要原因</w:t>
      </w:r>
      <w:r>
        <w:rPr>
          <w:rFonts w:hint="eastAsia"/>
          <w:sz w:val="27"/>
          <w:szCs w:val="27"/>
        </w:rPr>
        <w:t>是招商引资专项资金增加8.43万元，废弃农膜回收及加工项目支出增加11.49万元，其他应急管理支出增加1万元，基层社、综合服务社建设资金增加142万元，但是三类人员生活补助、在职人员综合目标考核奖、退休职工健康休养费、下岗伤残军人社保缴费补助均较上年度降低。</w:t>
      </w:r>
      <w:r>
        <w:rPr>
          <w:sz w:val="27"/>
          <w:szCs w:val="27"/>
        </w:rPr>
        <w:t>其中：财政拨款收入914.81万元，占100%。此外，使用非财政拨款结余0.00万元，年初结转和结余316.84万元。</w:t>
      </w:r>
    </w:p>
    <w:p>
      <w:pPr>
        <w:pStyle w:val="5"/>
        <w:rPr>
          <w:color w:val="FF0000"/>
          <w:sz w:val="27"/>
          <w:szCs w:val="27"/>
          <w:shd w:val="clear" w:color="auto" w:fill="FFFF00"/>
        </w:rPr>
      </w:pPr>
      <w:r>
        <w:rPr>
          <w:rStyle w:val="8"/>
          <w:sz w:val="27"/>
          <w:szCs w:val="27"/>
        </w:rPr>
        <w:t> </w:t>
      </w:r>
      <w:r>
        <w:rPr>
          <w:rStyle w:val="8"/>
          <w:rFonts w:hint="eastAsia"/>
          <w:sz w:val="27"/>
          <w:szCs w:val="27"/>
        </w:rPr>
        <w:t xml:space="preserve"> </w:t>
      </w:r>
      <w:r>
        <w:rPr>
          <w:rStyle w:val="8"/>
          <w:sz w:val="27"/>
          <w:szCs w:val="27"/>
        </w:rPr>
        <w:t xml:space="preserve"> 3.支出情况。</w:t>
      </w:r>
      <w:r>
        <w:rPr>
          <w:sz w:val="27"/>
          <w:szCs w:val="27"/>
        </w:rPr>
        <w:t>2021年度支出合计924.58万元，较上年决算数减少196.00万元，下降17.5%，主要原因是</w:t>
      </w:r>
      <w:r>
        <w:rPr>
          <w:rFonts w:hint="eastAsia" w:asciiTheme="minorEastAsia" w:hAnsiTheme="minorEastAsia" w:eastAsiaTheme="minorEastAsia"/>
          <w:sz w:val="28"/>
          <w:szCs w:val="28"/>
        </w:rPr>
        <w:t>2020年度支出中含2019年度市级项目开展未验收支付的基层社和综合服务社建设补助结转资金</w:t>
      </w:r>
      <w:r>
        <w:rPr>
          <w:rFonts w:hint="eastAsia" w:ascii="仿宋" w:hAnsi="仿宋" w:eastAsia="仿宋"/>
          <w:sz w:val="28"/>
          <w:szCs w:val="28"/>
        </w:rPr>
        <w:t>200万元。</w:t>
      </w:r>
      <w:r>
        <w:rPr>
          <w:sz w:val="27"/>
          <w:szCs w:val="27"/>
        </w:rPr>
        <w:t>其中：基本支出449.04万元，占48.6%；项目支出475.54万元，占51.4%。</w:t>
      </w:r>
    </w:p>
    <w:p>
      <w:pPr>
        <w:pStyle w:val="5"/>
        <w:ind w:firstLine="531" w:firstLineChars="196"/>
      </w:pPr>
      <w:r>
        <w:rPr>
          <w:rStyle w:val="8"/>
          <w:sz w:val="27"/>
          <w:szCs w:val="27"/>
        </w:rPr>
        <w:t>4.结转结余情况。</w:t>
      </w:r>
      <w:r>
        <w:rPr>
          <w:sz w:val="27"/>
          <w:szCs w:val="27"/>
        </w:rPr>
        <w:t>2021年度年末结转和结余307.07万元，较上年决算数减少9.77万元，下降3.1%，主要原因是</w:t>
      </w:r>
      <w:r>
        <w:rPr>
          <w:rFonts w:hint="eastAsia"/>
          <w:sz w:val="27"/>
          <w:szCs w:val="27"/>
        </w:rPr>
        <w:t>减少上年结转“三社”融合发展资金15万元项目建设完成验收并支付，但是2021年度新增市级专款下达废弃农膜加工回收资金及综合服务社建设补助资金结转结余。</w:t>
      </w:r>
    </w:p>
    <w:p>
      <w:pPr>
        <w:pStyle w:val="5"/>
      </w:pPr>
      <w:r>
        <w:rPr>
          <w:rStyle w:val="8"/>
          <w:sz w:val="27"/>
          <w:szCs w:val="27"/>
        </w:rPr>
        <w:t>  （二）财政拨款收入支出决算总体情况说明。</w:t>
      </w:r>
    </w:p>
    <w:p>
      <w:pPr>
        <w:pStyle w:val="5"/>
        <w:ind w:firstLine="540" w:firstLineChars="200"/>
        <w:rPr>
          <w:rStyle w:val="8"/>
          <w:sz w:val="27"/>
          <w:szCs w:val="27"/>
        </w:rPr>
      </w:pPr>
      <w:r>
        <w:rPr>
          <w:sz w:val="27"/>
          <w:szCs w:val="27"/>
        </w:rPr>
        <w:t>2021年度财政拨款收、支总计1,231.65万元。与2020年相比，财政拨款收、支总计各减少205.77万元，下降14.3%。主要原因是</w:t>
      </w:r>
      <w:r>
        <w:rPr>
          <w:rFonts w:hint="eastAsia"/>
          <w:sz w:val="27"/>
          <w:szCs w:val="27"/>
        </w:rPr>
        <w:t>一是人员支出方面在职人员综合目标考核奖励和退休人员健康疗养费标准降低，二是2020年度支出中含2019年度市级项目开展未验收支付的基层社和综合服务社建设补助结转资金200万元。</w:t>
      </w:r>
      <w:r>
        <w:rPr>
          <w:rStyle w:val="8"/>
          <w:sz w:val="27"/>
          <w:szCs w:val="27"/>
        </w:rPr>
        <w:t> </w:t>
      </w:r>
    </w:p>
    <w:p>
      <w:pPr>
        <w:pStyle w:val="5"/>
      </w:pPr>
      <w:r>
        <w:rPr>
          <w:rStyle w:val="8"/>
          <w:sz w:val="27"/>
          <w:szCs w:val="27"/>
        </w:rPr>
        <w:t xml:space="preserve"> （三）一般公共预算财政拨款收入支出决算情况说明。</w:t>
      </w:r>
    </w:p>
    <w:p>
      <w:pPr>
        <w:pStyle w:val="5"/>
      </w:pPr>
      <w:r>
        <w:rPr>
          <w:rStyle w:val="8"/>
          <w:sz w:val="27"/>
          <w:szCs w:val="27"/>
        </w:rPr>
        <w:t>  1.收入情况。</w:t>
      </w:r>
      <w:r>
        <w:rPr>
          <w:sz w:val="27"/>
          <w:szCs w:val="27"/>
        </w:rPr>
        <w:t>2021年度一般公共预算财政拨款收入914.81万元，较上年决算数增加68.53万元，增长8.1%。主要原因</w:t>
      </w:r>
      <w:r>
        <w:rPr>
          <w:rFonts w:hint="eastAsia"/>
          <w:sz w:val="27"/>
          <w:szCs w:val="27"/>
          <w:lang w:eastAsia="zh-CN"/>
        </w:rPr>
        <w:t>是</w:t>
      </w:r>
      <w:r>
        <w:rPr>
          <w:rFonts w:hint="eastAsia"/>
          <w:sz w:val="27"/>
          <w:szCs w:val="27"/>
        </w:rPr>
        <w:t>招商引资专项资金增加8.43万元，废弃农膜回收及加工项目支出增加11.49万元，其他应急管理支出增加1万元，基层社、综合服务社建设资金增加142万元，但是三类人员生活补助、在职人员综合目标考核奖、退休职工健康休养费、下岗伤残军人社保缴费补助均较上年度降低。</w:t>
      </w:r>
      <w:r>
        <w:rPr>
          <w:sz w:val="27"/>
          <w:szCs w:val="27"/>
        </w:rPr>
        <w:t>较年初预算数减少39.31万元，下降4.1%。主要原因是</w:t>
      </w:r>
      <w:r>
        <w:rPr>
          <w:rFonts w:hint="eastAsia"/>
          <w:sz w:val="27"/>
          <w:szCs w:val="27"/>
        </w:rPr>
        <w:t>一是年初预算安排三社融合贷款贴息资金30万元因无达到补助贴息贷款到期未支付，财政收回指标；二是上年结转三社融合发展贷款风险补偿金因暂无有风险贷款未支出结转下年使用；三是市级专款综合服务社建设资金以及废弃农膜回收资金因未能支出财政收回指标。</w:t>
      </w:r>
      <w:r>
        <w:rPr>
          <w:sz w:val="27"/>
          <w:szCs w:val="27"/>
        </w:rPr>
        <w:t>此外，年初财政拨款结转和结余316.84万元。</w:t>
      </w:r>
    </w:p>
    <w:p>
      <w:pPr>
        <w:pStyle w:val="5"/>
        <w:rPr>
          <w:sz w:val="27"/>
          <w:szCs w:val="27"/>
        </w:rPr>
      </w:pPr>
      <w:r>
        <w:rPr>
          <w:rStyle w:val="8"/>
          <w:sz w:val="27"/>
          <w:szCs w:val="27"/>
        </w:rPr>
        <w:t xml:space="preserve">  </w:t>
      </w:r>
      <w:r>
        <w:rPr>
          <w:rStyle w:val="8"/>
          <w:rFonts w:hint="eastAsia"/>
          <w:sz w:val="27"/>
          <w:szCs w:val="27"/>
        </w:rPr>
        <w:t xml:space="preserve"> </w:t>
      </w:r>
      <w:r>
        <w:rPr>
          <w:rStyle w:val="8"/>
          <w:sz w:val="27"/>
          <w:szCs w:val="27"/>
        </w:rPr>
        <w:t>2.支出情况。</w:t>
      </w:r>
      <w:r>
        <w:rPr>
          <w:sz w:val="27"/>
          <w:szCs w:val="27"/>
        </w:rPr>
        <w:t>2021年度一般公共预算财政拨款支出924.58万元，较上年决算数减少196.00万元，下降17.5%。主要原因是</w:t>
      </w:r>
      <w:r>
        <w:rPr>
          <w:rFonts w:hint="eastAsia"/>
          <w:sz w:val="27"/>
          <w:szCs w:val="27"/>
        </w:rPr>
        <w:t>一是人员支出方面在职人员综合目标考核奖励和退休人员健康疗养费标准降低，二是2020年度支出中含2019年度市级项目开展未验收支付的基层社和综合服务社建设补助结转资金200万元。</w:t>
      </w:r>
      <w:r>
        <w:rPr>
          <w:sz w:val="27"/>
          <w:szCs w:val="27"/>
        </w:rPr>
        <w:t>较年初预算数减少29.54万元，下降3.1%。主要原因是</w:t>
      </w:r>
      <w:r>
        <w:rPr>
          <w:rFonts w:hint="eastAsia"/>
          <w:sz w:val="27"/>
          <w:szCs w:val="27"/>
        </w:rPr>
        <w:t>一是年初预算安排三社融合贷款贴息资金30万元因无达到补助贴息贷款到期未支付，财政收回指标；二是上年结转三社融合发展贷款风险补偿金因暂无有风险贷款未支出结转下年使用；三是市级专款综合服务社建设资金以及废弃农膜回收资金因未能支出财政收回指标。</w:t>
      </w:r>
    </w:p>
    <w:p>
      <w:pPr>
        <w:pStyle w:val="5"/>
      </w:pPr>
      <w:r>
        <w:rPr>
          <w:rStyle w:val="8"/>
          <w:sz w:val="27"/>
          <w:szCs w:val="27"/>
        </w:rPr>
        <w:t> </w:t>
      </w:r>
      <w:r>
        <w:rPr>
          <w:rStyle w:val="8"/>
          <w:rFonts w:hint="eastAsia"/>
          <w:sz w:val="27"/>
          <w:szCs w:val="27"/>
        </w:rPr>
        <w:t xml:space="preserve"> </w:t>
      </w:r>
      <w:r>
        <w:rPr>
          <w:rStyle w:val="8"/>
          <w:sz w:val="27"/>
          <w:szCs w:val="27"/>
        </w:rPr>
        <w:t xml:space="preserve"> 3.结转结余情况。</w:t>
      </w:r>
      <w:r>
        <w:rPr>
          <w:sz w:val="27"/>
          <w:szCs w:val="27"/>
        </w:rPr>
        <w:t>2021年度年末一般公共预算财政拨款结转和结余307.07万元，较上年决算数减少9.77万元，下降3.1%，主要原因是</w:t>
      </w:r>
      <w:r>
        <w:rPr>
          <w:rFonts w:hint="eastAsia"/>
          <w:sz w:val="27"/>
          <w:szCs w:val="27"/>
        </w:rPr>
        <w:t>减少上年结转“三社”融合发展资金15万元项目建设完成验收并支付，但是2021年度新增市级专款下达废弃农膜加工回收资金及综合服务社建设补助资金未支付结转下年。</w:t>
      </w:r>
    </w:p>
    <w:p>
      <w:pPr>
        <w:pStyle w:val="5"/>
      </w:pPr>
      <w:r>
        <w:rPr>
          <w:rStyle w:val="8"/>
          <w:sz w:val="27"/>
          <w:szCs w:val="27"/>
        </w:rPr>
        <w:t> </w:t>
      </w:r>
      <w:r>
        <w:rPr>
          <w:rStyle w:val="8"/>
          <w:rFonts w:hint="eastAsia"/>
          <w:sz w:val="27"/>
          <w:szCs w:val="27"/>
        </w:rPr>
        <w:t xml:space="preserve"> </w:t>
      </w:r>
      <w:r>
        <w:rPr>
          <w:rStyle w:val="8"/>
          <w:sz w:val="27"/>
          <w:szCs w:val="27"/>
        </w:rPr>
        <w:t xml:space="preserve"> 4.比较情况。</w:t>
      </w:r>
      <w:r>
        <w:rPr>
          <w:sz w:val="27"/>
          <w:szCs w:val="27"/>
        </w:rPr>
        <w:t xml:space="preserve">本部门2021年度一般公共预算财政拨款支出主要用于以下几个方面：  </w:t>
      </w:r>
    </w:p>
    <w:p>
      <w:pPr>
        <w:pStyle w:val="5"/>
      </w:pPr>
      <w:r>
        <w:rPr>
          <w:sz w:val="27"/>
          <w:szCs w:val="27"/>
        </w:rPr>
        <w:t>   （</w:t>
      </w:r>
      <w:r>
        <w:rPr>
          <w:rFonts w:hint="eastAsia"/>
          <w:sz w:val="27"/>
          <w:szCs w:val="27"/>
        </w:rPr>
        <w:t>1</w:t>
      </w:r>
      <w:r>
        <w:rPr>
          <w:sz w:val="27"/>
          <w:szCs w:val="27"/>
        </w:rPr>
        <w:t>）教育支出1.03万元，占0.1%，较年初预算数增加0.00万元，增长0%</w:t>
      </w:r>
      <w:r>
        <w:rPr>
          <w:rFonts w:hint="eastAsia"/>
          <w:sz w:val="27"/>
          <w:szCs w:val="27"/>
        </w:rPr>
        <w:t>，与年初预算数持平</w:t>
      </w:r>
      <w:r>
        <w:rPr>
          <w:sz w:val="27"/>
          <w:szCs w:val="27"/>
        </w:rPr>
        <w:t>。</w:t>
      </w:r>
    </w:p>
    <w:p>
      <w:pPr>
        <w:pStyle w:val="5"/>
        <w:rPr>
          <w:sz w:val="27"/>
          <w:szCs w:val="27"/>
        </w:rPr>
      </w:pPr>
      <w:r>
        <w:rPr>
          <w:sz w:val="27"/>
          <w:szCs w:val="27"/>
        </w:rPr>
        <w:t>  （</w:t>
      </w:r>
      <w:r>
        <w:rPr>
          <w:rFonts w:hint="eastAsia"/>
          <w:sz w:val="27"/>
          <w:szCs w:val="27"/>
        </w:rPr>
        <w:t>2</w:t>
      </w:r>
      <w:r>
        <w:rPr>
          <w:sz w:val="27"/>
          <w:szCs w:val="27"/>
        </w:rPr>
        <w:t>）社会保障与就业支出131.55万元，占14.2%，较年初预算数增加18.23万元，增长16.1%，主要原因是</w:t>
      </w:r>
      <w:r>
        <w:rPr>
          <w:rFonts w:hint="eastAsia"/>
          <w:sz w:val="27"/>
          <w:szCs w:val="27"/>
        </w:rPr>
        <w:t>年中追加“三类”人员生活补助19.90万元，但是社会保障缴费支出较年初预算降低。</w:t>
      </w:r>
    </w:p>
    <w:p>
      <w:pPr>
        <w:pStyle w:val="5"/>
      </w:pPr>
      <w:r>
        <w:rPr>
          <w:sz w:val="27"/>
          <w:szCs w:val="27"/>
        </w:rPr>
        <w:t>  （</w:t>
      </w:r>
      <w:r>
        <w:rPr>
          <w:rFonts w:hint="eastAsia"/>
          <w:sz w:val="27"/>
          <w:szCs w:val="27"/>
        </w:rPr>
        <w:t>3</w:t>
      </w:r>
      <w:r>
        <w:rPr>
          <w:sz w:val="27"/>
          <w:szCs w:val="27"/>
        </w:rPr>
        <w:t>）卫生健康支出11.89万元，占1.3%，较年初预算数减少5.75万元，下降32.6%，主要原因是</w:t>
      </w:r>
      <w:r>
        <w:rPr>
          <w:rFonts w:hint="eastAsia"/>
          <w:sz w:val="27"/>
          <w:szCs w:val="27"/>
        </w:rPr>
        <w:t>职工基本医疗缴费支出减少。</w:t>
      </w:r>
    </w:p>
    <w:p>
      <w:pPr>
        <w:pStyle w:val="5"/>
      </w:pPr>
      <w:r>
        <w:rPr>
          <w:sz w:val="27"/>
          <w:szCs w:val="27"/>
        </w:rPr>
        <w:t>  （</w:t>
      </w:r>
      <w:r>
        <w:rPr>
          <w:rFonts w:hint="eastAsia"/>
          <w:sz w:val="27"/>
          <w:szCs w:val="27"/>
        </w:rPr>
        <w:t>4</w:t>
      </w:r>
      <w:r>
        <w:rPr>
          <w:sz w:val="27"/>
          <w:szCs w:val="27"/>
        </w:rPr>
        <w:t>）节能环保支出93.49万元，占10.1%，较年初预算数增加8.49万元，增长10%，主要原因是</w:t>
      </w:r>
      <w:r>
        <w:rPr>
          <w:rFonts w:hint="eastAsia"/>
          <w:sz w:val="27"/>
          <w:szCs w:val="27"/>
        </w:rPr>
        <w:t>年中追加市级废弃农膜回收资金10万元部分验收支出。</w:t>
      </w:r>
    </w:p>
    <w:p>
      <w:pPr>
        <w:pStyle w:val="5"/>
      </w:pPr>
      <w:r>
        <w:rPr>
          <w:sz w:val="27"/>
          <w:szCs w:val="27"/>
        </w:rPr>
        <w:t>  （</w:t>
      </w:r>
      <w:r>
        <w:rPr>
          <w:rFonts w:hint="eastAsia"/>
          <w:sz w:val="27"/>
          <w:szCs w:val="27"/>
        </w:rPr>
        <w:t>5</w:t>
      </w:r>
      <w:r>
        <w:rPr>
          <w:sz w:val="27"/>
          <w:szCs w:val="27"/>
        </w:rPr>
        <w:t>）农林水支出199.00万元，占21.5%，较年初预算数减少31.00万元，下降13.48%，主要原因是</w:t>
      </w:r>
      <w:r>
        <w:rPr>
          <w:rFonts w:hint="eastAsia"/>
          <w:sz w:val="27"/>
          <w:szCs w:val="27"/>
        </w:rPr>
        <w:t>年初预算化肥减量增效酵母资金20万元因项目未实施财政收回资金，综合服务社建设项目资金剩余11万元未验收支付。</w:t>
      </w:r>
    </w:p>
    <w:p>
      <w:pPr>
        <w:pStyle w:val="5"/>
      </w:pPr>
      <w:r>
        <w:rPr>
          <w:sz w:val="27"/>
          <w:szCs w:val="27"/>
        </w:rPr>
        <w:t>  （</w:t>
      </w:r>
      <w:r>
        <w:rPr>
          <w:rFonts w:hint="eastAsia"/>
          <w:sz w:val="27"/>
          <w:szCs w:val="27"/>
        </w:rPr>
        <w:t>6</w:t>
      </w:r>
      <w:r>
        <w:rPr>
          <w:sz w:val="27"/>
          <w:szCs w:val="27"/>
        </w:rPr>
        <w:t>）商业服务业等支出460.18万元，占49.8%，较年初预算数减少30.98万元，下降6.3%，主要原因是</w:t>
      </w:r>
      <w:r>
        <w:rPr>
          <w:rFonts w:hint="eastAsia"/>
          <w:sz w:val="27"/>
          <w:szCs w:val="27"/>
        </w:rPr>
        <w:t>年初预算“三社”融合发展贷款贴息资金30万元因没有符合贴息条件的贷款到期，而未开展贴息补助活动，资金年终财政统一收回。</w:t>
      </w:r>
    </w:p>
    <w:p>
      <w:pPr>
        <w:pStyle w:val="5"/>
      </w:pPr>
      <w:r>
        <w:rPr>
          <w:sz w:val="27"/>
          <w:szCs w:val="27"/>
        </w:rPr>
        <w:t>  （</w:t>
      </w:r>
      <w:r>
        <w:rPr>
          <w:rFonts w:hint="eastAsia"/>
          <w:sz w:val="27"/>
          <w:szCs w:val="27"/>
        </w:rPr>
        <w:t>7</w:t>
      </w:r>
      <w:r>
        <w:rPr>
          <w:sz w:val="27"/>
          <w:szCs w:val="27"/>
        </w:rPr>
        <w:t>）住房保障支出26.43万元，占2.9%，较年初预算数增加10.47万元，增长65.6%，主要原因是</w:t>
      </w:r>
      <w:r>
        <w:rPr>
          <w:rFonts w:hint="eastAsia"/>
          <w:sz w:val="27"/>
          <w:szCs w:val="27"/>
        </w:rPr>
        <w:t>工资晋级晋档、考核奖励发放导致住房公积金缴费基数较年初预算有所提高。</w:t>
      </w:r>
    </w:p>
    <w:p>
      <w:pPr>
        <w:pStyle w:val="5"/>
      </w:pPr>
      <w:r>
        <w:rPr>
          <w:sz w:val="27"/>
          <w:szCs w:val="27"/>
        </w:rPr>
        <w:t>  （</w:t>
      </w:r>
      <w:r>
        <w:rPr>
          <w:rFonts w:hint="eastAsia"/>
          <w:sz w:val="27"/>
          <w:szCs w:val="27"/>
        </w:rPr>
        <w:t>8</w:t>
      </w:r>
      <w:r>
        <w:rPr>
          <w:sz w:val="27"/>
          <w:szCs w:val="27"/>
        </w:rPr>
        <w:t>）灾害防治及应急管理支出1.00万元，占0.1%，较年初预算数增加1.00万元，增长%，主要原因是</w:t>
      </w:r>
      <w:r>
        <w:rPr>
          <w:rFonts w:hint="eastAsia"/>
          <w:sz w:val="27"/>
          <w:szCs w:val="27"/>
        </w:rPr>
        <w:t>年中追加灾害防治及应急管理支出1万元。</w:t>
      </w:r>
    </w:p>
    <w:p>
      <w:pPr>
        <w:pStyle w:val="5"/>
      </w:pPr>
      <w:r>
        <w:rPr>
          <w:rStyle w:val="8"/>
          <w:sz w:val="27"/>
          <w:szCs w:val="27"/>
        </w:rPr>
        <w:t>  （四）一般公共预算财政拨款基本支出决算情况说明。</w:t>
      </w:r>
    </w:p>
    <w:p>
      <w:pPr>
        <w:pStyle w:val="5"/>
        <w:ind w:firstLine="540" w:firstLineChars="200"/>
      </w:pPr>
      <w:r>
        <w:rPr>
          <w:sz w:val="27"/>
          <w:szCs w:val="27"/>
        </w:rPr>
        <w:t>2021年度一般公共财政拨款基本支出449.04万元。其中：人员经费397.26万元，较上年决算数减少103.50万元，下降20.7%，主要原因是</w:t>
      </w:r>
      <w:r>
        <w:rPr>
          <w:rFonts w:hint="eastAsia"/>
          <w:sz w:val="27"/>
          <w:szCs w:val="27"/>
        </w:rPr>
        <w:t>在职人员综合目标考核奖、退休人员</w:t>
      </w:r>
      <w:r>
        <w:rPr>
          <w:rFonts w:hint="eastAsia"/>
          <w:sz w:val="27"/>
          <w:szCs w:val="27"/>
          <w:lang w:eastAsia="zh-CN"/>
        </w:rPr>
        <w:t>健康休养</w:t>
      </w:r>
      <w:r>
        <w:rPr>
          <w:rFonts w:hint="eastAsia"/>
          <w:sz w:val="27"/>
          <w:szCs w:val="27"/>
        </w:rPr>
        <w:t>费标准降低；因人员去世三类人员生活补助发放额减少等。</w:t>
      </w:r>
      <w:r>
        <w:rPr>
          <w:sz w:val="27"/>
          <w:szCs w:val="27"/>
        </w:rPr>
        <w:t>人员经费用途主要包括</w:t>
      </w:r>
      <w:r>
        <w:rPr>
          <w:rFonts w:hint="eastAsia"/>
          <w:sz w:val="27"/>
          <w:szCs w:val="27"/>
        </w:rPr>
        <w:t>基本工资、津贴补贴、奖金、社会保障缴费、基本及大额医疗保险、养老保险、职业年金缴费，住房公积金缴费等</w:t>
      </w:r>
      <w:r>
        <w:rPr>
          <w:sz w:val="27"/>
          <w:szCs w:val="27"/>
        </w:rPr>
        <w:t>。公用经费51.78万元，较上年决算数减少17.71万元，下降25.5%，主要原因是</w:t>
      </w:r>
      <w:r>
        <w:rPr>
          <w:rFonts w:hint="eastAsia"/>
          <w:sz w:val="27"/>
          <w:szCs w:val="27"/>
        </w:rPr>
        <w:t>本单位严格遵守各项规章制度，厉行节约，严格压减一般性公共支出。公用经费用途主要包括办公费、印刷费、水费、电费、邮电费、差旅费、劳务费、维修（护）费、物业管理费等。</w:t>
      </w:r>
    </w:p>
    <w:p>
      <w:pPr>
        <w:pStyle w:val="5"/>
      </w:pPr>
      <w:r>
        <w:rPr>
          <w:rStyle w:val="8"/>
          <w:sz w:val="27"/>
          <w:szCs w:val="27"/>
        </w:rPr>
        <w:t>  （五）政府性基金预算收支决算情况说明。</w:t>
      </w:r>
    </w:p>
    <w:p>
      <w:pPr>
        <w:pStyle w:val="5"/>
        <w:ind w:firstLine="540" w:firstLineChars="200"/>
        <w:rPr>
          <w:rStyle w:val="8"/>
          <w:b w:val="0"/>
          <w:bCs w:val="0"/>
        </w:rPr>
      </w:pPr>
      <w:r>
        <w:rPr>
          <w:rFonts w:hint="eastAsia"/>
          <w:sz w:val="27"/>
          <w:szCs w:val="27"/>
        </w:rPr>
        <w:t>本部门2021年度无政府性基金预算财政拨款收支。</w:t>
      </w:r>
    </w:p>
    <w:p>
      <w:pPr>
        <w:pStyle w:val="5"/>
      </w:pPr>
      <w:r>
        <w:rPr>
          <w:rStyle w:val="8"/>
          <w:sz w:val="27"/>
          <w:szCs w:val="27"/>
        </w:rPr>
        <w:t>  （六）国有资本经营预算财政拨款支出决算情况说明。</w:t>
      </w:r>
    </w:p>
    <w:p>
      <w:pPr>
        <w:pStyle w:val="5"/>
        <w:ind w:firstLine="540" w:firstLineChars="200"/>
        <w:rPr>
          <w:sz w:val="27"/>
          <w:szCs w:val="27"/>
          <w:shd w:val="clear" w:color="auto" w:fill="FFFF00"/>
        </w:rPr>
      </w:pPr>
      <w:r>
        <w:rPr>
          <w:rFonts w:hint="eastAsia"/>
          <w:sz w:val="27"/>
          <w:szCs w:val="27"/>
        </w:rPr>
        <w:t>本部门2021年度无国有资本经营预算财政拨款收支。</w:t>
      </w:r>
    </w:p>
    <w:p>
      <w:pPr>
        <w:pStyle w:val="5"/>
        <w:ind w:firstLine="542" w:firstLineChars="200"/>
        <w:rPr>
          <w:sz w:val="27"/>
          <w:szCs w:val="27"/>
          <w:shd w:val="clear" w:color="auto" w:fill="FFFF00"/>
        </w:rPr>
      </w:pPr>
      <w:r>
        <w:rPr>
          <w:rStyle w:val="8"/>
          <w:sz w:val="27"/>
          <w:szCs w:val="27"/>
        </w:rPr>
        <w:t>三、“三公”经费情况说明</w:t>
      </w:r>
    </w:p>
    <w:p>
      <w:pPr>
        <w:pStyle w:val="5"/>
      </w:pPr>
      <w:r>
        <w:rPr>
          <w:rStyle w:val="8"/>
          <w:sz w:val="27"/>
          <w:szCs w:val="27"/>
        </w:rPr>
        <w:t>  （一）“三公”经费支出总体情况说明。</w:t>
      </w:r>
    </w:p>
    <w:p>
      <w:pPr>
        <w:pStyle w:val="5"/>
      </w:pPr>
      <w:r>
        <w:rPr>
          <w:sz w:val="27"/>
          <w:szCs w:val="27"/>
        </w:rPr>
        <w:t> </w:t>
      </w:r>
      <w:r>
        <w:rPr>
          <w:rFonts w:hint="eastAsia"/>
          <w:sz w:val="27"/>
          <w:szCs w:val="27"/>
        </w:rPr>
        <w:t xml:space="preserve"> </w:t>
      </w:r>
      <w:r>
        <w:rPr>
          <w:sz w:val="27"/>
          <w:szCs w:val="27"/>
        </w:rPr>
        <w:t xml:space="preserve"> 2021年度“三公”经费支出共计0.53万元，较年初预算数减少4.27万元，下降89%，主要原因是</w:t>
      </w:r>
      <w:r>
        <w:rPr>
          <w:rFonts w:hint="eastAsia"/>
          <w:sz w:val="27"/>
          <w:szCs w:val="27"/>
        </w:rPr>
        <w:t>1、本单位完善内控制度、公务接待制度等，并严格执行；2、严格按照中央八项规定、厉行节约，不该接待坚决不接待。</w:t>
      </w:r>
      <w:r>
        <w:rPr>
          <w:sz w:val="27"/>
          <w:szCs w:val="27"/>
        </w:rPr>
        <w:t>较上年支出数增加0.20万元，增长60.6%，主要原因是</w:t>
      </w:r>
      <w:r>
        <w:rPr>
          <w:rFonts w:hint="eastAsia"/>
          <w:sz w:val="27"/>
          <w:szCs w:val="27"/>
        </w:rPr>
        <w:t>本年度接待市社项目验收考核、检查调研工作等接待增加。</w:t>
      </w:r>
    </w:p>
    <w:p>
      <w:pPr>
        <w:pStyle w:val="5"/>
      </w:pPr>
      <w:r>
        <w:rPr>
          <w:rStyle w:val="8"/>
          <w:sz w:val="27"/>
          <w:szCs w:val="27"/>
        </w:rPr>
        <w:t>  （二）“三公”经费分项支出情况。</w:t>
      </w:r>
    </w:p>
    <w:p>
      <w:pPr>
        <w:pStyle w:val="5"/>
      </w:pPr>
      <w:r>
        <w:rPr>
          <w:sz w:val="27"/>
          <w:szCs w:val="27"/>
        </w:rPr>
        <w:t> </w:t>
      </w:r>
      <w:r>
        <w:rPr>
          <w:rFonts w:hint="eastAsia"/>
          <w:sz w:val="27"/>
          <w:szCs w:val="27"/>
        </w:rPr>
        <w:t xml:space="preserve"> </w:t>
      </w:r>
      <w:r>
        <w:rPr>
          <w:sz w:val="27"/>
          <w:szCs w:val="27"/>
        </w:rPr>
        <w:t xml:space="preserve"> 2021年度本部门因公出国（境）费用0.00万元。费用支出较年初预算数增加0.00万元，</w:t>
      </w:r>
      <w:r>
        <w:rPr>
          <w:rFonts w:hint="eastAsia"/>
          <w:sz w:val="27"/>
          <w:szCs w:val="27"/>
        </w:rPr>
        <w:t>与年初预算相比，基本持平。</w:t>
      </w:r>
      <w:r>
        <w:rPr>
          <w:sz w:val="27"/>
          <w:szCs w:val="27"/>
        </w:rPr>
        <w:t>较上年支出数增加0.00万元，</w:t>
      </w:r>
      <w:r>
        <w:rPr>
          <w:rFonts w:hint="eastAsia"/>
          <w:sz w:val="27"/>
          <w:szCs w:val="27"/>
        </w:rPr>
        <w:t>与上年度决算相比，基本持平。</w:t>
      </w:r>
    </w:p>
    <w:p>
      <w:pPr>
        <w:pStyle w:val="5"/>
      </w:pPr>
      <w:r>
        <w:rPr>
          <w:sz w:val="27"/>
          <w:szCs w:val="27"/>
        </w:rPr>
        <w:t> </w:t>
      </w:r>
      <w:r>
        <w:rPr>
          <w:rFonts w:hint="eastAsia"/>
          <w:sz w:val="27"/>
          <w:szCs w:val="27"/>
        </w:rPr>
        <w:t xml:space="preserve"> </w:t>
      </w:r>
      <w:r>
        <w:rPr>
          <w:sz w:val="27"/>
          <w:szCs w:val="27"/>
        </w:rPr>
        <w:t xml:space="preserve"> 公务车购置费0.00万元。费用支出较年初预算数增加0.00万元，</w:t>
      </w:r>
      <w:r>
        <w:rPr>
          <w:rFonts w:hint="eastAsia"/>
          <w:sz w:val="27"/>
          <w:szCs w:val="27"/>
        </w:rPr>
        <w:t>与年初预算相比，基本持平。较上年支出数增加0.00万元，与上年度决算相比，基本持平。</w:t>
      </w:r>
    </w:p>
    <w:p>
      <w:pPr>
        <w:pStyle w:val="5"/>
        <w:rPr>
          <w:sz w:val="27"/>
          <w:szCs w:val="27"/>
        </w:rPr>
      </w:pPr>
      <w:r>
        <w:rPr>
          <w:sz w:val="27"/>
          <w:szCs w:val="27"/>
        </w:rPr>
        <w:t> </w:t>
      </w:r>
      <w:r>
        <w:rPr>
          <w:rFonts w:hint="eastAsia"/>
          <w:sz w:val="27"/>
          <w:szCs w:val="27"/>
        </w:rPr>
        <w:t xml:space="preserve"> </w:t>
      </w:r>
      <w:r>
        <w:rPr>
          <w:sz w:val="27"/>
          <w:szCs w:val="27"/>
        </w:rPr>
        <w:t xml:space="preserve"> 公务车运行维护费0.00万元，费用支出较年初预算数增加0.00万元，</w:t>
      </w:r>
      <w:r>
        <w:rPr>
          <w:rFonts w:hint="eastAsia"/>
          <w:sz w:val="27"/>
          <w:szCs w:val="27"/>
        </w:rPr>
        <w:t>与年初预算相比，基本持平。较上年支出数增加0.00万元，与上年度决算相比，基本持平。我单位因公车制度改革，未保留公务车辆。</w:t>
      </w:r>
    </w:p>
    <w:p>
      <w:pPr>
        <w:pStyle w:val="5"/>
        <w:rPr>
          <w:sz w:val="27"/>
          <w:szCs w:val="27"/>
        </w:rPr>
      </w:pPr>
      <w:r>
        <w:rPr>
          <w:sz w:val="27"/>
          <w:szCs w:val="27"/>
        </w:rPr>
        <w:t> </w:t>
      </w:r>
      <w:r>
        <w:rPr>
          <w:rFonts w:hint="eastAsia"/>
          <w:sz w:val="27"/>
          <w:szCs w:val="27"/>
        </w:rPr>
        <w:t xml:space="preserve"> </w:t>
      </w:r>
      <w:r>
        <w:rPr>
          <w:sz w:val="27"/>
          <w:szCs w:val="27"/>
        </w:rPr>
        <w:t xml:space="preserve"> 公务接待费0.53万元，主要用于接待</w:t>
      </w:r>
      <w:r>
        <w:rPr>
          <w:rFonts w:hint="eastAsia"/>
          <w:sz w:val="27"/>
          <w:szCs w:val="27"/>
        </w:rPr>
        <w:t>市社项目验收考核、检查调研工作等接待</w:t>
      </w:r>
      <w:r>
        <w:rPr>
          <w:sz w:val="27"/>
          <w:szCs w:val="27"/>
        </w:rPr>
        <w:t>费用</w:t>
      </w:r>
      <w:r>
        <w:rPr>
          <w:rFonts w:hint="eastAsia"/>
          <w:sz w:val="27"/>
          <w:szCs w:val="27"/>
        </w:rPr>
        <w:t>，</w:t>
      </w:r>
      <w:r>
        <w:rPr>
          <w:sz w:val="27"/>
          <w:szCs w:val="27"/>
        </w:rPr>
        <w:t>支出较年初预算数减少4.27万元，下降89%，主要原因是</w:t>
      </w:r>
      <w:r>
        <w:rPr>
          <w:rFonts w:hint="eastAsia"/>
          <w:sz w:val="27"/>
          <w:szCs w:val="27"/>
        </w:rPr>
        <w:t>1、本单位完善内控制度、公务接待制度等，并严格执行；2、严格按照中央八项规定、厉行节约，不该接待坚决不接待。</w:t>
      </w:r>
      <w:r>
        <w:rPr>
          <w:sz w:val="27"/>
          <w:szCs w:val="27"/>
        </w:rPr>
        <w:t>较上年支出数增加0.20万元，增长60.6%，主要原因是</w:t>
      </w:r>
      <w:r>
        <w:rPr>
          <w:rFonts w:hint="eastAsia"/>
          <w:sz w:val="27"/>
          <w:szCs w:val="27"/>
        </w:rPr>
        <w:t>本年度接待市社项目验收考核、检查调研工作等接待增加。</w:t>
      </w:r>
    </w:p>
    <w:p>
      <w:pPr>
        <w:pStyle w:val="5"/>
      </w:pPr>
      <w:r>
        <w:rPr>
          <w:rStyle w:val="8"/>
          <w:sz w:val="27"/>
          <w:szCs w:val="27"/>
        </w:rPr>
        <w:t xml:space="preserve">  </w:t>
      </w:r>
      <w:r>
        <w:rPr>
          <w:rStyle w:val="8"/>
          <w:rFonts w:hint="eastAsia"/>
          <w:sz w:val="27"/>
          <w:szCs w:val="27"/>
        </w:rPr>
        <w:t xml:space="preserve"> </w:t>
      </w:r>
      <w:r>
        <w:rPr>
          <w:rStyle w:val="8"/>
          <w:sz w:val="27"/>
          <w:szCs w:val="27"/>
        </w:rPr>
        <w:t>（三）“三公”经费实物量情况。</w:t>
      </w:r>
    </w:p>
    <w:p>
      <w:pPr>
        <w:pStyle w:val="5"/>
      </w:pPr>
      <w:r>
        <w:rPr>
          <w:sz w:val="27"/>
          <w:szCs w:val="27"/>
        </w:rPr>
        <w:t xml:space="preserve">  </w:t>
      </w:r>
      <w:r>
        <w:rPr>
          <w:rFonts w:hint="eastAsia"/>
          <w:sz w:val="27"/>
          <w:szCs w:val="27"/>
        </w:rPr>
        <w:t xml:space="preserve"> </w:t>
      </w:r>
      <w:r>
        <w:rPr>
          <w:sz w:val="27"/>
          <w:szCs w:val="27"/>
        </w:rPr>
        <w:t>2021年度本部门因公出国（境）共计0个团组，0人；公务用车购置0辆，公务车保有量为0辆；国内公务接待12批次59人，其中：国内外事接待0批次，0人；国（境）外公务接待0批次，0人。2021年本部门人均接待费89.49元，车均购置费0.00万元，车均维护费0.00万元。</w:t>
      </w:r>
    </w:p>
    <w:p>
      <w:pPr>
        <w:pStyle w:val="5"/>
      </w:pPr>
      <w:r>
        <w:rPr>
          <w:rStyle w:val="8"/>
          <w:sz w:val="27"/>
          <w:szCs w:val="27"/>
        </w:rPr>
        <w:t xml:space="preserve">  </w:t>
      </w:r>
      <w:r>
        <w:rPr>
          <w:rStyle w:val="8"/>
          <w:rFonts w:hint="eastAsia"/>
          <w:sz w:val="27"/>
          <w:szCs w:val="27"/>
        </w:rPr>
        <w:t xml:space="preserve"> </w:t>
      </w:r>
      <w:r>
        <w:rPr>
          <w:rStyle w:val="8"/>
          <w:sz w:val="27"/>
          <w:szCs w:val="27"/>
        </w:rPr>
        <w:t>四、其他需要说明的事项</w:t>
      </w:r>
    </w:p>
    <w:p>
      <w:pPr>
        <w:pStyle w:val="5"/>
      </w:pPr>
      <w:r>
        <w:rPr>
          <w:rStyle w:val="8"/>
          <w:sz w:val="27"/>
          <w:szCs w:val="27"/>
        </w:rPr>
        <w:t>  （一）一般公共预算财政拨款会议费和培训费情况说明。</w:t>
      </w:r>
    </w:p>
    <w:p>
      <w:pPr>
        <w:pStyle w:val="5"/>
      </w:pPr>
      <w:r>
        <w:rPr>
          <w:sz w:val="27"/>
          <w:szCs w:val="27"/>
        </w:rPr>
        <w:t> </w:t>
      </w:r>
      <w:r>
        <w:rPr>
          <w:rFonts w:hint="eastAsia"/>
          <w:sz w:val="27"/>
          <w:szCs w:val="27"/>
        </w:rPr>
        <w:t xml:space="preserve"> </w:t>
      </w:r>
      <w:r>
        <w:rPr>
          <w:sz w:val="27"/>
          <w:szCs w:val="27"/>
        </w:rPr>
        <w:t xml:space="preserve"> 本年度会议费支出0.56万元，较上年决算数增加0.21万元，增长60%，主要原因是</w:t>
      </w:r>
      <w:r>
        <w:rPr>
          <w:rFonts w:hint="eastAsia"/>
          <w:sz w:val="27"/>
          <w:szCs w:val="27"/>
        </w:rPr>
        <w:t>本年度召开“三社”融合发展会议，报表业务培训等增加</w:t>
      </w:r>
      <w:r>
        <w:rPr>
          <w:sz w:val="27"/>
          <w:szCs w:val="27"/>
        </w:rPr>
        <w:t>。本年度培训费支出1.80万元，较上年决算数增加0.71万元，增长65.1%，主要原因是</w:t>
      </w:r>
      <w:r>
        <w:rPr>
          <w:rFonts w:hint="eastAsia"/>
          <w:sz w:val="27"/>
          <w:szCs w:val="27"/>
        </w:rPr>
        <w:t>本年度召开“三社”融合发展专项业务培训次数增加。</w:t>
      </w:r>
    </w:p>
    <w:p>
      <w:pPr>
        <w:pStyle w:val="5"/>
      </w:pPr>
      <w:r>
        <w:rPr>
          <w:rStyle w:val="8"/>
          <w:sz w:val="27"/>
          <w:szCs w:val="27"/>
        </w:rPr>
        <w:t>  （二）机关运行经费情况说明。</w:t>
      </w:r>
    </w:p>
    <w:p>
      <w:pPr>
        <w:pStyle w:val="5"/>
        <w:rPr>
          <w:sz w:val="27"/>
          <w:szCs w:val="27"/>
          <w:shd w:val="clear" w:color="auto" w:fill="FFFF00"/>
        </w:rPr>
      </w:pPr>
      <w:r>
        <w:rPr>
          <w:sz w:val="27"/>
          <w:szCs w:val="27"/>
        </w:rPr>
        <w:t> </w:t>
      </w:r>
      <w:r>
        <w:rPr>
          <w:rFonts w:hint="eastAsia"/>
          <w:sz w:val="27"/>
          <w:szCs w:val="27"/>
        </w:rPr>
        <w:t xml:space="preserve"> </w:t>
      </w:r>
      <w:r>
        <w:rPr>
          <w:sz w:val="27"/>
          <w:szCs w:val="27"/>
        </w:rPr>
        <w:t xml:space="preserve"> 2021年度本部门机关运行经费支出51.78万元，机关运行经费主要用于开支</w:t>
      </w:r>
      <w:r>
        <w:rPr>
          <w:rFonts w:hint="eastAsia"/>
          <w:sz w:val="27"/>
          <w:szCs w:val="27"/>
        </w:rPr>
        <w:t>主要用于开支办公费5.78万元、邮电费4万元、差旅费7万元以及水费、电费、其他交通费用、会议费、培训费、维修费、劳务费等各项公用开支。</w:t>
      </w:r>
      <w:r>
        <w:rPr>
          <w:sz w:val="27"/>
          <w:szCs w:val="27"/>
        </w:rPr>
        <w:t>机关运行经费较上年决算数减少17.71万元，下降25.5%，主要原因是</w:t>
      </w:r>
      <w:r>
        <w:rPr>
          <w:rFonts w:hint="eastAsia"/>
          <w:sz w:val="27"/>
          <w:szCs w:val="27"/>
        </w:rPr>
        <w:t>本单位严格遵守各项规章制度，厉行节约，严格压减一般性公共支出。</w:t>
      </w:r>
    </w:p>
    <w:p>
      <w:pPr>
        <w:pStyle w:val="5"/>
      </w:pPr>
      <w:r>
        <w:rPr>
          <w:rStyle w:val="8"/>
          <w:sz w:val="27"/>
          <w:szCs w:val="27"/>
        </w:rPr>
        <w:t> </w:t>
      </w:r>
      <w:r>
        <w:rPr>
          <w:rStyle w:val="8"/>
          <w:rFonts w:hint="eastAsia"/>
          <w:sz w:val="27"/>
          <w:szCs w:val="27"/>
        </w:rPr>
        <w:t xml:space="preserve"> </w:t>
      </w:r>
      <w:r>
        <w:rPr>
          <w:rStyle w:val="8"/>
          <w:sz w:val="27"/>
          <w:szCs w:val="27"/>
        </w:rPr>
        <w:t xml:space="preserve"> （三）国有资产占用情况说明。</w:t>
      </w:r>
    </w:p>
    <w:p>
      <w:pPr>
        <w:pStyle w:val="5"/>
      </w:pPr>
      <w:r>
        <w:rPr>
          <w:sz w:val="27"/>
          <w:szCs w:val="27"/>
        </w:rPr>
        <w:t xml:space="preserve">  </w:t>
      </w:r>
      <w:r>
        <w:rPr>
          <w:rFonts w:hint="eastAsia"/>
          <w:sz w:val="27"/>
          <w:szCs w:val="27"/>
        </w:rPr>
        <w:t xml:space="preserve"> </w:t>
      </w:r>
      <w:r>
        <w:rPr>
          <w:sz w:val="27"/>
          <w:szCs w:val="27"/>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5"/>
      </w:pPr>
      <w:r>
        <w:rPr>
          <w:rStyle w:val="8"/>
          <w:sz w:val="27"/>
          <w:szCs w:val="27"/>
        </w:rPr>
        <w:t xml:space="preserve">  </w:t>
      </w:r>
      <w:r>
        <w:rPr>
          <w:rStyle w:val="8"/>
          <w:rFonts w:hint="eastAsia"/>
          <w:sz w:val="27"/>
          <w:szCs w:val="27"/>
        </w:rPr>
        <w:t xml:space="preserve"> </w:t>
      </w:r>
      <w:r>
        <w:rPr>
          <w:rStyle w:val="8"/>
          <w:sz w:val="27"/>
          <w:szCs w:val="27"/>
        </w:rPr>
        <w:t>（四）政府采购支出情况说明。</w:t>
      </w:r>
    </w:p>
    <w:p>
      <w:pPr>
        <w:pStyle w:val="5"/>
      </w:pPr>
      <w:r>
        <w:rPr>
          <w:sz w:val="27"/>
          <w:szCs w:val="27"/>
        </w:rPr>
        <w:t xml:space="preserve">  </w:t>
      </w:r>
      <w:r>
        <w:rPr>
          <w:rFonts w:hint="eastAsia"/>
          <w:sz w:val="27"/>
          <w:szCs w:val="27"/>
        </w:rPr>
        <w:t xml:space="preserve"> </w:t>
      </w:r>
      <w:r>
        <w:rPr>
          <w:sz w:val="27"/>
          <w:szCs w:val="27"/>
        </w:rPr>
        <w:t>2021年度本部门政府采购支出总额81.00万元，其中：政府采购货物支出0.00万元、政府采购工程支出0.00万元、政府采购服务支出81.00万元。授予中小企业合同金额81.00万元，占政府采购支出总额的100%，其中：授予小微企业合同金额81.00万元，占政府采购支出总额的100%。主要用于采购</w:t>
      </w:r>
      <w:r>
        <w:rPr>
          <w:rFonts w:hint="eastAsia"/>
          <w:sz w:val="27"/>
          <w:szCs w:val="27"/>
        </w:rPr>
        <w:t>废弃农膜回收项目服务。</w:t>
      </w:r>
    </w:p>
    <w:p>
      <w:pPr>
        <w:pStyle w:val="5"/>
      </w:pPr>
      <w:r>
        <w:rPr>
          <w:rStyle w:val="8"/>
          <w:sz w:val="27"/>
          <w:szCs w:val="27"/>
        </w:rPr>
        <w:t> </w:t>
      </w:r>
      <w:r>
        <w:rPr>
          <w:rStyle w:val="8"/>
          <w:rFonts w:hint="eastAsia"/>
          <w:sz w:val="27"/>
          <w:szCs w:val="27"/>
        </w:rPr>
        <w:t xml:space="preserve"> </w:t>
      </w:r>
      <w:r>
        <w:rPr>
          <w:rStyle w:val="8"/>
          <w:sz w:val="27"/>
          <w:szCs w:val="27"/>
        </w:rPr>
        <w:t xml:space="preserve"> 五、预算绩效管理情况说明</w:t>
      </w:r>
    </w:p>
    <w:p>
      <w:pPr>
        <w:pStyle w:val="5"/>
        <w:rPr>
          <w:sz w:val="27"/>
          <w:szCs w:val="27"/>
          <w:shd w:val="clear" w:color="auto" w:fill="FFFF00"/>
        </w:rPr>
      </w:pPr>
      <w:r>
        <w:rPr>
          <w:rStyle w:val="8"/>
          <w:b w:val="0"/>
          <w:bCs w:val="0"/>
          <w:sz w:val="27"/>
          <w:szCs w:val="27"/>
        </w:rPr>
        <w:t xml:space="preserve">  </w:t>
      </w:r>
      <w:r>
        <w:rPr>
          <w:rStyle w:val="8"/>
          <w:rFonts w:hint="eastAsia"/>
          <w:b w:val="0"/>
          <w:bCs w:val="0"/>
          <w:sz w:val="27"/>
          <w:szCs w:val="27"/>
        </w:rPr>
        <w:t xml:space="preserve"> </w:t>
      </w:r>
      <w:r>
        <w:rPr>
          <w:rStyle w:val="8"/>
          <w:sz w:val="27"/>
          <w:szCs w:val="27"/>
        </w:rPr>
        <w:t>（一）预算绩效管理工作开展情况。</w:t>
      </w:r>
    </w:p>
    <w:p>
      <w:pPr>
        <w:pStyle w:val="5"/>
        <w:ind w:firstLine="540" w:firstLineChars="200"/>
      </w:pPr>
      <w:r>
        <w:rPr>
          <w:sz w:val="27"/>
          <w:szCs w:val="27"/>
        </w:rPr>
        <w:t>根据预算绩效管理要求，我</w:t>
      </w:r>
      <w:r>
        <w:rPr>
          <w:rFonts w:hint="eastAsia"/>
          <w:sz w:val="27"/>
          <w:szCs w:val="27"/>
        </w:rPr>
        <w:t>社</w:t>
      </w:r>
      <w:r>
        <w:rPr>
          <w:sz w:val="27"/>
          <w:szCs w:val="27"/>
        </w:rPr>
        <w:t>对部门整体和</w:t>
      </w:r>
      <w:r>
        <w:rPr>
          <w:rFonts w:hint="eastAsia"/>
          <w:sz w:val="27"/>
          <w:szCs w:val="27"/>
        </w:rPr>
        <w:t>6</w:t>
      </w:r>
      <w:r>
        <w:rPr>
          <w:sz w:val="27"/>
          <w:szCs w:val="27"/>
        </w:rPr>
        <w:t>个项目开展了绩效自评，其中，以填报自评表形式开展自评</w:t>
      </w:r>
      <w:r>
        <w:rPr>
          <w:rFonts w:hint="eastAsia"/>
          <w:sz w:val="27"/>
          <w:szCs w:val="27"/>
        </w:rPr>
        <w:t>6</w:t>
      </w:r>
      <w:r>
        <w:rPr>
          <w:sz w:val="27"/>
          <w:szCs w:val="27"/>
        </w:rPr>
        <w:t>项，涉及资金</w:t>
      </w:r>
      <w:r>
        <w:rPr>
          <w:rFonts w:hint="eastAsia"/>
          <w:sz w:val="27"/>
          <w:szCs w:val="27"/>
        </w:rPr>
        <w:t>520.89</w:t>
      </w:r>
      <w:r>
        <w:rPr>
          <w:sz w:val="27"/>
          <w:szCs w:val="27"/>
        </w:rPr>
        <w:t>万元</w:t>
      </w:r>
      <w:r>
        <w:rPr>
          <w:rFonts w:hint="eastAsia"/>
          <w:sz w:val="27"/>
          <w:szCs w:val="27"/>
        </w:rPr>
        <w:t>。</w:t>
      </w:r>
    </w:p>
    <w:p>
      <w:pPr>
        <w:pStyle w:val="5"/>
      </w:pPr>
      <w:r>
        <w:rPr>
          <w:rStyle w:val="8"/>
          <w:sz w:val="27"/>
          <w:szCs w:val="27"/>
        </w:rPr>
        <w:t xml:space="preserve">  </w:t>
      </w:r>
      <w:r>
        <w:rPr>
          <w:rStyle w:val="8"/>
          <w:rFonts w:hint="eastAsia"/>
          <w:sz w:val="27"/>
          <w:szCs w:val="27"/>
        </w:rPr>
        <w:t xml:space="preserve"> </w:t>
      </w:r>
      <w:r>
        <w:rPr>
          <w:rStyle w:val="8"/>
          <w:sz w:val="27"/>
          <w:szCs w:val="27"/>
        </w:rPr>
        <w:t>（二）绩效自评结果。</w:t>
      </w:r>
    </w:p>
    <w:p>
      <w:pPr>
        <w:pStyle w:val="5"/>
        <w:rPr>
          <w:rStyle w:val="8"/>
          <w:sz w:val="27"/>
          <w:szCs w:val="27"/>
        </w:rPr>
      </w:pPr>
      <w:r>
        <w:rPr>
          <w:rStyle w:val="8"/>
          <w:b w:val="0"/>
          <w:bCs w:val="0"/>
          <w:sz w:val="27"/>
          <w:szCs w:val="27"/>
        </w:rPr>
        <w:t xml:space="preserve">  </w:t>
      </w:r>
      <w:r>
        <w:rPr>
          <w:rStyle w:val="8"/>
          <w:sz w:val="27"/>
          <w:szCs w:val="27"/>
        </w:rPr>
        <w:t xml:space="preserve">   1.绩效目标自评表。</w:t>
      </w:r>
    </w:p>
    <w:p>
      <w:pPr>
        <w:widowControl/>
        <w:spacing w:line="600" w:lineRule="atLeast"/>
        <w:jc w:val="center"/>
        <w:rPr>
          <w:rFonts w:ascii="仿宋" w:hAnsi="仿宋" w:eastAsia="仿宋" w:cs="Times New Roman"/>
          <w:kern w:val="0"/>
          <w:sz w:val="32"/>
          <w:szCs w:val="32"/>
        </w:rPr>
      </w:pPr>
      <w:r>
        <w:rPr>
          <w:rFonts w:hint="eastAsia" w:ascii="仿宋" w:hAnsi="仿宋" w:eastAsia="仿宋" w:cs="仿宋"/>
          <w:b/>
          <w:bCs/>
          <w:color w:val="000000"/>
          <w:kern w:val="0"/>
          <w:sz w:val="32"/>
          <w:szCs w:val="32"/>
        </w:rPr>
        <w:t>垫江县供销合作社联合社</w:t>
      </w:r>
      <w:r>
        <w:rPr>
          <w:rFonts w:ascii="仿宋" w:hAnsi="仿宋" w:eastAsia="仿宋" w:cs="仿宋"/>
          <w:b/>
          <w:bCs/>
          <w:color w:val="000000"/>
          <w:kern w:val="0"/>
          <w:sz w:val="32"/>
          <w:szCs w:val="32"/>
        </w:rPr>
        <w:t>2021</w:t>
      </w:r>
      <w:r>
        <w:rPr>
          <w:rFonts w:hint="eastAsia" w:ascii="仿宋" w:hAnsi="仿宋" w:eastAsia="仿宋" w:cs="仿宋"/>
          <w:b/>
          <w:bCs/>
          <w:color w:val="000000"/>
          <w:kern w:val="0"/>
          <w:sz w:val="32"/>
          <w:szCs w:val="32"/>
        </w:rPr>
        <w:t>年部门整体绩效自评表</w:t>
      </w:r>
    </w:p>
    <w:tbl>
      <w:tblPr>
        <w:tblStyle w:val="6"/>
        <w:tblW w:w="8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777"/>
        <w:gridCol w:w="26"/>
        <w:gridCol w:w="1171"/>
        <w:gridCol w:w="2423"/>
        <w:gridCol w:w="2551"/>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一级指标</w:t>
            </w:r>
          </w:p>
        </w:tc>
        <w:tc>
          <w:tcPr>
            <w:tcW w:w="803" w:type="dxa"/>
            <w:gridSpan w:val="2"/>
            <w:vMerge w:val="restart"/>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二级指标</w:t>
            </w:r>
          </w:p>
        </w:tc>
        <w:tc>
          <w:tcPr>
            <w:tcW w:w="3594" w:type="dxa"/>
            <w:gridSpan w:val="2"/>
            <w:tcBorders>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三级指标</w:t>
            </w:r>
          </w:p>
        </w:tc>
        <w:tc>
          <w:tcPr>
            <w:tcW w:w="2551" w:type="dxa"/>
            <w:vMerge w:val="restart"/>
            <w:tcBorders>
              <w:left w:val="single" w:color="auto" w:sz="4" w:space="0"/>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评分标准</w:t>
            </w:r>
          </w:p>
        </w:tc>
        <w:tc>
          <w:tcPr>
            <w:tcW w:w="863" w:type="dxa"/>
            <w:vMerge w:val="restart"/>
            <w:tcBorders>
              <w:left w:val="single" w:color="auto" w:sz="4" w:space="0"/>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指标名称</w:t>
            </w:r>
          </w:p>
        </w:tc>
        <w:tc>
          <w:tcPr>
            <w:tcW w:w="2423" w:type="dxa"/>
            <w:tcBorders>
              <w:left w:val="single" w:color="auto" w:sz="4" w:space="0"/>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b/>
                <w:bCs/>
                <w:kern w:val="0"/>
                <w:sz w:val="24"/>
                <w:szCs w:val="24"/>
              </w:rPr>
              <w:t>指标解释说明</w:t>
            </w:r>
          </w:p>
        </w:tc>
        <w:tc>
          <w:tcPr>
            <w:tcW w:w="2551" w:type="dxa"/>
            <w:vMerge w:val="continue"/>
            <w:tcBorders>
              <w:left w:val="single" w:color="auto" w:sz="4" w:space="0"/>
              <w:right w:val="single" w:color="auto" w:sz="4" w:space="0"/>
            </w:tcBorders>
            <w:vAlign w:val="center"/>
          </w:tcPr>
          <w:p>
            <w:pPr>
              <w:widowControl/>
              <w:jc w:val="left"/>
              <w:rPr>
                <w:rFonts w:ascii="仿宋" w:hAnsi="仿宋" w:eastAsia="仿宋" w:cs="Times New Roman"/>
                <w:kern w:val="0"/>
                <w:sz w:val="24"/>
                <w:szCs w:val="24"/>
              </w:rPr>
            </w:pPr>
          </w:p>
        </w:tc>
        <w:tc>
          <w:tcPr>
            <w:tcW w:w="863" w:type="dxa"/>
            <w:vMerge w:val="continue"/>
            <w:tcBorders>
              <w:left w:val="single" w:color="auto" w:sz="4" w:space="0"/>
              <w:right w:val="single" w:color="auto" w:sz="4" w:space="0"/>
            </w:tcBorders>
            <w:vAlign w:val="center"/>
          </w:tcPr>
          <w:p>
            <w:pPr>
              <w:widowControl/>
              <w:jc w:val="left"/>
              <w:rPr>
                <w:rFonts w:ascii="仿宋" w:hAnsi="仿宋"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33" w:type="dxa"/>
            <w:vMerge w:val="restart"/>
          </w:tcPr>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投入（</w:t>
            </w:r>
            <w:r>
              <w:rPr>
                <w:rFonts w:ascii="仿宋" w:hAnsi="仿宋" w:eastAsia="仿宋" w:cs="仿宋"/>
                <w:kern w:val="0"/>
                <w:sz w:val="24"/>
                <w:szCs w:val="24"/>
              </w:rPr>
              <w:t>10</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tc>
        <w:tc>
          <w:tcPr>
            <w:tcW w:w="803" w:type="dxa"/>
            <w:gridSpan w:val="2"/>
            <w:vMerge w:val="restart"/>
          </w:tcPr>
          <w:p>
            <w:pPr>
              <w:widowControl/>
              <w:spacing w:line="240" w:lineRule="exact"/>
              <w:jc w:val="left"/>
              <w:rPr>
                <w:rFonts w:ascii="仿宋" w:hAnsi="仿宋" w:eastAsia="仿宋" w:cs="Times New Roman"/>
                <w:kern w:val="0"/>
                <w:sz w:val="24"/>
                <w:szCs w:val="24"/>
              </w:rPr>
            </w:pPr>
          </w:p>
          <w:p>
            <w:pPr>
              <w:widowControl/>
              <w:spacing w:line="240" w:lineRule="exact"/>
              <w:jc w:val="left"/>
              <w:rPr>
                <w:rFonts w:ascii="仿宋" w:hAnsi="仿宋" w:eastAsia="仿宋" w:cs="Times New Roman"/>
                <w:kern w:val="0"/>
                <w:sz w:val="24"/>
                <w:szCs w:val="24"/>
              </w:rPr>
            </w:pPr>
          </w:p>
          <w:p>
            <w:pPr>
              <w:widowControl/>
              <w:spacing w:line="240" w:lineRule="exact"/>
              <w:jc w:val="left"/>
              <w:rPr>
                <w:rFonts w:ascii="仿宋" w:hAnsi="仿宋" w:eastAsia="仿宋" w:cs="Times New Roman"/>
                <w:kern w:val="0"/>
                <w:sz w:val="24"/>
                <w:szCs w:val="24"/>
              </w:rPr>
            </w:pPr>
          </w:p>
          <w:p>
            <w:pPr>
              <w:widowControl/>
              <w:spacing w:line="240" w:lineRule="exact"/>
              <w:jc w:val="left"/>
              <w:rPr>
                <w:rFonts w:ascii="仿宋" w:hAnsi="仿宋" w:eastAsia="仿宋" w:cs="Times New Roman"/>
                <w:kern w:val="0"/>
                <w:sz w:val="24"/>
                <w:szCs w:val="24"/>
              </w:rPr>
            </w:pPr>
          </w:p>
          <w:p>
            <w:pPr>
              <w:widowControl/>
              <w:spacing w:line="240" w:lineRule="exact"/>
              <w:jc w:val="left"/>
              <w:rPr>
                <w:rFonts w:ascii="仿宋" w:hAnsi="仿宋" w:eastAsia="仿宋" w:cs="Times New Roman"/>
                <w:kern w:val="0"/>
                <w:sz w:val="24"/>
                <w:szCs w:val="24"/>
              </w:rPr>
            </w:pPr>
          </w:p>
          <w:p>
            <w:pPr>
              <w:widowControl/>
              <w:spacing w:line="240" w:lineRule="exact"/>
              <w:jc w:val="left"/>
              <w:rPr>
                <w:rFonts w:ascii="仿宋" w:hAnsi="仿宋" w:eastAsia="仿宋" w:cs="Times New Roman"/>
                <w:kern w:val="0"/>
                <w:sz w:val="24"/>
                <w:szCs w:val="24"/>
              </w:rPr>
            </w:pP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预算编制</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分）</w:t>
            </w:r>
          </w:p>
        </w:tc>
        <w:tc>
          <w:tcPr>
            <w:tcW w:w="1171" w:type="dxa"/>
            <w:tcBorders>
              <w:bottom w:val="single" w:color="auto" w:sz="4" w:space="0"/>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kern w:val="0"/>
                <w:sz w:val="24"/>
                <w:szCs w:val="24"/>
              </w:rPr>
              <w:t>预算编制合理性（</w:t>
            </w:r>
            <w:r>
              <w:rPr>
                <w:rFonts w:ascii="仿宋" w:hAnsi="仿宋" w:eastAsia="仿宋" w:cs="仿宋"/>
                <w:kern w:val="0"/>
                <w:sz w:val="24"/>
                <w:szCs w:val="24"/>
              </w:rPr>
              <w:t>2</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68" w:lineRule="atLeast"/>
              <w:jc w:val="center"/>
              <w:rPr>
                <w:rFonts w:ascii="仿宋" w:hAnsi="仿宋" w:eastAsia="仿宋" w:cs="Times New Roman"/>
                <w:kern w:val="0"/>
                <w:sz w:val="24"/>
                <w:szCs w:val="24"/>
              </w:rPr>
            </w:pPr>
            <w:r>
              <w:rPr>
                <w:rFonts w:hint="eastAsia" w:ascii="仿宋" w:hAnsi="仿宋" w:eastAsia="仿宋" w:cs="仿宋"/>
                <w:kern w:val="0"/>
                <w:sz w:val="24"/>
                <w:szCs w:val="24"/>
              </w:rPr>
              <w:t>考核部门（单位）预算的合理性，即是否符合本部门职责、是否符合县委县政府的方针政策和工作要求，资金有无根据</w:t>
            </w:r>
          </w:p>
          <w:p>
            <w:pPr>
              <w:widowControl/>
              <w:spacing w:line="68" w:lineRule="atLeast"/>
              <w:rPr>
                <w:rFonts w:ascii="仿宋" w:hAnsi="仿宋" w:eastAsia="仿宋" w:cs="Times New Roman"/>
                <w:kern w:val="0"/>
                <w:sz w:val="24"/>
                <w:szCs w:val="24"/>
              </w:rPr>
            </w:pPr>
            <w:r>
              <w:rPr>
                <w:rFonts w:hint="eastAsia" w:ascii="仿宋" w:hAnsi="仿宋" w:eastAsia="仿宋" w:cs="仿宋"/>
                <w:kern w:val="0"/>
                <w:sz w:val="24"/>
                <w:szCs w:val="24"/>
              </w:rPr>
              <w:t>项目的轻重缓急进行分配。</w:t>
            </w:r>
          </w:p>
        </w:tc>
        <w:tc>
          <w:tcPr>
            <w:tcW w:w="2551" w:type="dxa"/>
            <w:tcBorders>
              <w:left w:val="single" w:color="auto" w:sz="4" w:space="0"/>
              <w:bottom w:val="single" w:color="auto" w:sz="4" w:space="0"/>
              <w:right w:val="single" w:color="auto" w:sz="4" w:space="0"/>
            </w:tcBorders>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部门预算编制、分配符合本部分职责、符合县委县政府方针政策和工作要求的，得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部门预算资金能根据年度工作重点，在不同项目、不用用途之间分配合理的，得</w:t>
            </w:r>
            <w:r>
              <w:rPr>
                <w:rFonts w:ascii="仿宋" w:hAnsi="仿宋" w:eastAsia="仿宋" w:cs="仿宋"/>
                <w:kern w:val="0"/>
                <w:sz w:val="24"/>
                <w:szCs w:val="24"/>
              </w:rPr>
              <w:t>1</w:t>
            </w:r>
            <w:r>
              <w:rPr>
                <w:rFonts w:hint="eastAsia" w:ascii="仿宋" w:hAnsi="仿宋" w:eastAsia="仿宋" w:cs="仿宋"/>
                <w:kern w:val="0"/>
                <w:sz w:val="24"/>
                <w:szCs w:val="24"/>
              </w:rPr>
              <w:t>分。</w:t>
            </w:r>
          </w:p>
        </w:tc>
        <w:tc>
          <w:tcPr>
            <w:tcW w:w="863" w:type="dxa"/>
            <w:tcBorders>
              <w:left w:val="single" w:color="auto" w:sz="4" w:space="0"/>
              <w:bottom w:val="single" w:color="auto" w:sz="4" w:space="0"/>
            </w:tcBorders>
          </w:tcPr>
          <w:p>
            <w:pPr>
              <w:widowControl/>
              <w:spacing w:line="68" w:lineRule="atLeast"/>
              <w:jc w:val="left"/>
              <w:rPr>
                <w:rFonts w:ascii="宋体" w:hAnsi="宋体" w:eastAsia="仿宋" w:cs="Times New Roman"/>
                <w:kern w:val="0"/>
                <w:sz w:val="20"/>
                <w:szCs w:val="20"/>
              </w:rPr>
            </w:pPr>
            <w:r>
              <w:rPr>
                <w:rFonts w:ascii="宋体" w:hAnsi="宋体" w:eastAsia="仿宋" w:cs="Times New Roman"/>
                <w:kern w:val="0"/>
                <w:sz w:val="20"/>
                <w:szCs w:val="20"/>
              </w:rPr>
              <w:t> </w:t>
            </w:r>
          </w:p>
          <w:p>
            <w:pPr>
              <w:widowControl/>
              <w:spacing w:line="68" w:lineRule="atLeast"/>
              <w:jc w:val="left"/>
              <w:rPr>
                <w:rFonts w:ascii="宋体" w:hAnsi="宋体" w:eastAsia="仿宋" w:cs="Times New Roman"/>
                <w:kern w:val="0"/>
                <w:sz w:val="20"/>
                <w:szCs w:val="20"/>
              </w:rPr>
            </w:pPr>
          </w:p>
          <w:p>
            <w:pPr>
              <w:widowControl/>
              <w:spacing w:line="68" w:lineRule="atLeast"/>
              <w:jc w:val="left"/>
              <w:rPr>
                <w:rFonts w:ascii="宋体" w:hAnsi="宋体" w:eastAsia="仿宋" w:cs="宋体"/>
                <w:kern w:val="0"/>
                <w:sz w:val="20"/>
                <w:szCs w:val="20"/>
              </w:rPr>
            </w:pPr>
            <w:r>
              <w:rPr>
                <w:rFonts w:ascii="宋体" w:hAnsi="宋体" w:eastAsia="仿宋"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预算编制规范性（</w:t>
            </w:r>
            <w:r>
              <w:rPr>
                <w:rFonts w:ascii="仿宋" w:hAnsi="仿宋" w:eastAsia="仿宋" w:cs="仿宋"/>
                <w:kern w:val="0"/>
                <w:sz w:val="24"/>
                <w:szCs w:val="24"/>
              </w:rPr>
              <w:t>2</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考核部门（单位）预算编制是否符合县财政当年有关预算编制的原则，例如在规范性和细致程度方面是否符合要求等。</w:t>
            </w:r>
          </w:p>
        </w:tc>
        <w:tc>
          <w:tcPr>
            <w:tcW w:w="2551"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预算编制符合县财政当年有关预算编制的原则和要求的，得</w:t>
            </w:r>
            <w:r>
              <w:rPr>
                <w:rFonts w:ascii="仿宋" w:hAnsi="仿宋" w:eastAsia="仿宋" w:cs="仿宋"/>
                <w:kern w:val="0"/>
                <w:sz w:val="24"/>
                <w:szCs w:val="24"/>
              </w:rPr>
              <w:t>2</w:t>
            </w:r>
            <w:r>
              <w:rPr>
                <w:rFonts w:hint="eastAsia" w:ascii="仿宋" w:hAnsi="仿宋" w:eastAsia="仿宋" w:cs="仿宋"/>
                <w:kern w:val="0"/>
                <w:sz w:val="24"/>
                <w:szCs w:val="24"/>
              </w:rPr>
              <w:t>分；发现一项没有满足的扣</w:t>
            </w:r>
            <w:r>
              <w:rPr>
                <w:rFonts w:ascii="仿宋" w:hAnsi="仿宋" w:eastAsia="仿宋" w:cs="仿宋"/>
                <w:kern w:val="0"/>
                <w:sz w:val="24"/>
                <w:szCs w:val="24"/>
              </w:rPr>
              <w:t>0.5</w:t>
            </w:r>
            <w:r>
              <w:rPr>
                <w:rFonts w:hint="eastAsia" w:ascii="仿宋" w:hAnsi="仿宋" w:eastAsia="仿宋" w:cs="仿宋"/>
                <w:kern w:val="0"/>
                <w:sz w:val="24"/>
                <w:szCs w:val="24"/>
              </w:rPr>
              <w:t>分，扣完为止。</w:t>
            </w:r>
          </w:p>
        </w:tc>
        <w:tc>
          <w:tcPr>
            <w:tcW w:w="863" w:type="dxa"/>
            <w:tcBorders>
              <w:left w:val="single" w:color="auto" w:sz="4" w:space="0"/>
              <w:bottom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restart"/>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目标设置（</w:t>
            </w:r>
            <w:r>
              <w:rPr>
                <w:rFonts w:ascii="仿宋" w:hAnsi="仿宋" w:eastAsia="仿宋" w:cs="仿宋"/>
                <w:kern w:val="0"/>
                <w:sz w:val="24"/>
                <w:szCs w:val="24"/>
              </w:rPr>
              <w:t>6</w:t>
            </w:r>
            <w:r>
              <w:rPr>
                <w:rFonts w:hint="eastAsia" w:ascii="仿宋" w:hAnsi="仿宋" w:eastAsia="仿宋" w:cs="仿宋"/>
                <w:kern w:val="0"/>
                <w:sz w:val="24"/>
                <w:szCs w:val="24"/>
              </w:rPr>
              <w:t>分）</w:t>
            </w: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目标合理性（</w:t>
            </w:r>
            <w:r>
              <w:rPr>
                <w:rFonts w:ascii="仿宋" w:hAnsi="仿宋" w:eastAsia="仿宋" w:cs="仿宋"/>
                <w:kern w:val="0"/>
                <w:sz w:val="24"/>
                <w:szCs w:val="24"/>
              </w:rPr>
              <w:t>2</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部门（单位）所设立的整体绩效目标是否符合客观实际，用以反映和考核部门（单位）整体绩效目标与年度工作任务的相符性情况。</w:t>
            </w:r>
          </w:p>
        </w:tc>
        <w:tc>
          <w:tcPr>
            <w:tcW w:w="2551"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整体绩效目标与年度工作任务相符的，得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整体绩效目标符合客观实际情况的，得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p>
        </w:tc>
        <w:tc>
          <w:tcPr>
            <w:tcW w:w="863" w:type="dxa"/>
            <w:tcBorders>
              <w:left w:val="single" w:color="auto" w:sz="4" w:space="0"/>
              <w:bottom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绩效目标覆盖率（</w:t>
            </w:r>
            <w:r>
              <w:rPr>
                <w:rFonts w:ascii="仿宋" w:hAnsi="仿宋" w:eastAsia="仿宋" w:cs="仿宋"/>
                <w:kern w:val="0"/>
                <w:sz w:val="24"/>
                <w:szCs w:val="24"/>
              </w:rPr>
              <w:t>2</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部门（单位）设置了绩效目标的金额与部门整体支出金额的比率。</w:t>
            </w:r>
          </w:p>
        </w:tc>
        <w:tc>
          <w:tcPr>
            <w:tcW w:w="2551"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80%</w:t>
            </w:r>
            <w:r>
              <w:rPr>
                <w:rFonts w:hint="eastAsia" w:ascii="仿宋" w:hAnsi="仿宋" w:eastAsia="仿宋" w:cs="仿宋"/>
                <w:kern w:val="0"/>
                <w:sz w:val="24"/>
                <w:szCs w:val="24"/>
              </w:rPr>
              <w:t>的，得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80%</w:t>
            </w:r>
            <w:r>
              <w:rPr>
                <w:rFonts w:hint="eastAsia" w:ascii="仿宋" w:hAnsi="仿宋" w:eastAsia="仿宋" w:cs="仿宋"/>
                <w:kern w:val="0"/>
                <w:sz w:val="24"/>
                <w:szCs w:val="24"/>
              </w:rPr>
              <w:t>﹥比率≥</w:t>
            </w:r>
            <w:r>
              <w:rPr>
                <w:rFonts w:ascii="仿宋" w:hAnsi="仿宋" w:eastAsia="仿宋" w:cs="仿宋"/>
                <w:kern w:val="0"/>
                <w:sz w:val="24"/>
                <w:szCs w:val="24"/>
              </w:rPr>
              <w:t>60%</w:t>
            </w:r>
            <w:r>
              <w:rPr>
                <w:rFonts w:hint="eastAsia" w:ascii="仿宋" w:hAnsi="仿宋" w:eastAsia="仿宋" w:cs="仿宋"/>
                <w:kern w:val="0"/>
                <w:sz w:val="24"/>
                <w:szCs w:val="24"/>
              </w:rPr>
              <w:t>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60%</w:t>
            </w:r>
            <w:r>
              <w:rPr>
                <w:rFonts w:hint="eastAsia" w:ascii="仿宋" w:hAnsi="仿宋" w:eastAsia="仿宋" w:cs="仿宋"/>
                <w:kern w:val="0"/>
                <w:sz w:val="24"/>
                <w:szCs w:val="24"/>
              </w:rPr>
              <w:t>﹥比率≥</w:t>
            </w:r>
            <w:r>
              <w:rPr>
                <w:rFonts w:ascii="仿宋" w:hAnsi="仿宋" w:eastAsia="仿宋" w:cs="仿宋"/>
                <w:kern w:val="0"/>
                <w:sz w:val="24"/>
                <w:szCs w:val="24"/>
              </w:rPr>
              <w:t>30%</w:t>
            </w:r>
            <w:r>
              <w:rPr>
                <w:rFonts w:hint="eastAsia" w:ascii="仿宋" w:hAnsi="仿宋" w:eastAsia="仿宋" w:cs="仿宋"/>
                <w:kern w:val="0"/>
                <w:sz w:val="24"/>
                <w:szCs w:val="24"/>
              </w:rPr>
              <w:t>的，得</w:t>
            </w:r>
            <w:r>
              <w:rPr>
                <w:rFonts w:ascii="仿宋" w:hAnsi="仿宋" w:eastAsia="仿宋" w:cs="仿宋"/>
                <w:kern w:val="0"/>
                <w:sz w:val="24"/>
                <w:szCs w:val="24"/>
              </w:rPr>
              <w:t>0.5</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30%</w:t>
            </w:r>
            <w:r>
              <w:rPr>
                <w:rFonts w:hint="eastAsia" w:ascii="仿宋" w:hAnsi="仿宋" w:eastAsia="仿宋" w:cs="仿宋"/>
                <w:kern w:val="0"/>
                <w:sz w:val="24"/>
                <w:szCs w:val="24"/>
              </w:rPr>
              <w:t>的，得</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bottom w:val="single" w:color="auto" w:sz="4" w:space="0"/>
            </w:tcBorders>
            <w:vAlign w:val="center"/>
          </w:tcPr>
          <w:p>
            <w:pPr>
              <w:widowControl/>
              <w:spacing w:line="68" w:lineRule="atLeast"/>
              <w:jc w:val="left"/>
              <w:rPr>
                <w:rFonts w:ascii="宋体" w:hAnsi="宋体" w:eastAsia="仿宋" w:cs="宋体"/>
                <w:kern w:val="0"/>
                <w:sz w:val="20"/>
                <w:szCs w:val="20"/>
              </w:rPr>
            </w:pPr>
            <w:r>
              <w:rPr>
                <w:rFonts w:ascii="宋体" w:hAnsi="宋体" w:eastAsia="仿宋" w:cs="宋体"/>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绩效指标明确性（</w:t>
            </w:r>
            <w:r>
              <w:rPr>
                <w:rFonts w:ascii="仿宋" w:hAnsi="仿宋" w:eastAsia="仿宋" w:cs="仿宋"/>
                <w:kern w:val="0"/>
                <w:sz w:val="24"/>
                <w:szCs w:val="24"/>
              </w:rPr>
              <w:t>2</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部门（单位）依据整体绩效目标所设定的绩效指标是否清晰、细化、可量化。</w:t>
            </w:r>
          </w:p>
        </w:tc>
        <w:tc>
          <w:tcPr>
            <w:tcW w:w="2551"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绩效指标能反映绩效目标的，得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绩效指标明确且可量化的，得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其他情况酌情扣分。</w:t>
            </w:r>
          </w:p>
        </w:tc>
        <w:tc>
          <w:tcPr>
            <w:tcW w:w="863" w:type="dxa"/>
            <w:tcBorders>
              <w:left w:val="single" w:color="auto" w:sz="4" w:space="0"/>
              <w:bottom w:val="single" w:color="auto" w:sz="4" w:space="0"/>
            </w:tcBorders>
            <w:vAlign w:val="center"/>
          </w:tcPr>
          <w:p>
            <w:pPr>
              <w:widowControl/>
              <w:spacing w:line="68" w:lineRule="atLeast"/>
              <w:jc w:val="left"/>
              <w:rPr>
                <w:rFonts w:ascii="宋体" w:hAnsi="宋体" w:eastAsia="仿宋" w:cs="宋体"/>
                <w:kern w:val="0"/>
                <w:sz w:val="20"/>
                <w:szCs w:val="20"/>
              </w:rPr>
            </w:pPr>
            <w:r>
              <w:rPr>
                <w:rFonts w:ascii="宋体" w:hAnsi="宋体" w:eastAsia="仿宋"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6" w:hRule="atLeast"/>
          <w:jc w:val="center"/>
        </w:trPr>
        <w:tc>
          <w:tcPr>
            <w:tcW w:w="733" w:type="dxa"/>
            <w:vMerge w:val="restart"/>
            <w:vAlign w:val="center"/>
          </w:tcPr>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rPr>
                <w:rFonts w:ascii="仿宋" w:hAnsi="仿宋" w:eastAsia="仿宋" w:cs="仿宋"/>
                <w:kern w:val="0"/>
                <w:sz w:val="24"/>
                <w:szCs w:val="24"/>
              </w:rPr>
            </w:pPr>
            <w:r>
              <w:rPr>
                <w:rFonts w:hint="eastAsia" w:ascii="仿宋" w:hAnsi="仿宋" w:eastAsia="仿宋" w:cs="仿宋"/>
                <w:kern w:val="0"/>
                <w:sz w:val="24"/>
                <w:szCs w:val="24"/>
              </w:rPr>
              <w:t>过程</w:t>
            </w:r>
            <w:r>
              <w:rPr>
                <w:rFonts w:ascii="仿宋" w:hAnsi="仿宋" w:eastAsia="仿宋" w:cs="仿宋"/>
                <w:kern w:val="0"/>
                <w:sz w:val="24"/>
                <w:szCs w:val="24"/>
              </w:rPr>
              <w:t>(50</w:t>
            </w:r>
            <w:r>
              <w:rPr>
                <w:rFonts w:hint="eastAsia" w:ascii="仿宋" w:hAnsi="仿宋" w:eastAsia="仿宋" w:cs="仿宋"/>
                <w:kern w:val="0"/>
                <w:sz w:val="24"/>
                <w:szCs w:val="24"/>
              </w:rPr>
              <w:t>分</w:t>
            </w:r>
            <w:r>
              <w:rPr>
                <w:rFonts w:ascii="仿宋" w:hAnsi="仿宋" w:eastAsia="仿宋" w:cs="仿宋"/>
                <w:kern w:val="0"/>
                <w:sz w:val="24"/>
                <w:szCs w:val="24"/>
              </w:rPr>
              <w:t>)</w:t>
            </w: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rPr>
                <w:rFonts w:ascii="仿宋" w:hAnsi="仿宋" w:eastAsia="仿宋" w:cs="仿宋"/>
                <w:kern w:val="0"/>
                <w:sz w:val="24"/>
                <w:szCs w:val="24"/>
              </w:rPr>
            </w:pPr>
            <w:r>
              <w:rPr>
                <w:rFonts w:hint="eastAsia" w:ascii="仿宋" w:hAnsi="仿宋" w:eastAsia="仿宋" w:cs="仿宋"/>
                <w:kern w:val="0"/>
                <w:sz w:val="24"/>
                <w:szCs w:val="24"/>
              </w:rPr>
              <w:t>过程</w:t>
            </w:r>
            <w:r>
              <w:rPr>
                <w:rFonts w:ascii="仿宋" w:hAnsi="仿宋" w:eastAsia="仿宋" w:cs="仿宋"/>
                <w:kern w:val="0"/>
                <w:sz w:val="24"/>
                <w:szCs w:val="24"/>
              </w:rPr>
              <w:t>(50</w:t>
            </w:r>
            <w:r>
              <w:rPr>
                <w:rFonts w:hint="eastAsia" w:ascii="仿宋" w:hAnsi="仿宋" w:eastAsia="仿宋" w:cs="仿宋"/>
                <w:kern w:val="0"/>
                <w:sz w:val="24"/>
                <w:szCs w:val="24"/>
              </w:rPr>
              <w:t>分</w:t>
            </w:r>
            <w:r>
              <w:rPr>
                <w:rFonts w:ascii="仿宋" w:hAnsi="仿宋" w:eastAsia="仿宋" w:cs="仿宋"/>
                <w:kern w:val="0"/>
                <w:sz w:val="24"/>
                <w:szCs w:val="24"/>
              </w:rPr>
              <w:t>)</w:t>
            </w: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rPr>
                <w:rFonts w:ascii="仿宋" w:hAnsi="仿宋" w:eastAsia="仿宋" w:cs="仿宋"/>
                <w:kern w:val="0"/>
                <w:sz w:val="24"/>
                <w:szCs w:val="24"/>
              </w:rPr>
            </w:pPr>
            <w:r>
              <w:rPr>
                <w:rFonts w:hint="eastAsia" w:ascii="仿宋" w:hAnsi="仿宋" w:eastAsia="仿宋" w:cs="仿宋"/>
                <w:kern w:val="0"/>
                <w:sz w:val="24"/>
                <w:szCs w:val="24"/>
              </w:rPr>
              <w:t>过程</w:t>
            </w:r>
            <w:r>
              <w:rPr>
                <w:rFonts w:ascii="仿宋" w:hAnsi="仿宋" w:eastAsia="仿宋" w:cs="仿宋"/>
                <w:kern w:val="0"/>
                <w:sz w:val="24"/>
                <w:szCs w:val="24"/>
              </w:rPr>
              <w:t>(50</w:t>
            </w:r>
            <w:r>
              <w:rPr>
                <w:rFonts w:hint="eastAsia" w:ascii="仿宋" w:hAnsi="仿宋" w:eastAsia="仿宋" w:cs="仿宋"/>
                <w:kern w:val="0"/>
                <w:sz w:val="24"/>
                <w:szCs w:val="24"/>
              </w:rPr>
              <w:t>分</w:t>
            </w:r>
            <w:r>
              <w:rPr>
                <w:rFonts w:ascii="仿宋" w:hAnsi="仿宋" w:eastAsia="仿宋" w:cs="仿宋"/>
                <w:kern w:val="0"/>
                <w:sz w:val="24"/>
                <w:szCs w:val="24"/>
              </w:rPr>
              <w:t>)</w:t>
            </w: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jc w:val="center"/>
              <w:rPr>
                <w:rFonts w:ascii="仿宋" w:hAnsi="仿宋" w:eastAsia="仿宋" w:cs="Times New Roman"/>
                <w:kern w:val="0"/>
                <w:sz w:val="24"/>
                <w:szCs w:val="24"/>
              </w:rPr>
            </w:pPr>
          </w:p>
          <w:p>
            <w:pPr>
              <w:widowControl/>
              <w:spacing w:line="68" w:lineRule="atLeast"/>
              <w:rPr>
                <w:rFonts w:ascii="仿宋" w:hAnsi="仿宋" w:eastAsia="仿宋" w:cs="Times New Roman"/>
                <w:kern w:val="0"/>
                <w:sz w:val="24"/>
                <w:szCs w:val="24"/>
              </w:rPr>
            </w:pPr>
          </w:p>
          <w:p>
            <w:pPr>
              <w:widowControl/>
              <w:spacing w:line="68" w:lineRule="atLeast"/>
              <w:rPr>
                <w:rFonts w:ascii="仿宋" w:hAnsi="仿宋" w:eastAsia="仿宋" w:cs="Times New Roman"/>
                <w:kern w:val="0"/>
                <w:sz w:val="24"/>
                <w:szCs w:val="24"/>
              </w:rPr>
            </w:pPr>
          </w:p>
          <w:p>
            <w:pPr>
              <w:widowControl/>
              <w:spacing w:line="68" w:lineRule="atLeast"/>
              <w:rPr>
                <w:rFonts w:ascii="仿宋" w:hAnsi="仿宋" w:eastAsia="仿宋" w:cs="Times New Roman"/>
                <w:kern w:val="0"/>
                <w:sz w:val="24"/>
                <w:szCs w:val="24"/>
              </w:rPr>
            </w:pPr>
          </w:p>
          <w:p>
            <w:pPr>
              <w:spacing w:line="68" w:lineRule="atLeast"/>
              <w:rPr>
                <w:rFonts w:ascii="仿宋" w:hAnsi="仿宋" w:eastAsia="仿宋" w:cs="Times New Roman"/>
                <w:kern w:val="0"/>
                <w:sz w:val="24"/>
                <w:szCs w:val="24"/>
              </w:rPr>
            </w:pPr>
          </w:p>
        </w:tc>
        <w:tc>
          <w:tcPr>
            <w:tcW w:w="777" w:type="dxa"/>
            <w:vMerge w:val="restart"/>
            <w:vAlign w:val="center"/>
          </w:tcPr>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预算执行情况（</w:t>
            </w:r>
            <w:r>
              <w:rPr>
                <w:rFonts w:ascii="仿宋" w:hAnsi="仿宋" w:eastAsia="仿宋" w:cs="仿宋"/>
                <w:kern w:val="0"/>
                <w:sz w:val="24"/>
                <w:szCs w:val="24"/>
              </w:rPr>
              <w:t>24</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预算执行</w:t>
            </w:r>
            <w:r>
              <w:rPr>
                <w:rFonts w:ascii="仿宋" w:hAnsi="仿宋" w:eastAsia="仿宋" w:cs="仿宋"/>
                <w:kern w:val="0"/>
                <w:sz w:val="24"/>
                <w:szCs w:val="24"/>
              </w:rPr>
              <w:t>(24</w:t>
            </w:r>
            <w:r>
              <w:rPr>
                <w:rFonts w:hint="eastAsia" w:ascii="仿宋" w:hAnsi="仿宋" w:eastAsia="仿宋" w:cs="仿宋"/>
                <w:kern w:val="0"/>
                <w:sz w:val="24"/>
                <w:szCs w:val="24"/>
              </w:rPr>
              <w:t>分</w:t>
            </w:r>
            <w:r>
              <w:rPr>
                <w:rFonts w:ascii="仿宋" w:hAnsi="仿宋" w:eastAsia="仿宋" w:cs="仿宋"/>
                <w:kern w:val="0"/>
                <w:sz w:val="24"/>
                <w:szCs w:val="24"/>
              </w:rPr>
              <w:t>)</w:t>
            </w:r>
          </w:p>
        </w:tc>
        <w:tc>
          <w:tcPr>
            <w:tcW w:w="1197" w:type="dxa"/>
            <w:gridSpan w:val="2"/>
            <w:tcBorders>
              <w:top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财政供养人员控制率（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top w:val="single" w:color="auto" w:sz="4" w:space="0"/>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部门本年度实际在职人员数与编制数的比率，用以反映和评价部门对人员成本的控制程度。</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在职人员控制率</w:t>
            </w:r>
            <w:r>
              <w:rPr>
                <w:rFonts w:ascii="仿宋" w:hAnsi="仿宋" w:eastAsia="仿宋" w:cs="仿宋"/>
                <w:kern w:val="0"/>
                <w:sz w:val="24"/>
                <w:szCs w:val="24"/>
              </w:rPr>
              <w:t>=</w:t>
            </w:r>
            <w:r>
              <w:rPr>
                <w:rFonts w:hint="eastAsia" w:ascii="仿宋" w:hAnsi="仿宋" w:eastAsia="仿宋" w:cs="仿宋"/>
                <w:kern w:val="0"/>
                <w:sz w:val="24"/>
                <w:szCs w:val="24"/>
              </w:rPr>
              <w:t>（在职人员数</w:t>
            </w:r>
            <w:r>
              <w:rPr>
                <w:rFonts w:ascii="仿宋" w:hAnsi="仿宋" w:eastAsia="仿宋" w:cs="仿宋"/>
                <w:kern w:val="0"/>
                <w:sz w:val="24"/>
                <w:szCs w:val="24"/>
              </w:rPr>
              <w:t>/</w:t>
            </w:r>
            <w:r>
              <w:rPr>
                <w:rFonts w:hint="eastAsia" w:ascii="仿宋" w:hAnsi="仿宋" w:eastAsia="仿宋" w:cs="仿宋"/>
                <w:kern w:val="0"/>
                <w:sz w:val="24"/>
                <w:szCs w:val="24"/>
              </w:rPr>
              <w:t>编制数）×</w:t>
            </w:r>
            <w:r>
              <w:rPr>
                <w:rFonts w:ascii="仿宋" w:hAnsi="仿宋" w:eastAsia="仿宋" w:cs="仿宋"/>
                <w:kern w:val="0"/>
                <w:sz w:val="24"/>
                <w:szCs w:val="24"/>
              </w:rPr>
              <w:t>100%</w:t>
            </w:r>
            <w:r>
              <w:rPr>
                <w:rFonts w:hint="eastAsia" w:ascii="仿宋" w:hAnsi="仿宋" w:eastAsia="仿宋" w:cs="仿宋"/>
                <w:kern w:val="0"/>
                <w:sz w:val="24"/>
                <w:szCs w:val="24"/>
              </w:rPr>
              <w:t>。</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在职人员数：部门实际在职人数，以财政部门确定的部门决算编制口径为准。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编制数：机构编制部门核定批复的部门人员编制数。</w:t>
            </w:r>
          </w:p>
        </w:tc>
        <w:tc>
          <w:tcPr>
            <w:tcW w:w="2551" w:type="dxa"/>
            <w:tcBorders>
              <w:top w:val="single" w:color="auto" w:sz="4" w:space="0"/>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目标值≤</w:t>
            </w:r>
            <w:r>
              <w:rPr>
                <w:rFonts w:ascii="仿宋" w:hAnsi="仿宋" w:eastAsia="仿宋" w:cs="仿宋"/>
                <w:kern w:val="0"/>
                <w:sz w:val="24"/>
                <w:szCs w:val="24"/>
              </w:rPr>
              <w:t>100%</w:t>
            </w:r>
            <w:r>
              <w:rPr>
                <w:rFonts w:hint="eastAsia" w:ascii="仿宋" w:hAnsi="仿宋" w:eastAsia="仿宋" w:cs="仿宋"/>
                <w:kern w:val="0"/>
                <w:sz w:val="24"/>
                <w:szCs w:val="24"/>
              </w:rPr>
              <w:t>；达到目标值得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100%</w:t>
            </w:r>
            <w:r>
              <w:rPr>
                <w:rFonts w:hint="eastAsia" w:ascii="仿宋" w:hAnsi="仿宋" w:eastAsia="仿宋" w:cs="仿宋"/>
                <w:kern w:val="0"/>
                <w:sz w:val="24"/>
                <w:szCs w:val="24"/>
              </w:rPr>
              <w:t>，每增加</w:t>
            </w:r>
            <w:r>
              <w:rPr>
                <w:rFonts w:ascii="仿宋" w:hAnsi="仿宋" w:eastAsia="仿宋" w:cs="仿宋"/>
                <w:kern w:val="0"/>
                <w:sz w:val="24"/>
                <w:szCs w:val="24"/>
              </w:rPr>
              <w:t>5%</w:t>
            </w:r>
            <w:r>
              <w:rPr>
                <w:rFonts w:hint="eastAsia" w:ascii="仿宋" w:hAnsi="仿宋" w:eastAsia="仿宋" w:cs="仿宋"/>
                <w:kern w:val="0"/>
                <w:sz w:val="24"/>
                <w:szCs w:val="24"/>
              </w:rPr>
              <w:t>扣</w:t>
            </w:r>
            <w:r>
              <w:rPr>
                <w:rFonts w:ascii="仿宋" w:hAnsi="仿宋" w:eastAsia="仿宋" w:cs="仿宋"/>
                <w:kern w:val="0"/>
                <w:sz w:val="24"/>
                <w:szCs w:val="24"/>
              </w:rPr>
              <w:t>1</w:t>
            </w:r>
            <w:r>
              <w:rPr>
                <w:rFonts w:hint="eastAsia" w:ascii="仿宋" w:hAnsi="仿宋" w:eastAsia="仿宋" w:cs="仿宋"/>
                <w:kern w:val="0"/>
                <w:sz w:val="24"/>
                <w:szCs w:val="24"/>
              </w:rPr>
              <w:t>分，直至扣完。</w:t>
            </w:r>
          </w:p>
        </w:tc>
        <w:tc>
          <w:tcPr>
            <w:tcW w:w="863" w:type="dxa"/>
            <w:tcBorders>
              <w:top w:val="single" w:color="auto" w:sz="4" w:space="0"/>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33" w:type="dxa"/>
            <w:vMerge w:val="continue"/>
            <w:vAlign w:val="center"/>
          </w:tcPr>
          <w:p>
            <w:pPr>
              <w:widowControl/>
              <w:spacing w:line="68" w:lineRule="atLeast"/>
              <w:rPr>
                <w:rFonts w:ascii="仿宋" w:hAnsi="仿宋" w:eastAsia="仿宋" w:cs="Times New Roman"/>
                <w:kern w:val="0"/>
                <w:sz w:val="24"/>
                <w:szCs w:val="24"/>
              </w:rPr>
            </w:pPr>
          </w:p>
        </w:tc>
        <w:tc>
          <w:tcPr>
            <w:tcW w:w="777" w:type="dxa"/>
            <w:vMerge w:val="continue"/>
            <w:vAlign w:val="center"/>
          </w:tcPr>
          <w:p>
            <w:pPr>
              <w:widowControl/>
              <w:spacing w:line="68" w:lineRule="atLeast"/>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支出完成率（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部门（单位）本年度预算实际支出数（以实际用款为准）与财政下达资金数（包括年初预算数、年中追加数和上年结转数）的比率，用以反映和考核部门（单位）支出完成程度。</w:t>
            </w:r>
          </w:p>
        </w:tc>
        <w:tc>
          <w:tcPr>
            <w:tcW w:w="2551"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100%</w:t>
            </w:r>
            <w:r>
              <w:rPr>
                <w:rFonts w:hint="eastAsia" w:ascii="仿宋" w:hAnsi="仿宋" w:eastAsia="仿宋" w:cs="仿宋"/>
                <w:kern w:val="0"/>
                <w:sz w:val="24"/>
                <w:szCs w:val="24"/>
              </w:rPr>
              <w:t>，得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100%</w:t>
            </w:r>
            <w:r>
              <w:rPr>
                <w:rFonts w:hint="eastAsia" w:ascii="仿宋" w:hAnsi="仿宋" w:eastAsia="仿宋" w:cs="仿宋"/>
                <w:kern w:val="0"/>
                <w:sz w:val="24"/>
                <w:szCs w:val="24"/>
              </w:rPr>
              <w:t>＞结果≥</w:t>
            </w:r>
            <w:r>
              <w:rPr>
                <w:rFonts w:ascii="仿宋" w:hAnsi="仿宋" w:eastAsia="仿宋" w:cs="仿宋"/>
                <w:kern w:val="0"/>
                <w:sz w:val="24"/>
                <w:szCs w:val="24"/>
              </w:rPr>
              <w:t>90%</w:t>
            </w:r>
            <w:r>
              <w:rPr>
                <w:rFonts w:hint="eastAsia" w:ascii="仿宋" w:hAnsi="仿宋" w:eastAsia="仿宋" w:cs="仿宋"/>
                <w:kern w:val="0"/>
                <w:sz w:val="24"/>
                <w:szCs w:val="24"/>
              </w:rPr>
              <w:t>，得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90%</w:t>
            </w:r>
            <w:r>
              <w:rPr>
                <w:rFonts w:hint="eastAsia" w:ascii="仿宋" w:hAnsi="仿宋" w:eastAsia="仿宋" w:cs="仿宋"/>
                <w:kern w:val="0"/>
                <w:sz w:val="24"/>
                <w:szCs w:val="24"/>
              </w:rPr>
              <w:t>＞结果≥</w:t>
            </w:r>
            <w:r>
              <w:rPr>
                <w:rFonts w:ascii="仿宋" w:hAnsi="仿宋" w:eastAsia="仿宋" w:cs="仿宋"/>
                <w:kern w:val="0"/>
                <w:sz w:val="24"/>
                <w:szCs w:val="24"/>
              </w:rPr>
              <w:t>80%</w:t>
            </w:r>
            <w:r>
              <w:rPr>
                <w:rFonts w:hint="eastAsia" w:ascii="仿宋" w:hAnsi="仿宋" w:eastAsia="仿宋" w:cs="仿宋"/>
                <w:kern w:val="0"/>
                <w:sz w:val="24"/>
                <w:szCs w:val="24"/>
              </w:rPr>
              <w:t>，得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80%</w:t>
            </w:r>
            <w:r>
              <w:rPr>
                <w:rFonts w:hint="eastAsia" w:ascii="仿宋" w:hAnsi="仿宋" w:eastAsia="仿宋" w:cs="仿宋"/>
                <w:kern w:val="0"/>
                <w:sz w:val="24"/>
                <w:szCs w:val="24"/>
              </w:rPr>
              <w:t>﹥比率≥</w:t>
            </w:r>
            <w:r>
              <w:rPr>
                <w:rFonts w:ascii="仿宋" w:hAnsi="仿宋" w:eastAsia="仿宋" w:cs="仿宋"/>
                <w:kern w:val="0"/>
                <w:sz w:val="24"/>
                <w:szCs w:val="24"/>
              </w:rPr>
              <w:t>60%</w:t>
            </w:r>
            <w:r>
              <w:rPr>
                <w:rFonts w:hint="eastAsia" w:ascii="仿宋" w:hAnsi="仿宋" w:eastAsia="仿宋" w:cs="仿宋"/>
                <w:kern w:val="0"/>
                <w:sz w:val="24"/>
                <w:szCs w:val="24"/>
              </w:rPr>
              <w:t>的，得</w:t>
            </w:r>
            <w:r>
              <w:rPr>
                <w:rFonts w:ascii="仿宋" w:hAnsi="仿宋" w:eastAsia="仿宋" w:cs="仿宋"/>
                <w:kern w:val="0"/>
                <w:sz w:val="24"/>
                <w:szCs w:val="24"/>
              </w:rPr>
              <w:t>0.5</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60%</w:t>
            </w:r>
            <w:r>
              <w:rPr>
                <w:rFonts w:hint="eastAsia" w:ascii="仿宋" w:hAnsi="仿宋" w:eastAsia="仿宋" w:cs="仿宋"/>
                <w:kern w:val="0"/>
                <w:sz w:val="24"/>
                <w:szCs w:val="24"/>
              </w:rPr>
              <w:t>的，不得分。</w:t>
            </w:r>
          </w:p>
        </w:tc>
        <w:tc>
          <w:tcPr>
            <w:tcW w:w="863" w:type="dxa"/>
            <w:tcBorders>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777" w:type="dxa"/>
            <w:vMerge w:val="continue"/>
            <w:vAlign w:val="center"/>
          </w:tcPr>
          <w:p>
            <w:pPr>
              <w:widowControl/>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预算调整率（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部门本年度预算调整数与预算数的比率，用以反映和评价部门预算的调整程度。</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预算调整率</w:t>
            </w:r>
            <w:r>
              <w:rPr>
                <w:rFonts w:ascii="仿宋" w:hAnsi="仿宋" w:eastAsia="仿宋" w:cs="仿宋"/>
                <w:kern w:val="0"/>
                <w:sz w:val="24"/>
                <w:szCs w:val="24"/>
              </w:rPr>
              <w:t>=</w:t>
            </w:r>
            <w:r>
              <w:rPr>
                <w:rFonts w:hint="eastAsia" w:ascii="仿宋" w:hAnsi="仿宋" w:eastAsia="仿宋" w:cs="仿宋"/>
                <w:kern w:val="0"/>
                <w:sz w:val="24"/>
                <w:szCs w:val="24"/>
              </w:rPr>
              <w:t>（预算调整数</w:t>
            </w:r>
            <w:r>
              <w:rPr>
                <w:rFonts w:ascii="仿宋" w:hAnsi="仿宋" w:eastAsia="仿宋" w:cs="仿宋"/>
                <w:kern w:val="0"/>
                <w:sz w:val="24"/>
                <w:szCs w:val="24"/>
              </w:rPr>
              <w:t>/</w:t>
            </w:r>
            <w:r>
              <w:rPr>
                <w:rFonts w:hint="eastAsia" w:ascii="仿宋" w:hAnsi="仿宋" w:eastAsia="仿宋" w:cs="仿宋"/>
                <w:kern w:val="0"/>
                <w:sz w:val="24"/>
                <w:szCs w:val="24"/>
              </w:rPr>
              <w:t>预算数）×</w:t>
            </w:r>
            <w:r>
              <w:rPr>
                <w:rFonts w:ascii="仿宋" w:hAnsi="仿宋" w:eastAsia="仿宋" w:cs="仿宋"/>
                <w:kern w:val="0"/>
                <w:sz w:val="24"/>
                <w:szCs w:val="24"/>
              </w:rPr>
              <w:t>100%</w:t>
            </w:r>
            <w:r>
              <w:rPr>
                <w:rFonts w:hint="eastAsia" w:ascii="仿宋" w:hAnsi="仿宋" w:eastAsia="仿宋" w:cs="仿宋"/>
                <w:kern w:val="0"/>
                <w:sz w:val="24"/>
                <w:szCs w:val="24"/>
              </w:rPr>
              <w:t>。</w:t>
            </w:r>
          </w:p>
        </w:tc>
        <w:tc>
          <w:tcPr>
            <w:tcW w:w="2551"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3%</w:t>
            </w:r>
            <w:r>
              <w:rPr>
                <w:rFonts w:hint="eastAsia" w:ascii="仿宋" w:hAnsi="仿宋" w:eastAsia="仿宋" w:cs="仿宋"/>
                <w:kern w:val="0"/>
                <w:sz w:val="24"/>
                <w:szCs w:val="24"/>
              </w:rPr>
              <w:t>的，得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﹤比率≤</w:t>
            </w:r>
            <w:r>
              <w:rPr>
                <w:rFonts w:ascii="仿宋" w:hAnsi="仿宋" w:eastAsia="仿宋" w:cs="仿宋"/>
                <w:kern w:val="0"/>
                <w:sz w:val="24"/>
                <w:szCs w:val="24"/>
              </w:rPr>
              <w:t xml:space="preserve"> %</w:t>
            </w:r>
            <w:r>
              <w:rPr>
                <w:rFonts w:hint="eastAsia" w:ascii="仿宋" w:hAnsi="仿宋" w:eastAsia="仿宋" w:cs="仿宋"/>
                <w:kern w:val="0"/>
                <w:sz w:val="24"/>
                <w:szCs w:val="24"/>
              </w:rPr>
              <w:t>的，得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10%</w:t>
            </w:r>
            <w:r>
              <w:rPr>
                <w:rFonts w:hint="eastAsia" w:ascii="仿宋" w:hAnsi="仿宋" w:eastAsia="仿宋" w:cs="仿宋"/>
                <w:kern w:val="0"/>
                <w:sz w:val="24"/>
                <w:szCs w:val="24"/>
              </w:rPr>
              <w:t>的，得</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777" w:type="dxa"/>
            <w:vMerge w:val="continue"/>
            <w:vAlign w:val="center"/>
          </w:tcPr>
          <w:p>
            <w:pPr>
              <w:widowControl/>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结转结余率（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结转结余率</w:t>
            </w:r>
            <w:r>
              <w:rPr>
                <w:rFonts w:ascii="仿宋" w:hAnsi="仿宋" w:eastAsia="仿宋" w:cs="仿宋"/>
                <w:kern w:val="0"/>
                <w:sz w:val="24"/>
                <w:szCs w:val="24"/>
              </w:rPr>
              <w:t>=</w:t>
            </w:r>
            <w:r>
              <w:rPr>
                <w:rFonts w:hint="eastAsia" w:ascii="仿宋" w:hAnsi="仿宋" w:eastAsia="仿宋" w:cs="仿宋"/>
                <w:kern w:val="0"/>
                <w:sz w:val="24"/>
                <w:szCs w:val="24"/>
              </w:rPr>
              <w:t>（结转结余总额</w:t>
            </w:r>
            <w:r>
              <w:rPr>
                <w:rFonts w:ascii="仿宋" w:hAnsi="仿宋" w:eastAsia="仿宋" w:cs="仿宋"/>
                <w:kern w:val="0"/>
                <w:sz w:val="24"/>
                <w:szCs w:val="24"/>
              </w:rPr>
              <w:t>/</w:t>
            </w:r>
            <w:r>
              <w:rPr>
                <w:rFonts w:hint="eastAsia" w:ascii="仿宋" w:hAnsi="仿宋" w:eastAsia="仿宋" w:cs="仿宋"/>
                <w:kern w:val="0"/>
                <w:sz w:val="24"/>
                <w:szCs w:val="24"/>
              </w:rPr>
              <w:t>支出预算数）×</w:t>
            </w:r>
            <w:r>
              <w:rPr>
                <w:rFonts w:ascii="仿宋" w:hAnsi="仿宋" w:eastAsia="仿宋" w:cs="仿宋"/>
                <w:kern w:val="0"/>
                <w:sz w:val="24"/>
                <w:szCs w:val="24"/>
              </w:rPr>
              <w:t>100%</w:t>
            </w:r>
            <w:r>
              <w:rPr>
                <w:rFonts w:hint="eastAsia" w:ascii="仿宋" w:hAnsi="仿宋" w:eastAsia="仿宋" w:cs="仿宋"/>
                <w:kern w:val="0"/>
                <w:sz w:val="24"/>
                <w:szCs w:val="24"/>
              </w:rPr>
              <w:t>。</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结转结余总额，是指预算部门本年度的结转资金与结余资金之和（以决算数为准）。</w:t>
            </w:r>
          </w:p>
        </w:tc>
        <w:tc>
          <w:tcPr>
            <w:tcW w:w="2551" w:type="dxa"/>
            <w:tcBorders>
              <w:left w:val="single" w:color="auto" w:sz="4" w:space="0"/>
              <w:right w:val="single" w:color="auto" w:sz="4" w:space="0"/>
            </w:tcBorders>
            <w:vAlign w:val="center"/>
          </w:tcPr>
          <w:p>
            <w:pPr>
              <w:widowControl/>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5%</w:t>
            </w:r>
            <w:r>
              <w:rPr>
                <w:rFonts w:hint="eastAsia" w:ascii="仿宋" w:hAnsi="仿宋" w:eastAsia="仿宋" w:cs="仿宋"/>
                <w:kern w:val="0"/>
                <w:sz w:val="24"/>
                <w:szCs w:val="24"/>
              </w:rPr>
              <w:t>的，得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360" w:lineRule="auto"/>
              <w:jc w:val="left"/>
              <w:rPr>
                <w:rFonts w:ascii="仿宋" w:hAnsi="仿宋" w:eastAsia="仿宋" w:cs="Times New Roman"/>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﹤比率≤</w:t>
            </w:r>
            <w:r>
              <w:rPr>
                <w:rFonts w:ascii="仿宋" w:hAnsi="仿宋" w:eastAsia="仿宋" w:cs="仿宋"/>
                <w:kern w:val="0"/>
                <w:sz w:val="24"/>
                <w:szCs w:val="24"/>
              </w:rPr>
              <w:t>10%</w:t>
            </w:r>
            <w:r>
              <w:rPr>
                <w:rFonts w:hint="eastAsia" w:ascii="仿宋" w:hAnsi="仿宋" w:eastAsia="仿宋" w:cs="仿宋"/>
                <w:kern w:val="0"/>
                <w:sz w:val="24"/>
                <w:szCs w:val="24"/>
              </w:rPr>
              <w:t>的，得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360" w:lineRule="auto"/>
              <w:jc w:val="left"/>
              <w:rPr>
                <w:rFonts w:ascii="仿宋" w:hAnsi="仿宋" w:eastAsia="仿宋" w:cs="Times New Roman"/>
                <w:kern w:val="0"/>
                <w:sz w:val="24"/>
                <w:szCs w:val="24"/>
              </w:rPr>
            </w:pPr>
            <w:r>
              <w:rPr>
                <w:rFonts w:ascii="仿宋" w:hAnsi="仿宋" w:eastAsia="仿宋" w:cs="仿宋"/>
                <w:kern w:val="0"/>
                <w:sz w:val="24"/>
                <w:szCs w:val="24"/>
              </w:rPr>
              <w:t>10%</w:t>
            </w:r>
            <w:r>
              <w:rPr>
                <w:rFonts w:hint="eastAsia" w:ascii="仿宋" w:hAnsi="仿宋" w:eastAsia="仿宋" w:cs="仿宋"/>
                <w:kern w:val="0"/>
                <w:sz w:val="24"/>
                <w:szCs w:val="24"/>
              </w:rPr>
              <w:t>﹤比率≤</w:t>
            </w:r>
            <w:r>
              <w:rPr>
                <w:rFonts w:ascii="仿宋" w:hAnsi="仿宋" w:eastAsia="仿宋" w:cs="仿宋"/>
                <w:kern w:val="0"/>
                <w:sz w:val="24"/>
                <w:szCs w:val="24"/>
              </w:rPr>
              <w:t>15%</w:t>
            </w:r>
            <w:r>
              <w:rPr>
                <w:rFonts w:hint="eastAsia" w:ascii="仿宋" w:hAnsi="仿宋" w:eastAsia="仿宋" w:cs="仿宋"/>
                <w:kern w:val="0"/>
                <w:sz w:val="24"/>
                <w:szCs w:val="24"/>
              </w:rPr>
              <w:t>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15%</w:t>
            </w:r>
            <w:r>
              <w:rPr>
                <w:rFonts w:hint="eastAsia" w:ascii="仿宋" w:hAnsi="仿宋" w:eastAsia="仿宋" w:cs="仿宋"/>
                <w:kern w:val="0"/>
                <w:sz w:val="24"/>
                <w:szCs w:val="24"/>
              </w:rPr>
              <w:t>的，得</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240" w:lineRule="exac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777" w:type="dxa"/>
            <w:vMerge w:val="continue"/>
            <w:vAlign w:val="center"/>
          </w:tcPr>
          <w:p>
            <w:pPr>
              <w:widowControl/>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结转结余变动率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结转结余变动率</w:t>
            </w:r>
            <w:r>
              <w:rPr>
                <w:rFonts w:ascii="仿宋" w:hAnsi="仿宋" w:eastAsia="仿宋" w:cs="仿宋"/>
                <w:kern w:val="0"/>
                <w:sz w:val="24"/>
                <w:szCs w:val="24"/>
              </w:rPr>
              <w:t>=</w:t>
            </w:r>
            <w:r>
              <w:rPr>
                <w:rFonts w:hint="eastAsia" w:ascii="仿宋" w:hAnsi="仿宋" w:eastAsia="仿宋" w:cs="仿宋"/>
                <w:kern w:val="0"/>
                <w:sz w:val="24"/>
                <w:szCs w:val="24"/>
              </w:rPr>
              <w:t>〔（本年度累计结转结余资金总额</w:t>
            </w:r>
            <w:r>
              <w:rPr>
                <w:rFonts w:ascii="仿宋" w:hAnsi="仿宋" w:eastAsia="仿宋" w:cs="仿宋"/>
                <w:kern w:val="0"/>
                <w:sz w:val="24"/>
                <w:szCs w:val="24"/>
              </w:rPr>
              <w:t>-</w:t>
            </w:r>
            <w:r>
              <w:rPr>
                <w:rFonts w:hint="eastAsia" w:ascii="仿宋" w:hAnsi="仿宋" w:eastAsia="仿宋" w:cs="仿宋"/>
                <w:kern w:val="0"/>
                <w:sz w:val="24"/>
                <w:szCs w:val="24"/>
              </w:rPr>
              <w:t>上年度累计结转结余资金总额）</w:t>
            </w:r>
            <w:r>
              <w:rPr>
                <w:rFonts w:ascii="仿宋" w:hAnsi="仿宋" w:eastAsia="仿宋" w:cs="仿宋"/>
                <w:kern w:val="0"/>
                <w:sz w:val="24"/>
                <w:szCs w:val="24"/>
              </w:rPr>
              <w:t>/</w:t>
            </w:r>
            <w:r>
              <w:rPr>
                <w:rFonts w:hint="eastAsia" w:ascii="仿宋" w:hAnsi="仿宋" w:eastAsia="仿宋" w:cs="仿宋"/>
                <w:kern w:val="0"/>
                <w:sz w:val="24"/>
                <w:szCs w:val="24"/>
              </w:rPr>
              <w:t>上年度累计结转结余资金总额〕×</w:t>
            </w:r>
            <w:r>
              <w:rPr>
                <w:rFonts w:ascii="仿宋" w:hAnsi="仿宋" w:eastAsia="仿宋" w:cs="仿宋"/>
                <w:kern w:val="0"/>
                <w:sz w:val="24"/>
                <w:szCs w:val="24"/>
              </w:rPr>
              <w:t>100%</w:t>
            </w:r>
            <w:r>
              <w:rPr>
                <w:rFonts w:hint="eastAsia" w:ascii="仿宋" w:hAnsi="仿宋" w:eastAsia="仿宋" w:cs="仿宋"/>
                <w:kern w:val="0"/>
                <w:sz w:val="24"/>
                <w:szCs w:val="24"/>
              </w:rPr>
              <w:t>。</w:t>
            </w:r>
          </w:p>
        </w:tc>
        <w:tc>
          <w:tcPr>
            <w:tcW w:w="2551" w:type="dxa"/>
            <w:tcBorders>
              <w:left w:val="single" w:color="auto" w:sz="4" w:space="0"/>
              <w:right w:val="single" w:color="auto" w:sz="4" w:space="0"/>
            </w:tcBorders>
            <w:vAlign w:val="center"/>
          </w:tcPr>
          <w:p>
            <w:pPr>
              <w:widowControl/>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0%</w:t>
            </w:r>
            <w:r>
              <w:rPr>
                <w:rFonts w:hint="eastAsia" w:ascii="仿宋" w:hAnsi="仿宋" w:eastAsia="仿宋" w:cs="仿宋"/>
                <w:kern w:val="0"/>
                <w:sz w:val="24"/>
                <w:szCs w:val="24"/>
              </w:rPr>
              <w:t>；得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360" w:lineRule="auto"/>
              <w:jc w:val="left"/>
              <w:rPr>
                <w:rFonts w:ascii="仿宋" w:hAnsi="仿宋" w:eastAsia="仿宋" w:cs="Times New Roman"/>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rPr>
              <w:t>﹤比率≤</w:t>
            </w:r>
            <w:r>
              <w:rPr>
                <w:rFonts w:ascii="仿宋" w:hAnsi="仿宋" w:eastAsia="仿宋" w:cs="仿宋"/>
                <w:kern w:val="0"/>
                <w:sz w:val="24"/>
                <w:szCs w:val="24"/>
              </w:rPr>
              <w:t>5%</w:t>
            </w:r>
            <w:r>
              <w:rPr>
                <w:rFonts w:hint="eastAsia" w:ascii="仿宋" w:hAnsi="仿宋" w:eastAsia="仿宋" w:cs="仿宋"/>
                <w:kern w:val="0"/>
                <w:sz w:val="24"/>
                <w:szCs w:val="24"/>
              </w:rPr>
              <w:t>的，得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360" w:lineRule="auto"/>
              <w:jc w:val="left"/>
              <w:rPr>
                <w:rFonts w:ascii="仿宋" w:hAnsi="仿宋" w:eastAsia="仿宋" w:cs="Times New Roman"/>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﹤比率≤</w:t>
            </w:r>
            <w:r>
              <w:rPr>
                <w:rFonts w:ascii="仿宋" w:hAnsi="仿宋" w:eastAsia="仿宋" w:cs="仿宋"/>
                <w:kern w:val="0"/>
                <w:sz w:val="24"/>
                <w:szCs w:val="24"/>
              </w:rPr>
              <w:t>10%</w:t>
            </w:r>
            <w:r>
              <w:rPr>
                <w:rFonts w:hint="eastAsia" w:ascii="仿宋" w:hAnsi="仿宋" w:eastAsia="仿宋" w:cs="仿宋"/>
                <w:kern w:val="0"/>
                <w:sz w:val="24"/>
                <w:szCs w:val="24"/>
              </w:rPr>
              <w:t>的，得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10%</w:t>
            </w:r>
            <w:r>
              <w:rPr>
                <w:rFonts w:hint="eastAsia" w:ascii="仿宋" w:hAnsi="仿宋" w:eastAsia="仿宋" w:cs="仿宋"/>
                <w:kern w:val="0"/>
                <w:sz w:val="24"/>
                <w:szCs w:val="24"/>
              </w:rPr>
              <w:t>的，得</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240" w:lineRule="exact"/>
              <w:jc w:val="left"/>
              <w:rPr>
                <w:rFonts w:ascii="宋体" w:hAnsi="宋体" w:eastAsia="仿宋" w:cs="宋体"/>
                <w:kern w:val="0"/>
                <w:sz w:val="20"/>
                <w:szCs w:val="20"/>
              </w:rPr>
            </w:pP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777" w:type="dxa"/>
            <w:vMerge w:val="continue"/>
            <w:vAlign w:val="center"/>
          </w:tcPr>
          <w:p>
            <w:pPr>
              <w:widowControl/>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公用经费控制率（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公用经费控制率</w:t>
            </w:r>
            <w:r>
              <w:rPr>
                <w:rFonts w:ascii="仿宋" w:hAnsi="仿宋" w:eastAsia="仿宋" w:cs="仿宋"/>
                <w:kern w:val="0"/>
                <w:sz w:val="24"/>
                <w:szCs w:val="24"/>
              </w:rPr>
              <w:t>=</w:t>
            </w:r>
            <w:r>
              <w:rPr>
                <w:rFonts w:hint="eastAsia" w:ascii="仿宋" w:hAnsi="仿宋" w:eastAsia="仿宋" w:cs="仿宋"/>
                <w:kern w:val="0"/>
                <w:sz w:val="24"/>
                <w:szCs w:val="24"/>
              </w:rPr>
              <w:t>（实际支出公用经费总额</w:t>
            </w:r>
            <w:r>
              <w:rPr>
                <w:rFonts w:ascii="仿宋" w:hAnsi="仿宋" w:eastAsia="仿宋" w:cs="仿宋"/>
                <w:kern w:val="0"/>
                <w:sz w:val="24"/>
                <w:szCs w:val="24"/>
              </w:rPr>
              <w:t>/</w:t>
            </w:r>
            <w:r>
              <w:rPr>
                <w:rFonts w:hint="eastAsia" w:ascii="仿宋" w:hAnsi="仿宋" w:eastAsia="仿宋" w:cs="仿宋"/>
                <w:kern w:val="0"/>
                <w:sz w:val="24"/>
                <w:szCs w:val="24"/>
              </w:rPr>
              <w:t>预算安排公用经费总额）×</w:t>
            </w:r>
            <w:r>
              <w:rPr>
                <w:rFonts w:ascii="仿宋" w:hAnsi="仿宋" w:eastAsia="仿宋" w:cs="仿宋"/>
                <w:kern w:val="0"/>
                <w:sz w:val="24"/>
                <w:szCs w:val="24"/>
              </w:rPr>
              <w:t>100%</w:t>
            </w:r>
            <w:r>
              <w:rPr>
                <w:rFonts w:hint="eastAsia" w:ascii="仿宋" w:hAnsi="仿宋" w:eastAsia="仿宋" w:cs="仿宋"/>
                <w:kern w:val="0"/>
                <w:sz w:val="24"/>
                <w:szCs w:val="24"/>
              </w:rPr>
              <w:t>。</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目标值为≤</w:t>
            </w:r>
            <w:r>
              <w:rPr>
                <w:rFonts w:ascii="仿宋" w:hAnsi="仿宋" w:eastAsia="仿宋" w:cs="仿宋"/>
                <w:kern w:val="0"/>
                <w:sz w:val="24"/>
                <w:szCs w:val="24"/>
              </w:rPr>
              <w:t>100%</w:t>
            </w:r>
            <w:r>
              <w:rPr>
                <w:rFonts w:hint="eastAsia" w:ascii="仿宋" w:hAnsi="仿宋" w:eastAsia="仿宋" w:cs="仿宋"/>
                <w:kern w:val="0"/>
                <w:sz w:val="24"/>
                <w:szCs w:val="24"/>
              </w:rPr>
              <w:t>；达到目标值得</w:t>
            </w:r>
            <w:r>
              <w:rPr>
                <w:rFonts w:ascii="仿宋" w:hAnsi="仿宋" w:eastAsia="仿宋" w:cs="仿宋"/>
                <w:kern w:val="0"/>
                <w:sz w:val="24"/>
                <w:szCs w:val="24"/>
              </w:rPr>
              <w:t>3</w:t>
            </w:r>
            <w:r>
              <w:rPr>
                <w:rFonts w:hint="eastAsia" w:ascii="仿宋" w:hAnsi="仿宋" w:eastAsia="仿宋" w:cs="仿宋"/>
                <w:kern w:val="0"/>
                <w:sz w:val="24"/>
                <w:szCs w:val="24"/>
              </w:rPr>
              <w:t>分，未达到目标值的每增加</w:t>
            </w:r>
            <w:r>
              <w:rPr>
                <w:rFonts w:ascii="仿宋" w:hAnsi="仿宋" w:eastAsia="仿宋" w:cs="仿宋"/>
                <w:kern w:val="0"/>
                <w:sz w:val="24"/>
                <w:szCs w:val="24"/>
              </w:rPr>
              <w:t>0.1</w:t>
            </w:r>
            <w:r>
              <w:rPr>
                <w:rFonts w:hint="eastAsia" w:ascii="仿宋" w:hAnsi="仿宋" w:eastAsia="仿宋" w:cs="仿宋"/>
                <w:kern w:val="0"/>
                <w:sz w:val="24"/>
                <w:szCs w:val="24"/>
              </w:rPr>
              <w:t>个百分点扣</w:t>
            </w:r>
            <w:r>
              <w:rPr>
                <w:rFonts w:ascii="仿宋" w:hAnsi="仿宋" w:eastAsia="仿宋" w:cs="仿宋"/>
                <w:kern w:val="0"/>
                <w:sz w:val="24"/>
                <w:szCs w:val="24"/>
              </w:rPr>
              <w:t>0.1</w:t>
            </w:r>
            <w:r>
              <w:rPr>
                <w:rFonts w:hint="eastAsia" w:ascii="仿宋" w:hAnsi="仿宋" w:eastAsia="仿宋" w:cs="仿宋"/>
                <w:kern w:val="0"/>
                <w:sz w:val="24"/>
                <w:szCs w:val="24"/>
              </w:rPr>
              <w:t>分，扣完为止。</w:t>
            </w:r>
          </w:p>
        </w:tc>
        <w:tc>
          <w:tcPr>
            <w:tcW w:w="863" w:type="dxa"/>
            <w:tcBorders>
              <w:left w:val="single" w:color="auto" w:sz="4" w:space="0"/>
            </w:tcBorders>
            <w:vAlign w:val="center"/>
          </w:tcPr>
          <w:p>
            <w:pPr>
              <w:widowControl/>
              <w:spacing w:line="240" w:lineRule="exac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777" w:type="dxa"/>
            <w:vMerge w:val="continue"/>
            <w:vAlign w:val="center"/>
          </w:tcPr>
          <w:p>
            <w:pPr>
              <w:widowControl/>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lang w:eastAsia="zh-CN"/>
              </w:rPr>
              <w:t>“三公”经费</w:t>
            </w:r>
            <w:r>
              <w:rPr>
                <w:rFonts w:hint="eastAsia" w:ascii="仿宋" w:hAnsi="仿宋" w:eastAsia="仿宋" w:cs="仿宋"/>
                <w:kern w:val="0"/>
                <w:sz w:val="24"/>
                <w:szCs w:val="24"/>
              </w:rPr>
              <w:t>控制率（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部门（单位）本年度</w:t>
            </w:r>
            <w:r>
              <w:rPr>
                <w:rFonts w:hint="eastAsia" w:ascii="仿宋" w:hAnsi="仿宋" w:eastAsia="仿宋" w:cs="仿宋"/>
                <w:kern w:val="0"/>
                <w:sz w:val="24"/>
                <w:szCs w:val="24"/>
                <w:lang w:eastAsia="zh-CN"/>
              </w:rPr>
              <w:t>“三公”经费</w:t>
            </w:r>
            <w:r>
              <w:rPr>
                <w:rFonts w:hint="eastAsia" w:ascii="仿宋" w:hAnsi="仿宋" w:eastAsia="仿宋" w:cs="仿宋"/>
                <w:kern w:val="0"/>
                <w:sz w:val="24"/>
                <w:szCs w:val="24"/>
              </w:rPr>
              <w:t>实际支出数与预算安排数的比率，用以反映和考核部门（单位）对</w:t>
            </w:r>
            <w:r>
              <w:rPr>
                <w:rFonts w:hint="eastAsia" w:ascii="仿宋" w:hAnsi="仿宋" w:eastAsia="仿宋" w:cs="仿宋"/>
                <w:kern w:val="0"/>
                <w:sz w:val="24"/>
                <w:szCs w:val="24"/>
                <w:lang w:eastAsia="zh-CN"/>
              </w:rPr>
              <w:t>“三公”经费</w:t>
            </w:r>
            <w:r>
              <w:rPr>
                <w:rFonts w:hint="eastAsia" w:ascii="仿宋" w:hAnsi="仿宋" w:eastAsia="仿宋" w:cs="仿宋"/>
                <w:kern w:val="0"/>
                <w:sz w:val="24"/>
                <w:szCs w:val="24"/>
              </w:rPr>
              <w:t>的实际控制程度。</w:t>
            </w:r>
          </w:p>
          <w:p>
            <w:pPr>
              <w:widowControl/>
              <w:spacing w:line="240" w:lineRule="exact"/>
              <w:jc w:val="left"/>
              <w:rPr>
                <w:rFonts w:ascii="仿宋" w:hAnsi="仿宋" w:eastAsia="仿宋" w:cs="仿宋"/>
                <w:kern w:val="0"/>
                <w:sz w:val="24"/>
                <w:szCs w:val="24"/>
              </w:rPr>
            </w:pPr>
            <w:r>
              <w:rPr>
                <w:rFonts w:hint="eastAsia" w:ascii="仿宋" w:hAnsi="仿宋" w:eastAsia="仿宋" w:cs="仿宋"/>
                <w:kern w:val="0"/>
                <w:sz w:val="24"/>
                <w:szCs w:val="24"/>
                <w:lang w:eastAsia="zh-CN"/>
              </w:rPr>
              <w:t>“三公”经费</w:t>
            </w:r>
            <w:r>
              <w:rPr>
                <w:rFonts w:hint="eastAsia" w:ascii="仿宋" w:hAnsi="仿宋" w:eastAsia="仿宋" w:cs="仿宋"/>
                <w:kern w:val="0"/>
                <w:sz w:val="24"/>
                <w:szCs w:val="24"/>
              </w:rPr>
              <w:t>控制率</w:t>
            </w:r>
            <w:r>
              <w:rPr>
                <w:rFonts w:ascii="仿宋" w:hAnsi="仿宋" w:eastAsia="仿宋" w:cs="仿宋"/>
                <w:kern w:val="0"/>
                <w:sz w:val="24"/>
                <w:szCs w:val="24"/>
              </w:rPr>
              <w:t>=</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“三公”经费</w:t>
            </w:r>
            <w:r>
              <w:rPr>
                <w:rFonts w:hint="eastAsia" w:ascii="仿宋" w:hAnsi="仿宋" w:eastAsia="仿宋" w:cs="仿宋"/>
                <w:kern w:val="0"/>
                <w:sz w:val="24"/>
                <w:szCs w:val="24"/>
              </w:rPr>
              <w:t>实际支出</w:t>
            </w:r>
            <w:r>
              <w:rPr>
                <w:rFonts w:ascii="仿宋" w:hAnsi="仿宋" w:eastAsia="仿宋" w:cs="仿宋"/>
                <w:kern w:val="0"/>
                <w:sz w:val="24"/>
                <w:szCs w:val="24"/>
              </w:rPr>
              <w:t>/</w:t>
            </w:r>
            <w:r>
              <w:rPr>
                <w:rFonts w:hint="eastAsia" w:ascii="仿宋" w:hAnsi="仿宋" w:eastAsia="仿宋" w:cs="仿宋"/>
                <w:kern w:val="0"/>
                <w:sz w:val="24"/>
                <w:szCs w:val="24"/>
                <w:lang w:eastAsia="zh-CN"/>
              </w:rPr>
              <w:t>“三公”经费</w:t>
            </w:r>
            <w:r>
              <w:rPr>
                <w:rFonts w:hint="eastAsia" w:ascii="仿宋" w:hAnsi="仿宋" w:eastAsia="仿宋" w:cs="仿宋"/>
                <w:kern w:val="0"/>
                <w:sz w:val="24"/>
                <w:szCs w:val="24"/>
              </w:rPr>
              <w:t>预算安排数）×</w:t>
            </w:r>
            <w:r>
              <w:rPr>
                <w:rFonts w:ascii="仿宋" w:hAnsi="仿宋" w:eastAsia="仿宋" w:cs="仿宋"/>
                <w:kern w:val="0"/>
                <w:sz w:val="24"/>
                <w:szCs w:val="24"/>
              </w:rPr>
              <w:t>100%</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目标值为≤</w:t>
            </w:r>
            <w:r>
              <w:rPr>
                <w:rFonts w:ascii="仿宋" w:hAnsi="仿宋" w:eastAsia="仿宋" w:cs="仿宋"/>
                <w:kern w:val="0"/>
                <w:sz w:val="24"/>
                <w:szCs w:val="24"/>
              </w:rPr>
              <w:t>100%</w:t>
            </w:r>
            <w:r>
              <w:rPr>
                <w:rFonts w:hint="eastAsia" w:ascii="仿宋" w:hAnsi="仿宋" w:eastAsia="仿宋" w:cs="仿宋"/>
                <w:kern w:val="0"/>
                <w:sz w:val="24"/>
                <w:szCs w:val="24"/>
              </w:rPr>
              <w:t>；达到目标值得</w:t>
            </w:r>
            <w:r>
              <w:rPr>
                <w:rFonts w:ascii="仿宋" w:hAnsi="仿宋" w:eastAsia="仿宋" w:cs="仿宋"/>
                <w:kern w:val="0"/>
                <w:sz w:val="24"/>
                <w:szCs w:val="24"/>
              </w:rPr>
              <w:t>3</w:t>
            </w:r>
            <w:r>
              <w:rPr>
                <w:rFonts w:hint="eastAsia" w:ascii="仿宋" w:hAnsi="仿宋" w:eastAsia="仿宋" w:cs="仿宋"/>
                <w:kern w:val="0"/>
                <w:sz w:val="24"/>
                <w:szCs w:val="24"/>
              </w:rPr>
              <w:t>分，未达到目标值的每增加</w:t>
            </w:r>
            <w:r>
              <w:rPr>
                <w:rFonts w:ascii="仿宋" w:hAnsi="仿宋" w:eastAsia="仿宋" w:cs="仿宋"/>
                <w:kern w:val="0"/>
                <w:sz w:val="24"/>
                <w:szCs w:val="24"/>
              </w:rPr>
              <w:t>0.1</w:t>
            </w:r>
            <w:r>
              <w:rPr>
                <w:rFonts w:hint="eastAsia" w:ascii="仿宋" w:hAnsi="仿宋" w:eastAsia="仿宋" w:cs="仿宋"/>
                <w:kern w:val="0"/>
                <w:sz w:val="24"/>
                <w:szCs w:val="24"/>
              </w:rPr>
              <w:t>个百分点扣</w:t>
            </w:r>
            <w:r>
              <w:rPr>
                <w:rFonts w:ascii="仿宋" w:hAnsi="仿宋" w:eastAsia="仿宋" w:cs="仿宋"/>
                <w:kern w:val="0"/>
                <w:sz w:val="24"/>
                <w:szCs w:val="24"/>
              </w:rPr>
              <w:t>0.1</w:t>
            </w:r>
            <w:r>
              <w:rPr>
                <w:rFonts w:hint="eastAsia" w:ascii="仿宋" w:hAnsi="仿宋" w:eastAsia="仿宋" w:cs="仿宋"/>
                <w:kern w:val="0"/>
                <w:sz w:val="24"/>
                <w:szCs w:val="24"/>
              </w:rPr>
              <w:t>分，扣完为止。</w:t>
            </w:r>
          </w:p>
        </w:tc>
        <w:tc>
          <w:tcPr>
            <w:tcW w:w="863" w:type="dxa"/>
            <w:tcBorders>
              <w:left w:val="single" w:color="auto" w:sz="4" w:space="0"/>
            </w:tcBorders>
            <w:vAlign w:val="center"/>
          </w:tcPr>
          <w:p>
            <w:pPr>
              <w:widowControl/>
              <w:spacing w:line="240" w:lineRule="exact"/>
              <w:jc w:val="left"/>
              <w:rPr>
                <w:rFonts w:ascii="宋体" w:hAnsi="宋体" w:eastAsia="仿宋" w:cs="宋体"/>
                <w:kern w:val="0"/>
                <w:sz w:val="20"/>
                <w:szCs w:val="20"/>
              </w:rPr>
            </w:pP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777" w:type="dxa"/>
            <w:vMerge w:val="continue"/>
            <w:vAlign w:val="center"/>
          </w:tcPr>
          <w:p>
            <w:pPr>
              <w:widowControl/>
              <w:jc w:val="left"/>
              <w:rPr>
                <w:rFonts w:ascii="仿宋" w:hAnsi="仿宋" w:eastAsia="仿宋" w:cs="Times New Roman"/>
                <w:kern w:val="0"/>
                <w:sz w:val="24"/>
                <w:szCs w:val="24"/>
              </w:rPr>
            </w:pPr>
          </w:p>
        </w:tc>
        <w:tc>
          <w:tcPr>
            <w:tcW w:w="1197" w:type="dxa"/>
            <w:gridSpan w:val="2"/>
            <w:tcBorders>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政府采购执行率（</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通过对部门本年度实际政府采购金额与年初政府采购预算的比较，反映和评价部门政府采购预算执行情况。</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政府采购执行率</w:t>
            </w:r>
            <w:r>
              <w:rPr>
                <w:rFonts w:ascii="仿宋" w:hAnsi="仿宋" w:eastAsia="仿宋" w:cs="仿宋"/>
                <w:kern w:val="0"/>
                <w:sz w:val="24"/>
                <w:szCs w:val="24"/>
              </w:rPr>
              <w:t>=</w:t>
            </w:r>
            <w:r>
              <w:rPr>
                <w:rFonts w:hint="eastAsia" w:ascii="仿宋" w:hAnsi="仿宋" w:eastAsia="仿宋" w:cs="仿宋"/>
                <w:kern w:val="0"/>
                <w:sz w:val="24"/>
                <w:szCs w:val="24"/>
              </w:rPr>
              <w:t>（实际政府采购金额</w:t>
            </w:r>
            <w:r>
              <w:rPr>
                <w:rFonts w:ascii="仿宋" w:hAnsi="仿宋" w:eastAsia="仿宋" w:cs="仿宋"/>
                <w:kern w:val="0"/>
                <w:sz w:val="24"/>
                <w:szCs w:val="24"/>
              </w:rPr>
              <w:t>/</w:t>
            </w:r>
            <w:r>
              <w:rPr>
                <w:rFonts w:hint="eastAsia" w:ascii="仿宋" w:hAnsi="仿宋" w:eastAsia="仿宋" w:cs="仿宋"/>
                <w:kern w:val="0"/>
                <w:sz w:val="24"/>
                <w:szCs w:val="24"/>
              </w:rPr>
              <w:t>政府采购预算×</w:t>
            </w:r>
            <w:r>
              <w:rPr>
                <w:rFonts w:ascii="仿宋" w:hAnsi="仿宋" w:eastAsia="仿宋" w:cs="仿宋"/>
                <w:kern w:val="0"/>
                <w:sz w:val="24"/>
                <w:szCs w:val="24"/>
              </w:rPr>
              <w:t>100%</w:t>
            </w:r>
            <w:r>
              <w:rPr>
                <w:rFonts w:hint="eastAsia" w:ascii="仿宋" w:hAnsi="仿宋" w:eastAsia="仿宋" w:cs="仿宋"/>
                <w:kern w:val="0"/>
                <w:sz w:val="24"/>
                <w:szCs w:val="24"/>
              </w:rPr>
              <w:t>。</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政府采购预算，是指采购机关根据事业发展计划和行政任务编制的、并经过规定程序批准的年度政府采购计划。</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目标值为</w:t>
            </w:r>
            <w:r>
              <w:rPr>
                <w:rFonts w:ascii="仿宋" w:hAnsi="仿宋" w:eastAsia="仿宋" w:cs="仿宋"/>
                <w:kern w:val="0"/>
                <w:sz w:val="24"/>
                <w:szCs w:val="24"/>
              </w:rPr>
              <w:t>100%</w:t>
            </w:r>
            <w:r>
              <w:rPr>
                <w:rFonts w:hint="eastAsia" w:ascii="仿宋" w:hAnsi="仿宋" w:eastAsia="仿宋" w:cs="仿宋"/>
                <w:kern w:val="0"/>
                <w:sz w:val="24"/>
                <w:szCs w:val="24"/>
              </w:rPr>
              <w:t>；以</w:t>
            </w:r>
            <w:r>
              <w:rPr>
                <w:rFonts w:ascii="仿宋" w:hAnsi="仿宋" w:eastAsia="仿宋" w:cs="仿宋"/>
                <w:kern w:val="0"/>
                <w:sz w:val="24"/>
                <w:szCs w:val="24"/>
              </w:rPr>
              <w:t>3</w:t>
            </w:r>
            <w:r>
              <w:rPr>
                <w:rFonts w:hint="eastAsia" w:ascii="仿宋" w:hAnsi="仿宋" w:eastAsia="仿宋" w:cs="仿宋"/>
                <w:kern w:val="0"/>
                <w:sz w:val="24"/>
                <w:szCs w:val="24"/>
              </w:rPr>
              <w:t>分为上限，采用完成比率法计分：得分</w:t>
            </w:r>
            <w:r>
              <w:rPr>
                <w:rFonts w:ascii="仿宋" w:hAnsi="仿宋" w:eastAsia="仿宋" w:cs="仿宋"/>
                <w:kern w:val="0"/>
                <w:sz w:val="24"/>
                <w:szCs w:val="24"/>
              </w:rPr>
              <w:t>=</w:t>
            </w:r>
            <w:r>
              <w:rPr>
                <w:rFonts w:hint="eastAsia" w:ascii="仿宋" w:hAnsi="仿宋" w:eastAsia="仿宋" w:cs="仿宋"/>
                <w:kern w:val="0"/>
                <w:sz w:val="24"/>
                <w:szCs w:val="24"/>
              </w:rPr>
              <w:t>政府采购执行率×</w:t>
            </w:r>
            <w:r>
              <w:rPr>
                <w:rFonts w:ascii="仿宋" w:hAnsi="仿宋" w:eastAsia="仿宋" w:cs="仿宋"/>
                <w:kern w:val="0"/>
                <w:sz w:val="24"/>
                <w:szCs w:val="24"/>
              </w:rPr>
              <w:t>3</w:t>
            </w:r>
            <w:r>
              <w:rPr>
                <w:rFonts w:hint="eastAsia" w:ascii="仿宋" w:hAnsi="仿宋" w:eastAsia="仿宋" w:cs="仿宋"/>
                <w:kern w:val="0"/>
                <w:sz w:val="24"/>
                <w:szCs w:val="24"/>
              </w:rPr>
              <w:t>。若实际政府采购金额大于政府采购预算数则本项不得分。</w:t>
            </w:r>
          </w:p>
        </w:tc>
        <w:tc>
          <w:tcPr>
            <w:tcW w:w="863" w:type="dxa"/>
            <w:tcBorders>
              <w:left w:val="single" w:color="auto" w:sz="4" w:space="0"/>
            </w:tcBorders>
            <w:vAlign w:val="center"/>
          </w:tcPr>
          <w:p>
            <w:pPr>
              <w:widowControl/>
              <w:spacing w:line="240" w:lineRule="exac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restart"/>
            <w:vAlign w:val="center"/>
          </w:tcPr>
          <w:p>
            <w:pPr>
              <w:widowControl/>
              <w:spacing w:line="240" w:lineRule="exact"/>
              <w:jc w:val="center"/>
              <w:rPr>
                <w:rFonts w:ascii="仿宋" w:hAnsi="仿宋" w:eastAsia="仿宋" w:cs="Times New Roman"/>
                <w:kern w:val="0"/>
                <w:sz w:val="24"/>
                <w:szCs w:val="24"/>
              </w:rPr>
            </w:pPr>
            <w:r>
              <w:rPr>
                <w:rFonts w:hint="eastAsia" w:ascii="仿宋" w:hAnsi="仿宋" w:eastAsia="仿宋" w:cs="仿宋"/>
                <w:kern w:val="0"/>
                <w:sz w:val="24"/>
                <w:szCs w:val="24"/>
              </w:rPr>
              <w:t>预算管理</w:t>
            </w:r>
          </w:p>
          <w:p>
            <w:pPr>
              <w:spacing w:line="68" w:lineRule="atLeast"/>
              <w:jc w:val="center"/>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18</w:t>
            </w:r>
            <w:r>
              <w:rPr>
                <w:rFonts w:hint="eastAsia" w:ascii="仿宋" w:hAnsi="仿宋" w:eastAsia="仿宋" w:cs="仿宋"/>
                <w:kern w:val="0"/>
                <w:sz w:val="24"/>
                <w:szCs w:val="24"/>
              </w:rPr>
              <w:t>分）</w:t>
            </w:r>
          </w:p>
        </w:tc>
        <w:tc>
          <w:tcPr>
            <w:tcW w:w="1171" w:type="dxa"/>
            <w:tcBorders>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管理制度健全性</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部门为加强预算管理，规范财务行为而制定的管理制度是否健全完整，项目管理是否规范，基础信息是否完整等。评价要点：</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．是否已制定或具有预算资金管理办法、内部财务管理制度、会计核算制度等管理制度；</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相关管理制度是否合法、合规、完整；</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相关管理制度是否得到有效执行。</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、基础数据信息和会计信息资料真实、完整、准确；</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、是否制定相关项目管理制度。</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6</w:t>
            </w:r>
            <w:r>
              <w:rPr>
                <w:rFonts w:hint="eastAsia" w:ascii="仿宋" w:hAnsi="仿宋" w:eastAsia="仿宋" w:cs="仿宋"/>
                <w:kern w:val="0"/>
                <w:sz w:val="24"/>
                <w:szCs w:val="24"/>
              </w:rPr>
              <w:t>、项目实施是否规范。</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全部符合（</w:t>
            </w:r>
            <w:r>
              <w:rPr>
                <w:rFonts w:ascii="仿宋" w:hAnsi="仿宋" w:eastAsia="仿宋" w:cs="仿宋"/>
                <w:kern w:val="0"/>
                <w:sz w:val="24"/>
                <w:szCs w:val="24"/>
              </w:rPr>
              <w:t>6</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符合其中一项（</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p>
        </w:tc>
        <w:tc>
          <w:tcPr>
            <w:tcW w:w="863" w:type="dxa"/>
            <w:tcBorders>
              <w:left w:val="single" w:color="auto" w:sz="4" w:space="0"/>
            </w:tcBorders>
            <w:vAlign w:val="center"/>
          </w:tcPr>
          <w:p>
            <w:pPr>
              <w:widowControl/>
              <w:spacing w:line="240" w:lineRule="exact"/>
              <w:jc w:val="left"/>
              <w:rPr>
                <w:rFonts w:ascii="宋体" w:hAnsi="宋体" w:eastAsia="仿宋" w:cs="宋体"/>
                <w:kern w:val="0"/>
                <w:sz w:val="20"/>
                <w:szCs w:val="20"/>
              </w:rPr>
            </w:pPr>
            <w:r>
              <w:rPr>
                <w:rFonts w:ascii="宋体" w:hAnsi="宋体" w:eastAsia="仿宋" w:cs="宋体"/>
                <w:kern w:val="0"/>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spacing w:line="68" w:lineRule="atLeast"/>
              <w:jc w:val="left"/>
              <w:rPr>
                <w:rFonts w:ascii="仿宋" w:hAnsi="仿宋" w:eastAsia="仿宋" w:cs="Times New Roman"/>
                <w:kern w:val="0"/>
                <w:sz w:val="24"/>
                <w:szCs w:val="24"/>
              </w:rPr>
            </w:pPr>
          </w:p>
        </w:tc>
        <w:tc>
          <w:tcPr>
            <w:tcW w:w="1171" w:type="dxa"/>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资金使用合规性</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部门使用预算资金是否符合相关的预算财务管理制度的规定，反映和评价部门预算资金的规范运行情况。</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评价要点：</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符合国家财经法规和财务管理制度规定以及有关部门资金管理办法的规定；</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资金的拨付有完整的审批过程和手续；</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项目的重大开支经过评估论证；</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符合部门预算批复的用途；</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不存在截留情况；</w:t>
            </w:r>
            <w:r>
              <w:rPr>
                <w:rFonts w:ascii="仿宋" w:hAnsi="仿宋" w:eastAsia="仿宋" w:cs="仿宋"/>
                <w:kern w:val="0"/>
                <w:sz w:val="24"/>
                <w:szCs w:val="24"/>
              </w:rPr>
              <w:t>6.</w:t>
            </w:r>
            <w:r>
              <w:rPr>
                <w:rFonts w:hint="eastAsia" w:ascii="仿宋" w:hAnsi="仿宋" w:eastAsia="仿宋" w:cs="仿宋"/>
                <w:kern w:val="0"/>
                <w:sz w:val="24"/>
                <w:szCs w:val="24"/>
              </w:rPr>
              <w:t>不存在挤占情况；</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7.</w:t>
            </w:r>
            <w:r>
              <w:rPr>
                <w:rFonts w:hint="eastAsia" w:ascii="仿宋" w:hAnsi="仿宋" w:eastAsia="仿宋" w:cs="仿宋"/>
                <w:kern w:val="0"/>
                <w:sz w:val="24"/>
                <w:szCs w:val="24"/>
              </w:rPr>
              <w:t>不存在挪用情况；</w:t>
            </w:r>
            <w:r>
              <w:rPr>
                <w:rFonts w:ascii="仿宋" w:hAnsi="仿宋" w:eastAsia="仿宋" w:cs="仿宋"/>
                <w:kern w:val="0"/>
                <w:sz w:val="24"/>
                <w:szCs w:val="24"/>
              </w:rPr>
              <w:t>8.</w:t>
            </w:r>
            <w:r>
              <w:rPr>
                <w:rFonts w:hint="eastAsia" w:ascii="仿宋" w:hAnsi="仿宋" w:eastAsia="仿宋" w:cs="仿宋"/>
                <w:kern w:val="0"/>
                <w:sz w:val="24"/>
                <w:szCs w:val="24"/>
              </w:rPr>
              <w:t>不存在虚列支出情况。</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全部符合（</w:t>
            </w:r>
            <w:r>
              <w:rPr>
                <w:rFonts w:ascii="仿宋" w:hAnsi="仿宋" w:eastAsia="仿宋" w:cs="仿宋"/>
                <w:kern w:val="0"/>
                <w:sz w:val="24"/>
                <w:szCs w:val="24"/>
              </w:rPr>
              <w:t>9</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符合其中七项（</w:t>
            </w:r>
            <w:r>
              <w:rPr>
                <w:rFonts w:ascii="仿宋" w:hAnsi="仿宋" w:eastAsia="仿宋" w:cs="仿宋"/>
                <w:kern w:val="0"/>
                <w:sz w:val="24"/>
                <w:szCs w:val="24"/>
              </w:rPr>
              <w:t>8</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符合其中六项（</w:t>
            </w:r>
            <w:r>
              <w:rPr>
                <w:rFonts w:ascii="仿宋" w:hAnsi="仿宋" w:eastAsia="仿宋" w:cs="仿宋"/>
                <w:kern w:val="0"/>
                <w:sz w:val="24"/>
                <w:szCs w:val="24"/>
              </w:rPr>
              <w:t>5</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符合其中五项（</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符合其中四项及以下（</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预决算信息公开性（</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预决算信息是指与部门预算、执行、决算、监督、绩效等管理相关的信息。</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评价要点：</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公开预决算信息；</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按规定内容公开预决算信息；</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按规定时限公开预决算信息。</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全部符合（</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符合其中两项（</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符合其中一项及以下（</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restart"/>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资产管理（</w:t>
            </w:r>
            <w:r>
              <w:rPr>
                <w:rFonts w:ascii="仿宋" w:hAnsi="仿宋" w:eastAsia="仿宋" w:cs="仿宋"/>
                <w:kern w:val="0"/>
                <w:sz w:val="24"/>
                <w:szCs w:val="24"/>
              </w:rPr>
              <w:t>8</w:t>
            </w:r>
            <w:r>
              <w:rPr>
                <w:rFonts w:hint="eastAsia" w:ascii="仿宋" w:hAnsi="仿宋" w:eastAsia="仿宋" w:cs="仿宋"/>
                <w:kern w:val="0"/>
                <w:sz w:val="24"/>
                <w:szCs w:val="24"/>
              </w:rPr>
              <w:t>分）</w:t>
            </w:r>
          </w:p>
        </w:tc>
        <w:tc>
          <w:tcPr>
            <w:tcW w:w="1171" w:type="dxa"/>
            <w:tcBorders>
              <w:top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资产管理完全性</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分）</w:t>
            </w:r>
          </w:p>
        </w:tc>
        <w:tc>
          <w:tcPr>
            <w:tcW w:w="2423" w:type="dxa"/>
            <w:tcBorders>
              <w:top w:val="single" w:color="auto" w:sz="4" w:space="0"/>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部门的资产是否保存完整、使用合规、收入及时足额上缴，用以反映和评价部门资产运行情况。</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评价要点：</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资产保存完整；</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资产账务管理合规，</w:t>
            </w:r>
            <w:r>
              <w:rPr>
                <w:rFonts w:hint="eastAsia" w:ascii="仿宋" w:hAnsi="仿宋" w:eastAsia="仿宋" w:cs="仿宋"/>
                <w:kern w:val="0"/>
                <w:sz w:val="24"/>
                <w:szCs w:val="24"/>
                <w:lang w:eastAsia="zh-CN"/>
              </w:rPr>
              <w:t>账实</w:t>
            </w:r>
            <w:r>
              <w:rPr>
                <w:rFonts w:hint="eastAsia" w:ascii="仿宋" w:hAnsi="仿宋" w:eastAsia="仿宋" w:cs="仿宋"/>
                <w:kern w:val="0"/>
                <w:sz w:val="24"/>
                <w:szCs w:val="24"/>
              </w:rPr>
              <w:t>相符；</w:t>
            </w:r>
          </w:p>
          <w:p>
            <w:pPr>
              <w:widowControl/>
              <w:spacing w:line="240" w:lineRule="exact"/>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、资产配置合理、处置规范；</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资产有偿使用及处置收入及时足额上缴。</w:t>
            </w:r>
          </w:p>
        </w:tc>
        <w:tc>
          <w:tcPr>
            <w:tcW w:w="2551" w:type="dxa"/>
            <w:tcBorders>
              <w:top w:val="single" w:color="auto" w:sz="4" w:space="0"/>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符合全部四项（</w:t>
            </w:r>
            <w:r>
              <w:rPr>
                <w:rFonts w:ascii="仿宋" w:hAnsi="仿宋" w:eastAsia="仿宋" w:cs="仿宋"/>
                <w:kern w:val="0"/>
                <w:sz w:val="24"/>
                <w:szCs w:val="24"/>
              </w:rPr>
              <w:t>4</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符合其中三项（</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符合其中二项（</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符合其中一项（</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符合零项（</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top w:val="single" w:color="auto" w:sz="4" w:space="0"/>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top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固定资产利用率</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分）</w:t>
            </w:r>
          </w:p>
        </w:tc>
        <w:tc>
          <w:tcPr>
            <w:tcW w:w="2423" w:type="dxa"/>
            <w:tcBorders>
              <w:top w:val="single" w:color="auto" w:sz="4" w:space="0"/>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部门实际在用固定资产总额与所有固定资产总额的比率，用以反映和评价部门固定资产使用效率。</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固定资产利用率</w:t>
            </w:r>
            <w:r>
              <w:rPr>
                <w:rFonts w:ascii="仿宋" w:hAnsi="仿宋" w:eastAsia="仿宋" w:cs="仿宋"/>
                <w:kern w:val="0"/>
                <w:sz w:val="24"/>
                <w:szCs w:val="24"/>
              </w:rPr>
              <w:t>=</w:t>
            </w:r>
            <w:r>
              <w:rPr>
                <w:rFonts w:hint="eastAsia" w:ascii="仿宋" w:hAnsi="仿宋" w:eastAsia="仿宋" w:cs="仿宋"/>
                <w:kern w:val="0"/>
                <w:sz w:val="24"/>
                <w:szCs w:val="24"/>
              </w:rPr>
              <w:t>（实际在用固定资产总额</w:t>
            </w:r>
            <w:r>
              <w:rPr>
                <w:rFonts w:ascii="仿宋" w:hAnsi="仿宋" w:eastAsia="仿宋" w:cs="仿宋"/>
                <w:kern w:val="0"/>
                <w:sz w:val="24"/>
                <w:szCs w:val="24"/>
              </w:rPr>
              <w:t>/</w:t>
            </w:r>
            <w:r>
              <w:rPr>
                <w:rFonts w:hint="eastAsia" w:ascii="仿宋" w:hAnsi="仿宋" w:eastAsia="仿宋" w:cs="仿宋"/>
                <w:kern w:val="0"/>
                <w:sz w:val="24"/>
                <w:szCs w:val="24"/>
              </w:rPr>
              <w:t>所有固定资产总额）×</w:t>
            </w:r>
            <w:r>
              <w:rPr>
                <w:rFonts w:ascii="仿宋" w:hAnsi="仿宋" w:eastAsia="仿宋" w:cs="仿宋"/>
                <w:kern w:val="0"/>
                <w:sz w:val="24"/>
                <w:szCs w:val="24"/>
              </w:rPr>
              <w:t>100%</w:t>
            </w:r>
            <w:r>
              <w:rPr>
                <w:rFonts w:hint="eastAsia" w:ascii="仿宋" w:hAnsi="仿宋" w:eastAsia="仿宋" w:cs="仿宋"/>
                <w:kern w:val="0"/>
                <w:sz w:val="24"/>
                <w:szCs w:val="24"/>
              </w:rPr>
              <w:t>。</w:t>
            </w:r>
          </w:p>
        </w:tc>
        <w:tc>
          <w:tcPr>
            <w:tcW w:w="2551" w:type="dxa"/>
            <w:tcBorders>
              <w:top w:val="single" w:color="auto" w:sz="4" w:space="0"/>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90%</w:t>
            </w:r>
            <w:r>
              <w:rPr>
                <w:rFonts w:hint="eastAsia" w:ascii="仿宋" w:hAnsi="仿宋" w:eastAsia="仿宋" w:cs="仿宋"/>
                <w:kern w:val="0"/>
                <w:sz w:val="24"/>
                <w:szCs w:val="24"/>
              </w:rPr>
              <w:t>的，得</w:t>
            </w:r>
            <w:r>
              <w:rPr>
                <w:rFonts w:ascii="仿宋" w:hAnsi="仿宋" w:eastAsia="仿宋" w:cs="仿宋"/>
                <w:kern w:val="0"/>
                <w:sz w:val="24"/>
                <w:szCs w:val="24"/>
              </w:rPr>
              <w:t>4</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90%</w:t>
            </w:r>
            <w:r>
              <w:rPr>
                <w:rFonts w:hint="eastAsia" w:ascii="仿宋" w:hAnsi="仿宋" w:eastAsia="仿宋" w:cs="仿宋"/>
                <w:kern w:val="0"/>
                <w:sz w:val="24"/>
                <w:szCs w:val="24"/>
              </w:rPr>
              <w:t>＞比率≥</w:t>
            </w:r>
            <w:r>
              <w:rPr>
                <w:rFonts w:ascii="仿宋" w:hAnsi="仿宋" w:eastAsia="仿宋" w:cs="仿宋"/>
                <w:kern w:val="0"/>
                <w:sz w:val="24"/>
                <w:szCs w:val="24"/>
              </w:rPr>
              <w:t>80%</w:t>
            </w:r>
            <w:r>
              <w:rPr>
                <w:rFonts w:hint="eastAsia" w:ascii="仿宋" w:hAnsi="仿宋" w:eastAsia="仿宋" w:cs="仿宋"/>
                <w:kern w:val="0"/>
                <w:sz w:val="24"/>
                <w:szCs w:val="24"/>
              </w:rPr>
              <w:t>，得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80%</w:t>
            </w:r>
            <w:r>
              <w:rPr>
                <w:rFonts w:hint="eastAsia" w:ascii="仿宋" w:hAnsi="仿宋" w:eastAsia="仿宋" w:cs="仿宋"/>
                <w:kern w:val="0"/>
                <w:sz w:val="24"/>
                <w:szCs w:val="24"/>
              </w:rPr>
              <w:t>＞比率≥</w:t>
            </w:r>
            <w:r>
              <w:rPr>
                <w:rFonts w:ascii="仿宋" w:hAnsi="仿宋" w:eastAsia="仿宋" w:cs="仿宋"/>
                <w:kern w:val="0"/>
                <w:sz w:val="24"/>
                <w:szCs w:val="24"/>
              </w:rPr>
              <w:t>70%</w:t>
            </w:r>
            <w:r>
              <w:rPr>
                <w:rFonts w:hint="eastAsia" w:ascii="仿宋" w:hAnsi="仿宋" w:eastAsia="仿宋" w:cs="仿宋"/>
                <w:kern w:val="0"/>
                <w:sz w:val="24"/>
                <w:szCs w:val="24"/>
              </w:rPr>
              <w:t>，得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70%</w:t>
            </w:r>
            <w:r>
              <w:rPr>
                <w:rFonts w:hint="eastAsia" w:ascii="仿宋" w:hAnsi="仿宋" w:eastAsia="仿宋" w:cs="仿宋"/>
                <w:kern w:val="0"/>
                <w:sz w:val="24"/>
                <w:szCs w:val="24"/>
              </w:rPr>
              <w:t>＞比率≥</w:t>
            </w:r>
            <w:r>
              <w:rPr>
                <w:rFonts w:ascii="仿宋" w:hAnsi="仿宋" w:eastAsia="仿宋" w:cs="仿宋"/>
                <w:kern w:val="0"/>
                <w:sz w:val="24"/>
                <w:szCs w:val="24"/>
              </w:rPr>
              <w:t>60%</w:t>
            </w:r>
            <w:r>
              <w:rPr>
                <w:rFonts w:hint="eastAsia" w:ascii="仿宋" w:hAnsi="仿宋" w:eastAsia="仿宋" w:cs="仿宋"/>
                <w:kern w:val="0"/>
                <w:sz w:val="24"/>
                <w:szCs w:val="24"/>
              </w:rPr>
              <w:t>，得</w:t>
            </w:r>
            <w:r>
              <w:rPr>
                <w:rFonts w:ascii="仿宋" w:hAnsi="仿宋" w:eastAsia="仿宋" w:cs="仿宋"/>
                <w:kern w:val="0"/>
                <w:sz w:val="24"/>
                <w:szCs w:val="24"/>
              </w:rPr>
              <w:t>1</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60%</w:t>
            </w:r>
            <w:r>
              <w:rPr>
                <w:rFonts w:hint="eastAsia" w:ascii="仿宋" w:hAnsi="仿宋" w:eastAsia="仿宋" w:cs="仿宋"/>
                <w:kern w:val="0"/>
                <w:sz w:val="24"/>
                <w:szCs w:val="24"/>
              </w:rPr>
              <w:t>得</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top w:val="single" w:color="auto" w:sz="4" w:space="0"/>
              <w:lef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仿宋" w:cs="Times New Roman"/>
                <w:kern w:val="0"/>
                <w:sz w:val="20"/>
                <w:szCs w:val="20"/>
              </w:rPr>
              <w:t> </w:t>
            </w:r>
            <w:r>
              <w:rPr>
                <w:rFonts w:ascii="宋体" w:hAnsi="宋体" w:eastAsia="仿宋"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vAlign w:val="center"/>
          </w:tcPr>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Times New Roman"/>
                <w:kern w:val="0"/>
                <w:sz w:val="24"/>
                <w:szCs w:val="24"/>
              </w:rPr>
            </w:pPr>
          </w:p>
          <w:p>
            <w:pPr>
              <w:widowControl/>
              <w:spacing w:line="68" w:lineRule="atLeast"/>
              <w:jc w:val="left"/>
              <w:rPr>
                <w:rFonts w:ascii="仿宋" w:hAnsi="仿宋" w:eastAsia="仿宋" w:cs="仿宋"/>
                <w:kern w:val="0"/>
                <w:sz w:val="24"/>
                <w:szCs w:val="24"/>
              </w:rPr>
            </w:pPr>
            <w:r>
              <w:rPr>
                <w:rFonts w:hint="eastAsia" w:ascii="仿宋" w:hAnsi="仿宋" w:eastAsia="仿宋" w:cs="仿宋"/>
                <w:kern w:val="0"/>
                <w:sz w:val="24"/>
                <w:szCs w:val="24"/>
              </w:rPr>
              <w:t>产出</w:t>
            </w:r>
            <w:r>
              <w:rPr>
                <w:rFonts w:ascii="仿宋" w:hAnsi="仿宋" w:eastAsia="仿宋" w:cs="仿宋"/>
                <w:kern w:val="0"/>
                <w:sz w:val="24"/>
                <w:szCs w:val="24"/>
              </w:rPr>
              <w:t>(25</w:t>
            </w:r>
            <w:r>
              <w:rPr>
                <w:rFonts w:hint="eastAsia" w:ascii="仿宋" w:hAnsi="仿宋" w:eastAsia="仿宋" w:cs="仿宋"/>
                <w:kern w:val="0"/>
                <w:sz w:val="24"/>
                <w:szCs w:val="24"/>
              </w:rPr>
              <w:t>分</w:t>
            </w:r>
            <w:r>
              <w:rPr>
                <w:rFonts w:ascii="仿宋" w:hAnsi="仿宋" w:eastAsia="仿宋" w:cs="仿宋"/>
                <w:kern w:val="0"/>
                <w:sz w:val="24"/>
                <w:szCs w:val="24"/>
              </w:rPr>
              <w:t>)</w:t>
            </w:r>
          </w:p>
        </w:tc>
        <w:tc>
          <w:tcPr>
            <w:tcW w:w="803" w:type="dxa"/>
            <w:gridSpan w:val="2"/>
            <w:vMerge w:val="restart"/>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职责履行（</w:t>
            </w:r>
            <w:r>
              <w:rPr>
                <w:rFonts w:ascii="仿宋" w:hAnsi="仿宋" w:eastAsia="仿宋" w:cs="仿宋"/>
                <w:kern w:val="0"/>
                <w:sz w:val="24"/>
                <w:szCs w:val="24"/>
              </w:rPr>
              <w:t>25</w:t>
            </w:r>
            <w:r>
              <w:rPr>
                <w:rFonts w:hint="eastAsia" w:ascii="仿宋" w:hAnsi="仿宋" w:eastAsia="仿宋" w:cs="仿宋"/>
                <w:kern w:val="0"/>
                <w:sz w:val="24"/>
                <w:szCs w:val="24"/>
              </w:rPr>
              <w:t>分）</w:t>
            </w: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项目实际完成率（</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项目实际完成率</w:t>
            </w:r>
            <w:r>
              <w:rPr>
                <w:rFonts w:ascii="仿宋" w:hAnsi="仿宋" w:eastAsia="仿宋" w:cs="仿宋"/>
                <w:kern w:val="0"/>
                <w:sz w:val="24"/>
                <w:szCs w:val="24"/>
              </w:rPr>
              <w:t>=</w:t>
            </w:r>
            <w:r>
              <w:rPr>
                <w:rFonts w:hint="eastAsia" w:ascii="仿宋" w:hAnsi="仿宋" w:eastAsia="仿宋" w:cs="仿宋"/>
                <w:kern w:val="0"/>
                <w:sz w:val="24"/>
                <w:szCs w:val="24"/>
              </w:rPr>
              <w:t>（实际完成项目数</w:t>
            </w:r>
            <w:r>
              <w:rPr>
                <w:rFonts w:ascii="仿宋" w:hAnsi="仿宋" w:eastAsia="仿宋" w:cs="仿宋"/>
                <w:kern w:val="0"/>
                <w:sz w:val="24"/>
                <w:szCs w:val="24"/>
              </w:rPr>
              <w:t>/</w:t>
            </w:r>
            <w:r>
              <w:rPr>
                <w:rFonts w:hint="eastAsia" w:ascii="仿宋" w:hAnsi="仿宋" w:eastAsia="仿宋" w:cs="仿宋"/>
                <w:kern w:val="0"/>
                <w:sz w:val="24"/>
                <w:szCs w:val="24"/>
              </w:rPr>
              <w:t>计划完成项目数）×</w:t>
            </w:r>
            <w:r>
              <w:rPr>
                <w:rFonts w:ascii="仿宋" w:hAnsi="仿宋" w:eastAsia="仿宋" w:cs="仿宋"/>
                <w:kern w:val="0"/>
                <w:sz w:val="24"/>
                <w:szCs w:val="24"/>
              </w:rPr>
              <w:t>100%</w:t>
            </w:r>
            <w:r>
              <w:rPr>
                <w:rFonts w:hint="eastAsia" w:ascii="仿宋" w:hAnsi="仿宋" w:eastAsia="仿宋" w:cs="仿宋"/>
                <w:kern w:val="0"/>
                <w:sz w:val="24"/>
                <w:szCs w:val="24"/>
              </w:rPr>
              <w:t>。</w:t>
            </w:r>
          </w:p>
        </w:tc>
        <w:tc>
          <w:tcPr>
            <w:tcW w:w="2551"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100%</w:t>
            </w:r>
            <w:r>
              <w:rPr>
                <w:rFonts w:hint="eastAsia" w:ascii="仿宋" w:hAnsi="仿宋" w:eastAsia="仿宋" w:cs="仿宋"/>
                <w:kern w:val="0"/>
                <w:sz w:val="24"/>
                <w:szCs w:val="24"/>
              </w:rPr>
              <w:t>＞比率≥</w:t>
            </w:r>
            <w:r>
              <w:rPr>
                <w:rFonts w:ascii="仿宋" w:hAnsi="仿宋" w:eastAsia="仿宋" w:cs="仿宋"/>
                <w:kern w:val="0"/>
                <w:sz w:val="24"/>
                <w:szCs w:val="24"/>
              </w:rPr>
              <w:t>95%</w:t>
            </w:r>
            <w:r>
              <w:rPr>
                <w:rFonts w:hint="eastAsia" w:ascii="仿宋" w:hAnsi="仿宋" w:eastAsia="仿宋" w:cs="仿宋"/>
                <w:kern w:val="0"/>
                <w:sz w:val="24"/>
                <w:szCs w:val="24"/>
              </w:rPr>
              <w:t>，得</w:t>
            </w:r>
            <w:r>
              <w:rPr>
                <w:rFonts w:ascii="仿宋" w:hAnsi="仿宋" w:eastAsia="仿宋" w:cs="仿宋"/>
                <w:kern w:val="0"/>
                <w:sz w:val="24"/>
                <w:szCs w:val="24"/>
              </w:rPr>
              <w:t>5</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95%</w:t>
            </w:r>
            <w:r>
              <w:rPr>
                <w:rFonts w:hint="eastAsia" w:ascii="仿宋" w:hAnsi="仿宋" w:eastAsia="仿宋" w:cs="仿宋"/>
                <w:kern w:val="0"/>
                <w:sz w:val="24"/>
                <w:szCs w:val="24"/>
              </w:rPr>
              <w:t>＞比率≥</w:t>
            </w:r>
            <w:r>
              <w:rPr>
                <w:rFonts w:ascii="仿宋" w:hAnsi="仿宋" w:eastAsia="仿宋" w:cs="仿宋"/>
                <w:kern w:val="0"/>
                <w:sz w:val="24"/>
                <w:szCs w:val="24"/>
              </w:rPr>
              <w:t>90%</w:t>
            </w:r>
            <w:r>
              <w:rPr>
                <w:rFonts w:hint="eastAsia" w:ascii="仿宋" w:hAnsi="仿宋" w:eastAsia="仿宋" w:cs="仿宋"/>
                <w:kern w:val="0"/>
                <w:sz w:val="24"/>
                <w:szCs w:val="24"/>
              </w:rPr>
              <w:t>，得</w:t>
            </w:r>
            <w:r>
              <w:rPr>
                <w:rFonts w:ascii="仿宋" w:hAnsi="仿宋" w:eastAsia="仿宋" w:cs="仿宋"/>
                <w:kern w:val="0"/>
                <w:sz w:val="24"/>
                <w:szCs w:val="24"/>
              </w:rPr>
              <w:t>4</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90%</w:t>
            </w:r>
            <w:r>
              <w:rPr>
                <w:rFonts w:hint="eastAsia" w:ascii="仿宋" w:hAnsi="仿宋" w:eastAsia="仿宋" w:cs="仿宋"/>
                <w:kern w:val="0"/>
                <w:sz w:val="24"/>
                <w:szCs w:val="24"/>
              </w:rPr>
              <w:t>＞比率≥</w:t>
            </w:r>
            <w:r>
              <w:rPr>
                <w:rFonts w:ascii="仿宋" w:hAnsi="仿宋" w:eastAsia="仿宋" w:cs="仿宋"/>
                <w:kern w:val="0"/>
                <w:sz w:val="24"/>
                <w:szCs w:val="24"/>
              </w:rPr>
              <w:t>85%</w:t>
            </w:r>
            <w:r>
              <w:rPr>
                <w:rFonts w:hint="eastAsia" w:ascii="仿宋" w:hAnsi="仿宋" w:eastAsia="仿宋" w:cs="仿宋"/>
                <w:kern w:val="0"/>
                <w:sz w:val="24"/>
                <w:szCs w:val="24"/>
              </w:rPr>
              <w:t>，得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比率＜</w:t>
            </w:r>
            <w:r>
              <w:rPr>
                <w:rFonts w:ascii="仿宋" w:hAnsi="仿宋" w:eastAsia="仿宋" w:cs="仿宋"/>
                <w:kern w:val="0"/>
                <w:sz w:val="24"/>
                <w:szCs w:val="24"/>
              </w:rPr>
              <w:t>85%</w:t>
            </w:r>
            <w:r>
              <w:rPr>
                <w:rFonts w:hint="eastAsia" w:ascii="仿宋" w:hAnsi="仿宋" w:eastAsia="仿宋" w:cs="仿宋"/>
                <w:kern w:val="0"/>
                <w:sz w:val="24"/>
                <w:szCs w:val="24"/>
              </w:rPr>
              <w:t>得</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bottom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宋体" w:cs="Times New Roman"/>
                <w:kern w:val="0"/>
                <w:sz w:val="20"/>
                <w:szCs w:val="20"/>
              </w:rPr>
              <w:t> </w:t>
            </w:r>
            <w:r>
              <w:rPr>
                <w:rFonts w:ascii="宋体" w:hAnsi="宋体" w:eastAsia="宋体"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项目质量达标率（</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部门已完成项目中质量达标项目个数占已完成项目个数的比率</w:t>
            </w:r>
            <w:r>
              <w:rPr>
                <w:rFonts w:ascii="仿宋" w:hAnsi="仿宋" w:eastAsia="仿宋" w:cs="仿宋"/>
                <w:kern w:val="0"/>
                <w:sz w:val="24"/>
                <w:szCs w:val="24"/>
              </w:rPr>
              <w:t>,</w:t>
            </w:r>
            <w:r>
              <w:rPr>
                <w:rFonts w:hint="eastAsia" w:ascii="仿宋" w:hAnsi="仿宋" w:eastAsia="仿宋" w:cs="仿宋"/>
                <w:kern w:val="0"/>
                <w:sz w:val="24"/>
                <w:szCs w:val="24"/>
              </w:rPr>
              <w:t>用以反映和评价部门履职质量目标的实现程度。</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项目质量达标率</w:t>
            </w:r>
            <w:r>
              <w:rPr>
                <w:rFonts w:ascii="仿宋" w:hAnsi="仿宋" w:eastAsia="仿宋" w:cs="仿宋"/>
                <w:kern w:val="0"/>
                <w:sz w:val="24"/>
                <w:szCs w:val="24"/>
              </w:rPr>
              <w:t>=</w:t>
            </w:r>
            <w:r>
              <w:rPr>
                <w:rFonts w:hint="eastAsia" w:ascii="仿宋" w:hAnsi="仿宋" w:eastAsia="仿宋" w:cs="仿宋"/>
                <w:kern w:val="0"/>
                <w:sz w:val="24"/>
                <w:szCs w:val="24"/>
              </w:rPr>
              <w:t>（已完成项目中质量达标项目个数</w:t>
            </w:r>
            <w:r>
              <w:rPr>
                <w:rFonts w:ascii="仿宋" w:hAnsi="仿宋" w:eastAsia="仿宋" w:cs="仿宋"/>
                <w:kern w:val="0"/>
                <w:sz w:val="24"/>
                <w:szCs w:val="24"/>
              </w:rPr>
              <w:t>/</w:t>
            </w:r>
            <w:r>
              <w:rPr>
                <w:rFonts w:hint="eastAsia" w:ascii="仿宋" w:hAnsi="仿宋" w:eastAsia="仿宋" w:cs="仿宋"/>
                <w:kern w:val="0"/>
                <w:sz w:val="24"/>
                <w:szCs w:val="24"/>
              </w:rPr>
              <w:t>已完成项目个数）×</w:t>
            </w:r>
            <w:r>
              <w:rPr>
                <w:rFonts w:ascii="仿宋" w:hAnsi="仿宋" w:eastAsia="仿宋" w:cs="仿宋"/>
                <w:kern w:val="0"/>
                <w:sz w:val="24"/>
                <w:szCs w:val="24"/>
              </w:rPr>
              <w:t>100%</w:t>
            </w:r>
            <w:r>
              <w:rPr>
                <w:rFonts w:hint="eastAsia" w:ascii="仿宋" w:hAnsi="仿宋" w:eastAsia="仿宋" w:cs="仿宋"/>
                <w:kern w:val="0"/>
                <w:sz w:val="24"/>
                <w:szCs w:val="24"/>
              </w:rPr>
              <w:t>。</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项目质量达标是指项目决算验收合格。</w:t>
            </w:r>
          </w:p>
        </w:tc>
        <w:tc>
          <w:tcPr>
            <w:tcW w:w="2551"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目标值</w:t>
            </w:r>
            <w:r>
              <w:rPr>
                <w:rFonts w:ascii="仿宋" w:hAnsi="仿宋" w:eastAsia="仿宋" w:cs="仿宋"/>
                <w:kern w:val="0"/>
                <w:sz w:val="24"/>
                <w:szCs w:val="24"/>
              </w:rPr>
              <w:t>100%</w:t>
            </w:r>
            <w:r>
              <w:rPr>
                <w:rFonts w:hint="eastAsia" w:ascii="仿宋" w:hAnsi="仿宋" w:eastAsia="仿宋" w:cs="仿宋"/>
                <w:kern w:val="0"/>
                <w:sz w:val="24"/>
                <w:szCs w:val="24"/>
              </w:rPr>
              <w:t>；以</w:t>
            </w:r>
            <w:r>
              <w:rPr>
                <w:rFonts w:ascii="仿宋" w:hAnsi="仿宋" w:eastAsia="仿宋" w:cs="仿宋"/>
                <w:kern w:val="0"/>
                <w:sz w:val="24"/>
                <w:szCs w:val="24"/>
              </w:rPr>
              <w:t>5</w:t>
            </w:r>
            <w:r>
              <w:rPr>
                <w:rFonts w:hint="eastAsia" w:ascii="仿宋" w:hAnsi="仿宋" w:eastAsia="仿宋" w:cs="仿宋"/>
                <w:kern w:val="0"/>
                <w:sz w:val="24"/>
                <w:szCs w:val="24"/>
              </w:rPr>
              <w:t>分为上限，采用完成比率法计分：得分</w:t>
            </w:r>
            <w:r>
              <w:rPr>
                <w:rFonts w:ascii="仿宋" w:hAnsi="仿宋" w:eastAsia="仿宋" w:cs="仿宋"/>
                <w:kern w:val="0"/>
                <w:sz w:val="24"/>
                <w:szCs w:val="24"/>
              </w:rPr>
              <w:t>=</w:t>
            </w:r>
            <w:r>
              <w:rPr>
                <w:rFonts w:hint="eastAsia" w:ascii="仿宋" w:hAnsi="仿宋" w:eastAsia="仿宋" w:cs="仿宋"/>
                <w:kern w:val="0"/>
                <w:sz w:val="24"/>
                <w:szCs w:val="24"/>
              </w:rPr>
              <w:t>项目质量达标率×</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95%</w:t>
            </w:r>
            <w:r>
              <w:rPr>
                <w:rFonts w:hint="eastAsia" w:ascii="仿宋" w:hAnsi="仿宋" w:eastAsia="仿宋" w:cs="仿宋"/>
                <w:kern w:val="0"/>
                <w:sz w:val="24"/>
                <w:szCs w:val="24"/>
              </w:rPr>
              <w:t>的扣</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863" w:type="dxa"/>
            <w:tcBorders>
              <w:left w:val="single" w:color="auto" w:sz="4" w:space="0"/>
              <w:bottom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宋体" w:cs="Times New Roman"/>
                <w:kern w:val="0"/>
                <w:sz w:val="20"/>
                <w:szCs w:val="20"/>
              </w:rPr>
              <w:t> </w:t>
            </w:r>
            <w:r>
              <w:rPr>
                <w:rFonts w:ascii="宋体" w:hAnsi="宋体" w:eastAsia="宋体"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重点工作办结率（</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部门年度重点工作实际完成数与交办或下达数的比率，用以反映部门对重点工作的办理落实程度。</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重点工作办结率</w:t>
            </w:r>
            <w:r>
              <w:rPr>
                <w:rFonts w:ascii="仿宋" w:hAnsi="仿宋" w:eastAsia="仿宋" w:cs="仿宋"/>
                <w:kern w:val="0"/>
                <w:sz w:val="24"/>
                <w:szCs w:val="24"/>
              </w:rPr>
              <w:t>=</w:t>
            </w:r>
            <w:r>
              <w:rPr>
                <w:rFonts w:hint="eastAsia" w:ascii="仿宋" w:hAnsi="仿宋" w:eastAsia="仿宋" w:cs="仿宋"/>
                <w:kern w:val="0"/>
                <w:sz w:val="24"/>
                <w:szCs w:val="24"/>
              </w:rPr>
              <w:t>（重点工作实际完成数</w:t>
            </w:r>
            <w:r>
              <w:rPr>
                <w:rFonts w:ascii="仿宋" w:hAnsi="仿宋" w:eastAsia="仿宋" w:cs="仿宋"/>
                <w:kern w:val="0"/>
                <w:sz w:val="24"/>
                <w:szCs w:val="24"/>
              </w:rPr>
              <w:t>/</w:t>
            </w:r>
            <w:r>
              <w:rPr>
                <w:rFonts w:hint="eastAsia" w:ascii="仿宋" w:hAnsi="仿宋" w:eastAsia="仿宋" w:cs="仿宋"/>
                <w:kern w:val="0"/>
                <w:sz w:val="24"/>
                <w:szCs w:val="24"/>
              </w:rPr>
              <w:t>交办或下达数）×</w:t>
            </w:r>
            <w:r>
              <w:rPr>
                <w:rFonts w:ascii="仿宋" w:hAnsi="仿宋" w:eastAsia="仿宋" w:cs="仿宋"/>
                <w:kern w:val="0"/>
                <w:sz w:val="24"/>
                <w:szCs w:val="24"/>
              </w:rPr>
              <w:t>100%</w:t>
            </w:r>
            <w:r>
              <w:rPr>
                <w:rFonts w:hint="eastAsia" w:ascii="仿宋" w:hAnsi="仿宋" w:eastAsia="仿宋" w:cs="仿宋"/>
                <w:kern w:val="0"/>
                <w:sz w:val="24"/>
                <w:szCs w:val="24"/>
              </w:rPr>
              <w:t>。</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重点工作是指党委、政府、人大、相关部门交办或下达的工作任务。</w:t>
            </w:r>
          </w:p>
        </w:tc>
        <w:tc>
          <w:tcPr>
            <w:tcW w:w="2551"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目标值</w:t>
            </w:r>
            <w:r>
              <w:rPr>
                <w:rFonts w:ascii="仿宋" w:hAnsi="仿宋" w:eastAsia="仿宋" w:cs="仿宋"/>
                <w:kern w:val="0"/>
                <w:sz w:val="24"/>
                <w:szCs w:val="24"/>
              </w:rPr>
              <w:t>100%</w:t>
            </w:r>
            <w:r>
              <w:rPr>
                <w:rFonts w:hint="eastAsia" w:ascii="仿宋" w:hAnsi="仿宋" w:eastAsia="仿宋" w:cs="仿宋"/>
                <w:kern w:val="0"/>
                <w:sz w:val="24"/>
                <w:szCs w:val="24"/>
              </w:rPr>
              <w:t>；以</w:t>
            </w:r>
            <w:r>
              <w:rPr>
                <w:rFonts w:ascii="仿宋" w:hAnsi="仿宋" w:eastAsia="仿宋" w:cs="仿宋"/>
                <w:kern w:val="0"/>
                <w:sz w:val="24"/>
                <w:szCs w:val="24"/>
              </w:rPr>
              <w:t>5</w:t>
            </w:r>
            <w:r>
              <w:rPr>
                <w:rFonts w:hint="eastAsia" w:ascii="仿宋" w:hAnsi="仿宋" w:eastAsia="仿宋" w:cs="仿宋"/>
                <w:kern w:val="0"/>
                <w:sz w:val="24"/>
                <w:szCs w:val="24"/>
              </w:rPr>
              <w:t>分为上限，采用完成比率法计分：得分</w:t>
            </w:r>
            <w:r>
              <w:rPr>
                <w:rFonts w:ascii="仿宋" w:hAnsi="仿宋" w:eastAsia="仿宋" w:cs="仿宋"/>
                <w:kern w:val="0"/>
                <w:sz w:val="24"/>
                <w:szCs w:val="24"/>
              </w:rPr>
              <w:t>=</w:t>
            </w:r>
            <w:r>
              <w:rPr>
                <w:rFonts w:hint="eastAsia" w:ascii="仿宋" w:hAnsi="仿宋" w:eastAsia="仿宋" w:cs="仿宋"/>
                <w:kern w:val="0"/>
                <w:sz w:val="24"/>
                <w:szCs w:val="24"/>
              </w:rPr>
              <w:t>重点工作办结率×</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90%</w:t>
            </w:r>
            <w:r>
              <w:rPr>
                <w:rFonts w:hint="eastAsia" w:ascii="仿宋" w:hAnsi="仿宋" w:eastAsia="仿宋" w:cs="仿宋"/>
                <w:kern w:val="0"/>
                <w:sz w:val="24"/>
                <w:szCs w:val="24"/>
              </w:rPr>
              <w:t>的扣</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863" w:type="dxa"/>
            <w:tcBorders>
              <w:left w:val="single" w:color="auto" w:sz="4" w:space="0"/>
              <w:bottom w:val="single" w:color="auto" w:sz="4" w:space="0"/>
            </w:tcBorders>
            <w:vAlign w:val="center"/>
          </w:tcPr>
          <w:p>
            <w:pPr>
              <w:widowControl/>
              <w:spacing w:line="68" w:lineRule="atLeast"/>
              <w:jc w:val="left"/>
              <w:rPr>
                <w:rFonts w:ascii="仿宋" w:hAnsi="仿宋" w:eastAsia="仿宋" w:cs="Times New Roman"/>
                <w:kern w:val="0"/>
                <w:sz w:val="24"/>
                <w:szCs w:val="24"/>
              </w:rPr>
            </w:pPr>
            <w:r>
              <w:rPr>
                <w:rFonts w:ascii="宋体" w:hAnsi="宋体" w:eastAsia="宋体" w:cs="Times New Roman"/>
                <w:kern w:val="0"/>
                <w:sz w:val="20"/>
                <w:szCs w:val="20"/>
              </w:rPr>
              <w:t> </w:t>
            </w:r>
            <w:r>
              <w:rPr>
                <w:rFonts w:ascii="宋体" w:hAnsi="宋体" w:eastAsia="宋体"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vAlign w:val="center"/>
          </w:tcPr>
          <w:p>
            <w:pPr>
              <w:widowControl/>
              <w:jc w:val="left"/>
              <w:rPr>
                <w:rFonts w:ascii="仿宋" w:hAnsi="仿宋" w:eastAsia="仿宋" w:cs="Times New Roman"/>
                <w:kern w:val="0"/>
                <w:sz w:val="24"/>
                <w:szCs w:val="24"/>
              </w:rPr>
            </w:pPr>
          </w:p>
        </w:tc>
        <w:tc>
          <w:tcPr>
            <w:tcW w:w="1171" w:type="dxa"/>
            <w:tcBorders>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绩效目标完成率（</w:t>
            </w:r>
            <w:r>
              <w:rPr>
                <w:rFonts w:ascii="仿宋" w:hAnsi="仿宋" w:eastAsia="仿宋" w:cs="仿宋"/>
                <w:kern w:val="0"/>
                <w:sz w:val="24"/>
                <w:szCs w:val="24"/>
              </w:rPr>
              <w:t>10</w:t>
            </w:r>
            <w:r>
              <w:rPr>
                <w:rFonts w:hint="eastAsia" w:ascii="仿宋" w:hAnsi="仿宋" w:eastAsia="仿宋" w:cs="仿宋"/>
                <w:kern w:val="0"/>
                <w:sz w:val="24"/>
                <w:szCs w:val="24"/>
              </w:rPr>
              <w:t>分）</w:t>
            </w:r>
          </w:p>
        </w:tc>
        <w:tc>
          <w:tcPr>
            <w:tcW w:w="2423"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反映部门（单位）整体绩效目标完成的情况</w:t>
            </w:r>
          </w:p>
        </w:tc>
        <w:tc>
          <w:tcPr>
            <w:tcW w:w="2551" w:type="dxa"/>
            <w:tcBorders>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仿宋"/>
                <w:kern w:val="0"/>
                <w:sz w:val="24"/>
                <w:szCs w:val="24"/>
              </w:rPr>
            </w:pPr>
            <w:r>
              <w:rPr>
                <w:rFonts w:hint="eastAsia" w:ascii="仿宋" w:hAnsi="仿宋" w:eastAsia="仿宋" w:cs="仿宋"/>
                <w:kern w:val="0"/>
                <w:sz w:val="24"/>
                <w:szCs w:val="24"/>
              </w:rPr>
              <w:t>本项得分</w:t>
            </w:r>
            <w:r>
              <w:rPr>
                <w:rFonts w:ascii="仿宋" w:hAnsi="仿宋" w:eastAsia="仿宋" w:cs="仿宋"/>
                <w:kern w:val="0"/>
                <w:sz w:val="24"/>
                <w:szCs w:val="24"/>
              </w:rPr>
              <w:t>=</w:t>
            </w:r>
            <w:r>
              <w:rPr>
                <w:rFonts w:hint="eastAsia" w:ascii="仿宋" w:hAnsi="仿宋" w:eastAsia="仿宋" w:cs="仿宋"/>
                <w:kern w:val="0"/>
                <w:sz w:val="24"/>
                <w:szCs w:val="24"/>
              </w:rPr>
              <w:t>绩效目标完成率×</w:t>
            </w:r>
            <w:r>
              <w:rPr>
                <w:rFonts w:ascii="仿宋" w:hAnsi="仿宋" w:eastAsia="仿宋" w:cs="仿宋"/>
                <w:kern w:val="0"/>
                <w:sz w:val="24"/>
                <w:szCs w:val="24"/>
              </w:rPr>
              <w:t>10</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（绩效目标完成率需提出合理依据）</w:t>
            </w:r>
          </w:p>
        </w:tc>
        <w:tc>
          <w:tcPr>
            <w:tcW w:w="863" w:type="dxa"/>
            <w:tcBorders>
              <w:left w:val="single" w:color="auto" w:sz="4" w:space="0"/>
              <w:bottom w:val="single" w:color="auto" w:sz="4" w:space="0"/>
            </w:tcBorders>
            <w:vAlign w:val="center"/>
          </w:tcPr>
          <w:p>
            <w:pPr>
              <w:widowControl/>
              <w:spacing w:line="68" w:lineRule="atLeast"/>
              <w:jc w:val="left"/>
              <w:rPr>
                <w:rFonts w:ascii="宋体" w:hAnsi="宋体" w:eastAsia="宋体" w:cs="宋体"/>
                <w:kern w:val="0"/>
                <w:sz w:val="20"/>
                <w:szCs w:val="20"/>
              </w:rPr>
            </w:pPr>
            <w:r>
              <w:rPr>
                <w:rFonts w:ascii="宋体" w:hAnsi="宋体" w:eastAsia="宋体" w:cs="宋体"/>
                <w:kern w:val="0"/>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733" w:type="dxa"/>
            <w:vMerge w:val="restart"/>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效益（</w:t>
            </w:r>
            <w:r>
              <w:rPr>
                <w:rFonts w:ascii="仿宋" w:hAnsi="仿宋" w:eastAsia="仿宋" w:cs="仿宋"/>
                <w:kern w:val="0"/>
                <w:sz w:val="24"/>
                <w:szCs w:val="24"/>
              </w:rPr>
              <w:t>15</w:t>
            </w:r>
            <w:r>
              <w:rPr>
                <w:rFonts w:hint="eastAsia" w:ascii="仿宋" w:hAnsi="仿宋" w:eastAsia="仿宋" w:cs="仿宋"/>
                <w:kern w:val="0"/>
                <w:sz w:val="24"/>
                <w:szCs w:val="24"/>
              </w:rPr>
              <w:t>分）</w:t>
            </w:r>
          </w:p>
        </w:tc>
        <w:tc>
          <w:tcPr>
            <w:tcW w:w="803" w:type="dxa"/>
            <w:gridSpan w:val="2"/>
            <w:tcBorders>
              <w:top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效果性（</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1171" w:type="dxa"/>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color w:val="000000"/>
                <w:kern w:val="0"/>
                <w:sz w:val="24"/>
                <w:szCs w:val="24"/>
              </w:rPr>
              <w:t>社会经济效益</w:t>
            </w: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w:t>
            </w:r>
          </w:p>
        </w:tc>
        <w:tc>
          <w:tcPr>
            <w:tcW w:w="2423"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color w:val="000000"/>
                <w:kern w:val="0"/>
                <w:sz w:val="24"/>
                <w:szCs w:val="24"/>
              </w:rPr>
              <w:t>反映项目实施直接产出的社会、经济、环境效应，主要通过项目资金使用效果的个性指标完成情况反映。</w:t>
            </w:r>
          </w:p>
        </w:tc>
        <w:tc>
          <w:tcPr>
            <w:tcW w:w="2551"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color w:val="000000"/>
                <w:kern w:val="0"/>
                <w:sz w:val="24"/>
                <w:szCs w:val="24"/>
              </w:rPr>
              <w:t>根据项目实际并结合绩效目标设立情况，有选择地设置个性化绩效指标，且通过绩效指标完成情况与目标值对比分析，进行核定得分。</w:t>
            </w:r>
          </w:p>
        </w:tc>
        <w:tc>
          <w:tcPr>
            <w:tcW w:w="863" w:type="dxa"/>
            <w:tcBorders>
              <w:left w:val="single" w:color="auto" w:sz="4" w:space="0"/>
            </w:tcBorders>
            <w:vAlign w:val="center"/>
          </w:tcPr>
          <w:p>
            <w:pPr>
              <w:widowControl/>
              <w:spacing w:line="68" w:lineRule="atLeast"/>
              <w:jc w:val="left"/>
              <w:rPr>
                <w:rFonts w:ascii="宋体" w:hAnsi="宋体" w:eastAsia="宋体" w:cs="宋体"/>
                <w:kern w:val="0"/>
                <w:sz w:val="20"/>
                <w:szCs w:val="20"/>
              </w:rPr>
            </w:pPr>
            <w:r>
              <w:rPr>
                <w:rFonts w:ascii="宋体" w:hAnsi="宋体" w:eastAsia="宋体"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restart"/>
            <w:vAlign w:val="center"/>
          </w:tcPr>
          <w:p>
            <w:pPr>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公平性</w:t>
            </w:r>
          </w:p>
          <w:p>
            <w:pPr>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分）</w:t>
            </w:r>
          </w:p>
        </w:tc>
        <w:tc>
          <w:tcPr>
            <w:tcW w:w="1171" w:type="dxa"/>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群众信访办理情况（</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部门（单位）对群众信访意见的完成情况及及时性，反映部门（单位）对群众意见的重视程度。</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设置了便利的群众意见反映渠道和群众意见办理回复机制的，得</w:t>
            </w:r>
            <w:r>
              <w:rPr>
                <w:rFonts w:ascii="仿宋" w:hAnsi="仿宋" w:eastAsia="仿宋" w:cs="仿宋"/>
                <w:kern w:val="0"/>
                <w:sz w:val="24"/>
                <w:szCs w:val="24"/>
              </w:rPr>
              <w:t>2</w:t>
            </w:r>
            <w:r>
              <w:rPr>
                <w:rFonts w:hint="eastAsia" w:ascii="仿宋" w:hAnsi="仿宋" w:eastAsia="仿宋" w:cs="仿宋"/>
                <w:kern w:val="0"/>
                <w:sz w:val="24"/>
                <w:szCs w:val="24"/>
              </w:rPr>
              <w:t>分；</w:t>
            </w:r>
          </w:p>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当年所有群众信访意见均有回复，且在规定时间内，得</w:t>
            </w:r>
            <w:r>
              <w:rPr>
                <w:rFonts w:ascii="仿宋" w:hAnsi="仿宋" w:eastAsia="仿宋" w:cs="仿宋"/>
                <w:kern w:val="0"/>
                <w:sz w:val="24"/>
                <w:szCs w:val="24"/>
              </w:rPr>
              <w:t>3</w:t>
            </w:r>
            <w:r>
              <w:rPr>
                <w:rFonts w:hint="eastAsia" w:ascii="仿宋" w:hAnsi="仿宋" w:eastAsia="仿宋" w:cs="仿宋"/>
                <w:kern w:val="0"/>
                <w:sz w:val="24"/>
                <w:szCs w:val="24"/>
              </w:rPr>
              <w:t>分，否则按比例扣分。</w:t>
            </w:r>
          </w:p>
        </w:tc>
        <w:tc>
          <w:tcPr>
            <w:tcW w:w="863" w:type="dxa"/>
            <w:tcBorders>
              <w:left w:val="single" w:color="auto" w:sz="4" w:space="0"/>
            </w:tcBorders>
            <w:vAlign w:val="center"/>
          </w:tcPr>
          <w:p>
            <w:pPr>
              <w:widowControl/>
              <w:spacing w:line="68" w:lineRule="atLeast"/>
              <w:jc w:val="left"/>
              <w:rPr>
                <w:rFonts w:ascii="宋体" w:hAnsi="宋体" w:eastAsia="宋体" w:cs="宋体"/>
                <w:kern w:val="0"/>
                <w:sz w:val="20"/>
                <w:szCs w:val="20"/>
              </w:rPr>
            </w:pPr>
            <w:r>
              <w:rPr>
                <w:rFonts w:ascii="宋体" w:hAnsi="宋体" w:eastAsia="宋体"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733" w:type="dxa"/>
            <w:vMerge w:val="continue"/>
            <w:vAlign w:val="center"/>
          </w:tcPr>
          <w:p>
            <w:pPr>
              <w:widowControl/>
              <w:jc w:val="left"/>
              <w:rPr>
                <w:rFonts w:ascii="仿宋" w:hAnsi="仿宋" w:eastAsia="仿宋" w:cs="Times New Roman"/>
                <w:kern w:val="0"/>
                <w:sz w:val="24"/>
                <w:szCs w:val="24"/>
              </w:rPr>
            </w:pPr>
          </w:p>
        </w:tc>
        <w:tc>
          <w:tcPr>
            <w:tcW w:w="803" w:type="dxa"/>
            <w:gridSpan w:val="2"/>
            <w:vMerge w:val="continue"/>
            <w:tcBorders>
              <w:bottom w:val="single" w:color="auto" w:sz="4" w:space="0"/>
            </w:tcBorders>
            <w:vAlign w:val="center"/>
          </w:tcPr>
          <w:p>
            <w:pPr>
              <w:widowControl/>
              <w:spacing w:line="68" w:lineRule="atLeast"/>
              <w:jc w:val="left"/>
              <w:rPr>
                <w:rFonts w:ascii="仿宋" w:hAnsi="仿宋" w:eastAsia="仿宋" w:cs="Times New Roman"/>
                <w:kern w:val="0"/>
                <w:sz w:val="24"/>
                <w:szCs w:val="24"/>
              </w:rPr>
            </w:pPr>
          </w:p>
        </w:tc>
        <w:tc>
          <w:tcPr>
            <w:tcW w:w="1171" w:type="dxa"/>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社会公众满意度（</w:t>
            </w:r>
            <w:r>
              <w:rPr>
                <w:rFonts w:ascii="仿宋" w:hAnsi="仿宋" w:eastAsia="仿宋" w:cs="仿宋"/>
                <w:kern w:val="0"/>
                <w:sz w:val="24"/>
                <w:szCs w:val="24"/>
              </w:rPr>
              <w:t>5</w:t>
            </w:r>
            <w:r>
              <w:rPr>
                <w:rFonts w:hint="eastAsia" w:ascii="仿宋" w:hAnsi="仿宋" w:eastAsia="仿宋" w:cs="仿宋"/>
                <w:kern w:val="0"/>
                <w:sz w:val="24"/>
                <w:szCs w:val="24"/>
              </w:rPr>
              <w:t>分）</w:t>
            </w:r>
          </w:p>
        </w:tc>
        <w:tc>
          <w:tcPr>
            <w:tcW w:w="2423" w:type="dxa"/>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通过问卷调查了解社会公众对部门履职效果、解决民众关心的热点问题、厉行节约等方面的满意程度，反映和评价部门支出所带来的社会效益。</w:t>
            </w:r>
          </w:p>
        </w:tc>
        <w:tc>
          <w:tcPr>
            <w:tcW w:w="2551" w:type="dxa"/>
            <w:tcBorders>
              <w:left w:val="single" w:color="auto" w:sz="4" w:space="0"/>
              <w:right w:val="single" w:color="auto" w:sz="4" w:space="0"/>
            </w:tcBorders>
            <w:vAlign w:val="center"/>
          </w:tcPr>
          <w:p>
            <w:pPr>
              <w:widowControl/>
              <w:spacing w:line="240" w:lineRule="exact"/>
              <w:jc w:val="left"/>
              <w:rPr>
                <w:rFonts w:ascii="仿宋" w:hAnsi="仿宋" w:eastAsia="仿宋" w:cs="Times New Roman"/>
                <w:kern w:val="0"/>
                <w:sz w:val="24"/>
                <w:szCs w:val="24"/>
              </w:rPr>
            </w:pPr>
            <w:r>
              <w:rPr>
                <w:rFonts w:hint="eastAsia" w:ascii="仿宋" w:hAnsi="仿宋" w:eastAsia="仿宋" w:cs="仿宋"/>
                <w:kern w:val="0"/>
                <w:sz w:val="24"/>
                <w:szCs w:val="24"/>
              </w:rPr>
              <w:t>按照满意度调查的优秀、良好、合格、不合格给予该项指标打分：</w:t>
            </w:r>
          </w:p>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优秀（</w:t>
            </w:r>
            <w:r>
              <w:rPr>
                <w:rFonts w:ascii="仿宋" w:hAnsi="仿宋" w:eastAsia="仿宋" w:cs="仿宋"/>
                <w:kern w:val="0"/>
                <w:sz w:val="24"/>
                <w:szCs w:val="24"/>
              </w:rPr>
              <w:t>5</w:t>
            </w:r>
            <w:r>
              <w:rPr>
                <w:rFonts w:hint="eastAsia" w:ascii="仿宋" w:hAnsi="仿宋" w:eastAsia="仿宋" w:cs="仿宋"/>
                <w:kern w:val="0"/>
                <w:sz w:val="24"/>
                <w:szCs w:val="24"/>
              </w:rPr>
              <w:t>分）；良好（</w:t>
            </w:r>
            <w:r>
              <w:rPr>
                <w:rFonts w:ascii="仿宋" w:hAnsi="仿宋" w:eastAsia="仿宋" w:cs="仿宋"/>
                <w:kern w:val="0"/>
                <w:sz w:val="24"/>
                <w:szCs w:val="24"/>
              </w:rPr>
              <w:t>3</w:t>
            </w:r>
            <w:r>
              <w:rPr>
                <w:rFonts w:hint="eastAsia" w:ascii="仿宋" w:hAnsi="仿宋" w:eastAsia="仿宋" w:cs="仿宋"/>
                <w:kern w:val="0"/>
                <w:sz w:val="24"/>
                <w:szCs w:val="24"/>
              </w:rPr>
              <w:t>分）；合格（</w:t>
            </w:r>
            <w:r>
              <w:rPr>
                <w:rFonts w:ascii="仿宋" w:hAnsi="仿宋" w:eastAsia="仿宋" w:cs="仿宋"/>
                <w:kern w:val="0"/>
                <w:sz w:val="24"/>
                <w:szCs w:val="24"/>
              </w:rPr>
              <w:t>1</w:t>
            </w:r>
            <w:r>
              <w:rPr>
                <w:rFonts w:hint="eastAsia" w:ascii="仿宋" w:hAnsi="仿宋" w:eastAsia="仿宋" w:cs="仿宋"/>
                <w:kern w:val="0"/>
                <w:sz w:val="24"/>
                <w:szCs w:val="24"/>
              </w:rPr>
              <w:t>分）；不合格（</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68" w:lineRule="atLeast"/>
              <w:jc w:val="left"/>
              <w:rPr>
                <w:rFonts w:ascii="宋体" w:hAnsi="宋体" w:eastAsia="宋体" w:cs="宋体"/>
                <w:kern w:val="0"/>
                <w:sz w:val="20"/>
                <w:szCs w:val="20"/>
              </w:rPr>
            </w:pPr>
            <w:r>
              <w:rPr>
                <w:rFonts w:ascii="宋体" w:hAnsi="宋体" w:eastAsia="宋体"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33" w:type="dxa"/>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小计</w:t>
            </w:r>
          </w:p>
        </w:tc>
        <w:tc>
          <w:tcPr>
            <w:tcW w:w="803" w:type="dxa"/>
            <w:gridSpan w:val="2"/>
            <w:tcBorders>
              <w:top w:val="single" w:color="auto" w:sz="4" w:space="0"/>
              <w:bottom w:val="single" w:color="auto" w:sz="4" w:space="0"/>
            </w:tcBorders>
            <w:vAlign w:val="center"/>
          </w:tcPr>
          <w:p>
            <w:pPr>
              <w:widowControl/>
              <w:spacing w:line="68" w:lineRule="atLeast"/>
              <w:jc w:val="left"/>
              <w:rPr>
                <w:rFonts w:ascii="仿宋" w:hAnsi="仿宋" w:eastAsia="仿宋" w:cs="仿宋"/>
                <w:kern w:val="0"/>
                <w:sz w:val="24"/>
                <w:szCs w:val="24"/>
              </w:rPr>
            </w:pPr>
            <w:r>
              <w:rPr>
                <w:rFonts w:ascii="仿宋" w:hAnsi="仿宋" w:eastAsia="仿宋" w:cs="仿宋"/>
                <w:kern w:val="0"/>
                <w:sz w:val="24"/>
                <w:szCs w:val="24"/>
              </w:rPr>
              <w:t>100</w:t>
            </w:r>
          </w:p>
        </w:tc>
        <w:tc>
          <w:tcPr>
            <w:tcW w:w="1171" w:type="dxa"/>
            <w:tcBorders>
              <w:right w:val="single" w:color="auto" w:sz="4" w:space="0"/>
            </w:tcBorders>
            <w:vAlign w:val="center"/>
          </w:tcPr>
          <w:p>
            <w:pPr>
              <w:widowControl/>
              <w:spacing w:line="68" w:lineRule="atLeast"/>
              <w:jc w:val="left"/>
              <w:rPr>
                <w:rFonts w:ascii="仿宋" w:hAnsi="仿宋" w:eastAsia="仿宋" w:cs="仿宋"/>
                <w:kern w:val="0"/>
                <w:sz w:val="24"/>
                <w:szCs w:val="24"/>
              </w:rPr>
            </w:pPr>
          </w:p>
        </w:tc>
        <w:tc>
          <w:tcPr>
            <w:tcW w:w="2423" w:type="dxa"/>
            <w:tcBorders>
              <w:left w:val="single" w:color="auto" w:sz="4" w:space="0"/>
              <w:right w:val="single" w:color="auto" w:sz="4" w:space="0"/>
            </w:tcBorders>
            <w:vAlign w:val="center"/>
          </w:tcPr>
          <w:p>
            <w:pPr>
              <w:widowControl/>
              <w:spacing w:line="68" w:lineRule="atLeast"/>
              <w:jc w:val="left"/>
              <w:rPr>
                <w:rFonts w:ascii="仿宋" w:hAnsi="仿宋" w:eastAsia="仿宋" w:cs="仿宋"/>
                <w:kern w:val="0"/>
                <w:sz w:val="24"/>
                <w:szCs w:val="24"/>
              </w:rPr>
            </w:pPr>
          </w:p>
        </w:tc>
        <w:tc>
          <w:tcPr>
            <w:tcW w:w="2551" w:type="dxa"/>
            <w:tcBorders>
              <w:left w:val="single" w:color="auto" w:sz="4" w:space="0"/>
              <w:right w:val="single" w:color="auto" w:sz="4" w:space="0"/>
            </w:tcBorders>
            <w:vAlign w:val="center"/>
          </w:tcPr>
          <w:p>
            <w:pPr>
              <w:widowControl/>
              <w:spacing w:line="68" w:lineRule="atLeast"/>
              <w:jc w:val="left"/>
              <w:rPr>
                <w:rFonts w:ascii="仿宋" w:hAnsi="仿宋" w:eastAsia="仿宋" w:cs="仿宋"/>
                <w:kern w:val="0"/>
                <w:sz w:val="24"/>
                <w:szCs w:val="24"/>
              </w:rPr>
            </w:pPr>
          </w:p>
        </w:tc>
        <w:tc>
          <w:tcPr>
            <w:tcW w:w="863" w:type="dxa"/>
            <w:tcBorders>
              <w:left w:val="single" w:color="auto" w:sz="4" w:space="0"/>
            </w:tcBorders>
            <w:vAlign w:val="center"/>
          </w:tcPr>
          <w:p>
            <w:pPr>
              <w:widowControl/>
              <w:spacing w:line="68" w:lineRule="atLeast"/>
              <w:jc w:val="left"/>
              <w:rPr>
                <w:rFonts w:ascii="宋体" w:hAnsi="宋体" w:eastAsia="宋体" w:cs="宋体"/>
                <w:kern w:val="0"/>
                <w:sz w:val="20"/>
                <w:szCs w:val="20"/>
              </w:rPr>
            </w:pPr>
            <w:r>
              <w:rPr>
                <w:rFonts w:ascii="宋体" w:hAnsi="宋体" w:eastAsia="宋体" w:cs="宋体"/>
                <w:kern w:val="0"/>
                <w:sz w:val="20"/>
                <w:szCs w:val="20"/>
              </w:rPr>
              <w:t>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评价结果</w:t>
            </w:r>
          </w:p>
        </w:tc>
        <w:tc>
          <w:tcPr>
            <w:tcW w:w="803" w:type="dxa"/>
            <w:gridSpan w:val="2"/>
            <w:tcBorders>
              <w:top w:val="single" w:color="auto" w:sz="4" w:space="0"/>
              <w:bottom w:val="single" w:color="auto" w:sz="4" w:space="0"/>
            </w:tcBorders>
            <w:vAlign w:val="center"/>
          </w:tcPr>
          <w:p>
            <w:pPr>
              <w:widowControl/>
              <w:spacing w:line="68" w:lineRule="atLeast"/>
              <w:jc w:val="left"/>
              <w:rPr>
                <w:rFonts w:ascii="仿宋" w:hAnsi="仿宋" w:eastAsia="仿宋" w:cs="Times New Roman"/>
                <w:kern w:val="0"/>
                <w:sz w:val="24"/>
                <w:szCs w:val="24"/>
              </w:rPr>
            </w:pPr>
          </w:p>
        </w:tc>
        <w:tc>
          <w:tcPr>
            <w:tcW w:w="1171" w:type="dxa"/>
            <w:tcBorders>
              <w:right w:val="single" w:color="auto" w:sz="4" w:space="0"/>
            </w:tcBorders>
            <w:vAlign w:val="center"/>
          </w:tcPr>
          <w:p>
            <w:pPr>
              <w:widowControl/>
              <w:spacing w:line="68" w:lineRule="atLeast"/>
              <w:jc w:val="left"/>
              <w:rPr>
                <w:rFonts w:ascii="仿宋" w:hAnsi="仿宋" w:eastAsia="仿宋" w:cs="Times New Roman"/>
                <w:kern w:val="0"/>
                <w:sz w:val="24"/>
                <w:szCs w:val="24"/>
              </w:rPr>
            </w:pPr>
          </w:p>
        </w:tc>
        <w:tc>
          <w:tcPr>
            <w:tcW w:w="4974" w:type="dxa"/>
            <w:gridSpan w:val="2"/>
            <w:tcBorders>
              <w:left w:val="single" w:color="auto" w:sz="4" w:space="0"/>
              <w:right w:val="single" w:color="auto" w:sz="4" w:space="0"/>
            </w:tcBorders>
            <w:vAlign w:val="center"/>
          </w:tcPr>
          <w:p>
            <w:pPr>
              <w:widowControl/>
              <w:spacing w:line="68" w:lineRule="atLeast"/>
              <w:jc w:val="left"/>
              <w:rPr>
                <w:rFonts w:ascii="仿宋" w:hAnsi="仿宋" w:eastAsia="仿宋" w:cs="Times New Roman"/>
                <w:kern w:val="0"/>
                <w:sz w:val="24"/>
                <w:szCs w:val="24"/>
              </w:rPr>
            </w:pPr>
            <w:r>
              <w:rPr>
                <w:rFonts w:hint="eastAsia" w:ascii="仿宋" w:hAnsi="仿宋" w:eastAsia="仿宋" w:cs="仿宋"/>
                <w:kern w:val="0"/>
                <w:sz w:val="24"/>
                <w:szCs w:val="24"/>
              </w:rPr>
              <w:t>□优秀</w:t>
            </w:r>
            <w:r>
              <w:rPr>
                <w:rFonts w:ascii="仿宋" w:hAnsi="仿宋" w:eastAsia="仿宋" w:cs="仿宋"/>
                <w:kern w:val="0"/>
                <w:sz w:val="24"/>
                <w:szCs w:val="24"/>
              </w:rPr>
              <w:t xml:space="preserve">  90</w:t>
            </w:r>
            <w:r>
              <w:rPr>
                <w:rFonts w:hint="eastAsia" w:ascii="仿宋" w:hAnsi="仿宋" w:eastAsia="仿宋" w:cs="仿宋"/>
                <w:kern w:val="0"/>
                <w:sz w:val="24"/>
                <w:szCs w:val="24"/>
              </w:rPr>
              <w:t>分≤得分≤</w:t>
            </w:r>
            <w:r>
              <w:rPr>
                <w:rFonts w:ascii="仿宋" w:hAnsi="仿宋" w:eastAsia="仿宋" w:cs="仿宋"/>
                <w:kern w:val="0"/>
                <w:sz w:val="24"/>
                <w:szCs w:val="24"/>
              </w:rPr>
              <w:t>100</w:t>
            </w:r>
            <w:r>
              <w:rPr>
                <w:rFonts w:hint="eastAsia" w:ascii="仿宋" w:hAnsi="仿宋" w:eastAsia="仿宋" w:cs="仿宋"/>
                <w:kern w:val="0"/>
                <w:sz w:val="24"/>
                <w:szCs w:val="24"/>
              </w:rPr>
              <w:t>分；</w:t>
            </w:r>
            <w:r>
              <w:rPr>
                <w:rFonts w:ascii="仿宋" w:hAnsi="仿宋" w:eastAsia="仿宋" w:cs="仿宋"/>
                <w:kern w:val="0"/>
                <w:sz w:val="24"/>
                <w:szCs w:val="24"/>
              </w:rPr>
              <w:t xml:space="preserve"> </w:t>
            </w:r>
            <w:r>
              <w:rPr>
                <w:rFonts w:hint="eastAsia" w:ascii="仿宋" w:hAnsi="仿宋" w:eastAsia="仿宋" w:cs="仿宋"/>
                <w:kern w:val="0"/>
                <w:sz w:val="24"/>
                <w:szCs w:val="24"/>
              </w:rPr>
              <w:t>□良好</w:t>
            </w:r>
            <w:r>
              <w:rPr>
                <w:rFonts w:ascii="仿宋" w:hAnsi="仿宋" w:eastAsia="仿宋" w:cs="仿宋"/>
                <w:kern w:val="0"/>
                <w:sz w:val="24"/>
                <w:szCs w:val="24"/>
              </w:rPr>
              <w:t xml:space="preserve">  80</w:t>
            </w:r>
            <w:r>
              <w:rPr>
                <w:rFonts w:hint="eastAsia" w:ascii="仿宋" w:hAnsi="仿宋" w:eastAsia="仿宋" w:cs="仿宋"/>
                <w:kern w:val="0"/>
                <w:sz w:val="24"/>
                <w:szCs w:val="24"/>
              </w:rPr>
              <w:t>分≤得分≤</w:t>
            </w:r>
            <w:r>
              <w:rPr>
                <w:rFonts w:ascii="仿宋" w:hAnsi="仿宋" w:eastAsia="仿宋" w:cs="仿宋"/>
                <w:kern w:val="0"/>
                <w:sz w:val="24"/>
                <w:szCs w:val="24"/>
              </w:rPr>
              <w:t>89</w:t>
            </w:r>
            <w:r>
              <w:rPr>
                <w:rFonts w:hint="eastAsia" w:ascii="仿宋" w:hAnsi="仿宋" w:eastAsia="仿宋" w:cs="仿宋"/>
                <w:kern w:val="0"/>
                <w:sz w:val="24"/>
                <w:szCs w:val="24"/>
              </w:rPr>
              <w:t>分；</w:t>
            </w:r>
          </w:p>
          <w:p>
            <w:pPr>
              <w:widowControl/>
              <w:spacing w:line="68" w:lineRule="atLeast"/>
              <w:jc w:val="left"/>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□中</w:t>
            </w:r>
            <w:r>
              <w:rPr>
                <w:rFonts w:ascii="仿宋" w:hAnsi="仿宋" w:eastAsia="仿宋" w:cs="仿宋"/>
                <w:kern w:val="0"/>
                <w:sz w:val="24"/>
                <w:szCs w:val="24"/>
              </w:rPr>
              <w:t xml:space="preserve">  60</w:t>
            </w:r>
            <w:r>
              <w:rPr>
                <w:rFonts w:hint="eastAsia" w:ascii="仿宋" w:hAnsi="仿宋" w:eastAsia="仿宋" w:cs="仿宋"/>
                <w:kern w:val="0"/>
                <w:sz w:val="24"/>
                <w:szCs w:val="24"/>
              </w:rPr>
              <w:t>分≤得分≤</w:t>
            </w:r>
            <w:r>
              <w:rPr>
                <w:rFonts w:ascii="仿宋" w:hAnsi="仿宋" w:eastAsia="仿宋" w:cs="仿宋"/>
                <w:kern w:val="0"/>
                <w:sz w:val="24"/>
                <w:szCs w:val="24"/>
              </w:rPr>
              <w:t>79</w:t>
            </w:r>
            <w:r>
              <w:rPr>
                <w:rFonts w:hint="eastAsia" w:ascii="仿宋" w:hAnsi="仿宋" w:eastAsia="仿宋" w:cs="仿宋"/>
                <w:kern w:val="0"/>
                <w:sz w:val="24"/>
                <w:szCs w:val="24"/>
              </w:rPr>
              <w:t>分；</w:t>
            </w:r>
            <w:r>
              <w:rPr>
                <w:rFonts w:ascii="仿宋" w:hAnsi="仿宋" w:eastAsia="仿宋" w:cs="仿宋"/>
                <w:kern w:val="0"/>
                <w:sz w:val="24"/>
                <w:szCs w:val="24"/>
              </w:rPr>
              <w:t xml:space="preserve">  </w:t>
            </w:r>
            <w:r>
              <w:rPr>
                <w:rFonts w:hint="eastAsia" w:ascii="仿宋" w:hAnsi="仿宋" w:eastAsia="仿宋" w:cs="仿宋"/>
                <w:kern w:val="0"/>
                <w:sz w:val="24"/>
                <w:szCs w:val="24"/>
              </w:rPr>
              <w:t>□较差</w:t>
            </w:r>
            <w:r>
              <w:rPr>
                <w:rFonts w:ascii="仿宋" w:hAnsi="仿宋" w:eastAsia="仿宋" w:cs="仿宋"/>
                <w:kern w:val="0"/>
                <w:sz w:val="24"/>
                <w:szCs w:val="24"/>
              </w:rPr>
              <w:t xml:space="preserve">  0</w:t>
            </w:r>
            <w:r>
              <w:rPr>
                <w:rFonts w:hint="eastAsia" w:ascii="仿宋" w:hAnsi="仿宋" w:eastAsia="仿宋" w:cs="仿宋"/>
                <w:kern w:val="0"/>
                <w:sz w:val="24"/>
                <w:szCs w:val="24"/>
              </w:rPr>
              <w:t>≤得分≤</w:t>
            </w:r>
            <w:r>
              <w:rPr>
                <w:rFonts w:ascii="仿宋" w:hAnsi="仿宋" w:eastAsia="仿宋" w:cs="仿宋"/>
                <w:kern w:val="0"/>
                <w:sz w:val="24"/>
                <w:szCs w:val="24"/>
              </w:rPr>
              <w:t>59</w:t>
            </w:r>
            <w:r>
              <w:rPr>
                <w:rFonts w:hint="eastAsia" w:ascii="仿宋" w:hAnsi="仿宋" w:eastAsia="仿宋" w:cs="仿宋"/>
                <w:kern w:val="0"/>
                <w:sz w:val="24"/>
                <w:szCs w:val="24"/>
              </w:rPr>
              <w:t>分</w:t>
            </w:r>
          </w:p>
        </w:tc>
        <w:tc>
          <w:tcPr>
            <w:tcW w:w="863" w:type="dxa"/>
            <w:tcBorders>
              <w:left w:val="single" w:color="auto" w:sz="4" w:space="0"/>
            </w:tcBorders>
            <w:vAlign w:val="center"/>
          </w:tcPr>
          <w:p>
            <w:pPr>
              <w:widowControl/>
              <w:spacing w:line="68" w:lineRule="atLeast"/>
              <w:jc w:val="left"/>
              <w:rPr>
                <w:rFonts w:ascii="宋体" w:hAnsi="宋体" w:eastAsia="宋体" w:cs="Times New Roman"/>
                <w:kern w:val="0"/>
                <w:sz w:val="20"/>
                <w:szCs w:val="20"/>
              </w:rPr>
            </w:pPr>
            <w:r>
              <w:rPr>
                <w:rFonts w:hint="eastAsia" w:ascii="宋体" w:hAnsi="宋体" w:eastAsia="宋体" w:cs="宋体"/>
                <w:kern w:val="0"/>
                <w:sz w:val="20"/>
                <w:szCs w:val="20"/>
              </w:rPr>
              <w:t>优秀</w:t>
            </w:r>
          </w:p>
        </w:tc>
      </w:tr>
    </w:tbl>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r>
        <w:drawing>
          <wp:anchor distT="0" distB="0" distL="114300" distR="114300" simplePos="0" relativeHeight="251658240" behindDoc="0" locked="0" layoutInCell="1" allowOverlap="1">
            <wp:simplePos x="0" y="0"/>
            <wp:positionH relativeFrom="column">
              <wp:posOffset>285750</wp:posOffset>
            </wp:positionH>
            <wp:positionV relativeFrom="paragraph">
              <wp:posOffset>-276225</wp:posOffset>
            </wp:positionV>
            <wp:extent cx="5857240" cy="10458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62432" cy="10467975"/>
                    </a:xfrm>
                    <a:prstGeom prst="rect">
                      <a:avLst/>
                    </a:prstGeom>
                    <a:noFill/>
                    <a:ln>
                      <a:noFill/>
                    </a:ln>
                  </pic:spPr>
                </pic:pic>
              </a:graphicData>
            </a:graphic>
          </wp:anchor>
        </w:drawing>
      </w: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rFonts w:hint="eastAsia"/>
          <w:sz w:val="27"/>
          <w:szCs w:val="27"/>
          <w:shd w:val="clear" w:color="auto" w:fill="FFFF00"/>
        </w:rPr>
      </w:pPr>
    </w:p>
    <w:p>
      <w:pPr>
        <w:pStyle w:val="5"/>
        <w:rPr>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rPr>
          <w:rStyle w:val="8"/>
          <w:rFonts w:hint="eastAsia"/>
          <w:sz w:val="27"/>
          <w:szCs w:val="27"/>
          <w:shd w:val="clear" w:color="auto" w:fill="FFFF00"/>
        </w:rPr>
      </w:pPr>
    </w:p>
    <w:p>
      <w:pPr>
        <w:pStyle w:val="5"/>
        <w:ind w:firstLine="690"/>
        <w:rPr>
          <w:rStyle w:val="8"/>
          <w:sz w:val="27"/>
          <w:szCs w:val="27"/>
        </w:rPr>
      </w:pPr>
      <w:r>
        <w:rPr>
          <w:rStyle w:val="8"/>
          <w:sz w:val="27"/>
          <w:szCs w:val="27"/>
        </w:rPr>
        <w:t>2.绩效自评报告或案例。</w:t>
      </w:r>
    </w:p>
    <w:p>
      <w:pPr>
        <w:pStyle w:val="5"/>
        <w:ind w:firstLine="690"/>
        <w:rPr>
          <w:rStyle w:val="8"/>
          <w:b w:val="0"/>
          <w:sz w:val="27"/>
          <w:szCs w:val="27"/>
          <w:shd w:val="clear" w:color="auto" w:fill="FFFF00"/>
        </w:rPr>
      </w:pPr>
      <w:r>
        <w:rPr>
          <w:rStyle w:val="8"/>
          <w:rFonts w:hint="eastAsia"/>
          <w:b w:val="0"/>
          <w:sz w:val="27"/>
          <w:szCs w:val="27"/>
        </w:rPr>
        <w:t>本部门未委托第三方开展绩效评价。</w:t>
      </w:r>
    </w:p>
    <w:p>
      <w:pPr>
        <w:pStyle w:val="5"/>
        <w:ind w:firstLine="690"/>
        <w:rPr>
          <w:rStyle w:val="8"/>
          <w:sz w:val="27"/>
          <w:szCs w:val="27"/>
        </w:rPr>
      </w:pPr>
      <w:r>
        <w:rPr>
          <w:rStyle w:val="8"/>
          <w:sz w:val="27"/>
          <w:szCs w:val="27"/>
        </w:rPr>
        <w:t>3.关于绩效自评结果的说明。</w:t>
      </w:r>
    </w:p>
    <w:p>
      <w:pPr>
        <w:adjustRightInd w:val="0"/>
        <w:snapToGrid w:val="0"/>
        <w:spacing w:line="600" w:lineRule="exact"/>
        <w:ind w:firstLine="540" w:firstLineChars="200"/>
        <w:rPr>
          <w:rFonts w:ascii="宋体" w:hAnsi="宋体" w:eastAsia="宋体" w:cs="黑体"/>
          <w:bCs/>
          <w:sz w:val="27"/>
          <w:szCs w:val="27"/>
        </w:rPr>
      </w:pPr>
      <w:r>
        <w:rPr>
          <w:rFonts w:hint="eastAsia" w:ascii="宋体" w:hAnsi="宋体" w:eastAsia="宋体" w:cs="黑体"/>
          <w:bCs/>
          <w:sz w:val="27"/>
          <w:szCs w:val="27"/>
        </w:rPr>
        <w:t>（1）.未完成的绩效目标及原因</w:t>
      </w:r>
    </w:p>
    <w:p>
      <w:pPr>
        <w:adjustRightInd w:val="0"/>
        <w:snapToGrid w:val="0"/>
        <w:spacing w:line="600" w:lineRule="exact"/>
        <w:ind w:firstLine="540" w:firstLineChars="200"/>
        <w:rPr>
          <w:rFonts w:ascii="宋体" w:hAnsi="宋体" w:eastAsia="宋体" w:cs="黑体"/>
          <w:bCs/>
          <w:sz w:val="27"/>
          <w:szCs w:val="27"/>
        </w:rPr>
      </w:pPr>
      <w:r>
        <w:rPr>
          <w:rFonts w:hint="eastAsia" w:ascii="宋体" w:hAnsi="宋体" w:eastAsia="宋体" w:cs="黑体"/>
          <w:bCs/>
          <w:sz w:val="27"/>
          <w:szCs w:val="27"/>
        </w:rPr>
        <w:t>2021年县供销合作社6个项目建设中有5个项目建设各项工作均达到绩效目标设定指标，但是有2个项目在资金执行率方面未达到预算金额。一是废弃农膜回收利用资金项目因政府采购采取最低价中标方式，中标价低于项目经费预算1万元，导致自出中资金执行数小于预算数。二是综合服务社建设补助资金中因有两个综合服务社因银行账户未进行维护，在资金支付时才发现需要重新开户，导致2021年在年底关账前未能及时支付补助资金。</w:t>
      </w:r>
    </w:p>
    <w:p>
      <w:pPr>
        <w:adjustRightInd w:val="0"/>
        <w:snapToGrid w:val="0"/>
        <w:spacing w:line="600" w:lineRule="exact"/>
        <w:ind w:firstLine="540" w:firstLineChars="200"/>
        <w:rPr>
          <w:rFonts w:ascii="宋体" w:hAnsi="宋体" w:eastAsia="宋体" w:cs="Times New Roman"/>
          <w:sz w:val="27"/>
          <w:szCs w:val="27"/>
        </w:rPr>
      </w:pPr>
      <w:r>
        <w:rPr>
          <w:rFonts w:hint="eastAsia" w:ascii="宋体" w:hAnsi="宋体" w:eastAsia="宋体" w:cs="黑体"/>
          <w:bCs/>
          <w:sz w:val="27"/>
          <w:szCs w:val="27"/>
        </w:rPr>
        <w:t>“三社”融合发展贷款贴息专项资金项目因</w:t>
      </w:r>
      <w:r>
        <w:rPr>
          <w:rFonts w:ascii="宋体" w:hAnsi="宋体" w:eastAsia="宋体" w:cs="Times New Roman"/>
          <w:sz w:val="27"/>
          <w:szCs w:val="27"/>
        </w:rPr>
        <w:t>为了扩大融资规模，降低贷款风险，县供销社引入2家担保公司并对风险补偿金的使用进行了调整，进一步对“三社”融合发展贷款贴息及风险补偿管理办法进行了修订完善。经十七届县政府第104 次常务会议审议通过，2021年6月，县府办印发《垫江县“三社”融合发展贷款贴息及风险补偿管理办法》（垫江府办发〔2021〕9号）。至此，2021年的“三社”融合发展贷款发放只有半年时间，</w:t>
      </w:r>
      <w:r>
        <w:rPr>
          <w:rFonts w:hint="eastAsia" w:ascii="宋体" w:hAnsi="宋体" w:eastAsia="宋体" w:cs="Times New Roman"/>
          <w:sz w:val="27"/>
          <w:szCs w:val="27"/>
        </w:rPr>
        <w:t>发放贷款43笔，共计1099万元，</w:t>
      </w:r>
      <w:r>
        <w:rPr>
          <w:rFonts w:ascii="宋体" w:hAnsi="宋体" w:eastAsia="宋体" w:cs="Times New Roman"/>
          <w:sz w:val="27"/>
          <w:szCs w:val="27"/>
        </w:rPr>
        <w:t>导致当年新型农业经营主体在银行贷款未到还款时限，未能达到贴息条件</w:t>
      </w:r>
      <w:r>
        <w:rPr>
          <w:rFonts w:hint="eastAsia" w:ascii="宋体" w:hAnsi="宋体" w:eastAsia="宋体" w:cs="Times New Roman"/>
          <w:sz w:val="27"/>
          <w:szCs w:val="27"/>
        </w:rPr>
        <w:t>，导致该项目未能开展贴息补助工作，资金在年末是由县财政统一收回。</w:t>
      </w:r>
    </w:p>
    <w:p>
      <w:pPr>
        <w:adjustRightInd w:val="0"/>
        <w:snapToGrid w:val="0"/>
        <w:spacing w:line="600" w:lineRule="exact"/>
        <w:ind w:firstLine="540" w:firstLineChars="200"/>
        <w:rPr>
          <w:rFonts w:ascii="宋体" w:hAnsi="宋体" w:eastAsia="宋体" w:cs="黑体"/>
          <w:bCs/>
          <w:sz w:val="27"/>
          <w:szCs w:val="27"/>
        </w:rPr>
      </w:pPr>
      <w:r>
        <w:rPr>
          <w:rFonts w:hint="eastAsia" w:ascii="宋体" w:hAnsi="宋体" w:eastAsia="宋体" w:cs="Times New Roman"/>
          <w:sz w:val="27"/>
          <w:szCs w:val="27"/>
        </w:rPr>
        <w:t>（2</w:t>
      </w:r>
      <w:r>
        <w:rPr>
          <w:rFonts w:ascii="宋体" w:hAnsi="宋体" w:eastAsia="宋体" w:cs="Times New Roman"/>
          <w:sz w:val="27"/>
          <w:szCs w:val="27"/>
        </w:rPr>
        <w:t>）</w:t>
      </w:r>
      <w:r>
        <w:rPr>
          <w:rFonts w:hint="eastAsia" w:ascii="宋体" w:hAnsi="宋体" w:eastAsia="宋体" w:cs="Times New Roman"/>
          <w:sz w:val="27"/>
          <w:szCs w:val="27"/>
        </w:rPr>
        <w:t>.</w:t>
      </w:r>
      <w:r>
        <w:rPr>
          <w:rFonts w:hint="eastAsia" w:ascii="宋体" w:hAnsi="宋体" w:eastAsia="宋体" w:cs="黑体"/>
          <w:bCs/>
          <w:sz w:val="27"/>
          <w:szCs w:val="27"/>
        </w:rPr>
        <w:t>下一步改进措施</w:t>
      </w:r>
    </w:p>
    <w:p>
      <w:pPr>
        <w:adjustRightInd w:val="0"/>
        <w:snapToGrid w:val="0"/>
        <w:spacing w:line="600" w:lineRule="exact"/>
        <w:ind w:firstLine="540" w:firstLineChars="200"/>
        <w:rPr>
          <w:rFonts w:ascii="宋体" w:hAnsi="宋体" w:eastAsia="宋体" w:cs="Times New Roman"/>
          <w:sz w:val="27"/>
          <w:szCs w:val="27"/>
        </w:rPr>
      </w:pPr>
      <w:r>
        <w:rPr>
          <w:rFonts w:hint="eastAsia" w:ascii="宋体" w:hAnsi="宋体" w:eastAsia="宋体" w:cs="黑体"/>
          <w:bCs/>
          <w:sz w:val="27"/>
          <w:szCs w:val="27"/>
        </w:rPr>
        <w:t>一是对于为能及时拨付的资金，待其维护银行信息后及时进行拨付。二是在今后工作开展过程中，多与市上汇报反映工作情况，争取能采取动态管理的方式，将招标节约资金部分纳入超额完成招标任务量部分进行验收并补助或者用于对该项目进行扩大宣传等其他方面支出，增强回收公司回收积极性，更好的推动废弃农膜回收利用工作的开展。</w:t>
      </w:r>
      <w:r>
        <w:rPr>
          <w:rFonts w:hint="eastAsia" w:ascii="宋体" w:hAnsi="宋体" w:eastAsia="宋体" w:cs="Times New Roman"/>
          <w:sz w:val="27"/>
          <w:szCs w:val="27"/>
        </w:rPr>
        <w:t>三是</w:t>
      </w:r>
      <w:r>
        <w:rPr>
          <w:rFonts w:ascii="宋体" w:hAnsi="宋体" w:eastAsia="宋体" w:cs="Times New Roman"/>
          <w:sz w:val="27"/>
          <w:szCs w:val="27"/>
        </w:rPr>
        <w:t>加强</w:t>
      </w:r>
      <w:r>
        <w:rPr>
          <w:rFonts w:hint="eastAsia" w:ascii="宋体" w:hAnsi="宋体" w:eastAsia="宋体" w:cs="Times New Roman"/>
          <w:sz w:val="27"/>
          <w:szCs w:val="27"/>
        </w:rPr>
        <w:t>统计</w:t>
      </w:r>
      <w:r>
        <w:rPr>
          <w:rFonts w:ascii="宋体" w:hAnsi="宋体" w:eastAsia="宋体" w:cs="Times New Roman"/>
          <w:sz w:val="27"/>
          <w:szCs w:val="27"/>
        </w:rPr>
        <w:t>研究，促进编制专项资金项目更合理、更科学、更有效。</w:t>
      </w:r>
      <w:r>
        <w:rPr>
          <w:rFonts w:hint="eastAsia" w:ascii="宋体" w:hAnsi="宋体" w:eastAsia="宋体" w:cs="Times New Roman"/>
          <w:sz w:val="27"/>
          <w:szCs w:val="27"/>
        </w:rPr>
        <w:t>四是对资金追加减情况及时对项目绩效目标值进行调整。</w:t>
      </w:r>
    </w:p>
    <w:p>
      <w:pPr>
        <w:pStyle w:val="5"/>
        <w:rPr>
          <w:rStyle w:val="8"/>
          <w:sz w:val="27"/>
          <w:szCs w:val="27"/>
        </w:rPr>
      </w:pPr>
      <w:r>
        <w:rPr>
          <w:rStyle w:val="8"/>
          <w:b w:val="0"/>
          <w:bCs w:val="0"/>
          <w:sz w:val="27"/>
          <w:szCs w:val="27"/>
        </w:rPr>
        <w:t xml:space="preserve">  </w:t>
      </w:r>
      <w:r>
        <w:rPr>
          <w:rStyle w:val="8"/>
          <w:sz w:val="27"/>
          <w:szCs w:val="27"/>
        </w:rPr>
        <w:t xml:space="preserve"> （三）重点绩效评价结果。</w:t>
      </w:r>
    </w:p>
    <w:p>
      <w:pPr>
        <w:pStyle w:val="5"/>
        <w:rPr>
          <w:rStyle w:val="8"/>
          <w:b w:val="0"/>
          <w:sz w:val="27"/>
          <w:szCs w:val="27"/>
          <w:shd w:val="clear" w:color="auto" w:fill="FFFF00"/>
        </w:rPr>
      </w:pPr>
      <w:r>
        <w:rPr>
          <w:rStyle w:val="8"/>
          <w:rFonts w:hint="eastAsia"/>
          <w:sz w:val="27"/>
          <w:szCs w:val="27"/>
        </w:rPr>
        <w:t xml:space="preserve">    </w:t>
      </w:r>
      <w:r>
        <w:rPr>
          <w:rStyle w:val="8"/>
          <w:rFonts w:hint="eastAsia"/>
          <w:b w:val="0"/>
          <w:sz w:val="27"/>
          <w:szCs w:val="27"/>
        </w:rPr>
        <w:t>本部门无县财政局委托第三方对我部门政策或项目开展重点绩效评价的项目。</w:t>
      </w:r>
    </w:p>
    <w:p>
      <w:pPr>
        <w:pStyle w:val="5"/>
      </w:pPr>
      <w:r>
        <w:rPr>
          <w:rStyle w:val="8"/>
          <w:sz w:val="27"/>
          <w:szCs w:val="27"/>
        </w:rPr>
        <w:t xml:space="preserve">  </w:t>
      </w:r>
      <w:r>
        <w:rPr>
          <w:rStyle w:val="8"/>
          <w:rFonts w:hint="eastAsia"/>
          <w:sz w:val="27"/>
          <w:szCs w:val="27"/>
        </w:rPr>
        <w:t xml:space="preserve"> </w:t>
      </w:r>
      <w:r>
        <w:rPr>
          <w:rStyle w:val="8"/>
          <w:sz w:val="27"/>
          <w:szCs w:val="27"/>
        </w:rPr>
        <w:t>六、专业名词解释</w:t>
      </w:r>
    </w:p>
    <w:p>
      <w:pPr>
        <w:pStyle w:val="5"/>
      </w:pPr>
      <w:r>
        <w:rPr>
          <w:sz w:val="27"/>
          <w:szCs w:val="27"/>
        </w:rPr>
        <w:t xml:space="preserve">  </w:t>
      </w:r>
      <w:r>
        <w:rPr>
          <w:rFonts w:hint="eastAsia"/>
          <w:sz w:val="27"/>
          <w:szCs w:val="27"/>
        </w:rPr>
        <w:t xml:space="preserve"> </w:t>
      </w:r>
      <w:r>
        <w:rPr>
          <w:sz w:val="27"/>
          <w:szCs w:val="27"/>
        </w:rPr>
        <w:t>以下为常见专业名词解释目录，仅供参考，部门应根据实际情况进行解释和</w:t>
      </w:r>
      <w:r>
        <w:rPr>
          <w:rStyle w:val="8"/>
          <w:sz w:val="27"/>
          <w:szCs w:val="27"/>
        </w:rPr>
        <w:t>增减</w:t>
      </w:r>
      <w:r>
        <w:rPr>
          <w:sz w:val="27"/>
          <w:szCs w:val="27"/>
        </w:rPr>
        <w:t>。比如可将类级功能科目和经济科目细化解释到项级。若有删减注意调整段落序号。</w:t>
      </w:r>
    </w:p>
    <w:p>
      <w:pPr>
        <w:pStyle w:val="5"/>
      </w:pPr>
      <w:r>
        <w:rPr>
          <w:rStyle w:val="8"/>
          <w:sz w:val="27"/>
          <w:szCs w:val="27"/>
        </w:rPr>
        <w:t>  （一）财政拨款收入</w:t>
      </w:r>
      <w:r>
        <w:rPr>
          <w:sz w:val="27"/>
          <w:szCs w:val="27"/>
        </w:rPr>
        <w:t>：指本年度从本级财政部门取得的财政拨款，包括一般公共预算财政拨款和政府性基金预算财政拨款。</w:t>
      </w:r>
    </w:p>
    <w:p>
      <w:pPr>
        <w:pStyle w:val="5"/>
      </w:pPr>
      <w:r>
        <w:rPr>
          <w:rStyle w:val="8"/>
          <w:sz w:val="27"/>
          <w:szCs w:val="27"/>
        </w:rPr>
        <w:t>  （二）事业收入</w:t>
      </w:r>
      <w:r>
        <w:rPr>
          <w:sz w:val="27"/>
          <w:szCs w:val="27"/>
        </w:rPr>
        <w:t>：指事业单位开展专业业务活动及其辅助活动取得的现金流入；事业单位收到的财政专户实际核拨的教育收费等资金在此反映。</w:t>
      </w:r>
    </w:p>
    <w:p>
      <w:pPr>
        <w:pStyle w:val="5"/>
      </w:pPr>
      <w:r>
        <w:rPr>
          <w:rStyle w:val="8"/>
          <w:sz w:val="27"/>
          <w:szCs w:val="27"/>
        </w:rPr>
        <w:t>  （三）经营收入</w:t>
      </w:r>
      <w:r>
        <w:rPr>
          <w:sz w:val="27"/>
          <w:szCs w:val="27"/>
        </w:rPr>
        <w:t>：指事业单位在专业业务活动及其辅助活动之外开展非独立核算经营活动取得的现金流入。</w:t>
      </w:r>
    </w:p>
    <w:p>
      <w:pPr>
        <w:pStyle w:val="5"/>
      </w:pPr>
      <w:r>
        <w:rPr>
          <w:rStyle w:val="8"/>
          <w:sz w:val="27"/>
          <w:szCs w:val="27"/>
        </w:rPr>
        <w:t>  （四）其他收入</w:t>
      </w:r>
      <w:r>
        <w:rPr>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pPr>
      <w:r>
        <w:rPr>
          <w:rStyle w:val="8"/>
          <w:sz w:val="27"/>
          <w:szCs w:val="27"/>
        </w:rPr>
        <w:t>  （五）使用非财政拨款结余</w:t>
      </w:r>
      <w:r>
        <w:rPr>
          <w:sz w:val="27"/>
          <w:szCs w:val="27"/>
        </w:rPr>
        <w:t>：指单位在当年的“财政拨款收入”、“事业收入”、“经营收入”、“其他收入”等不足以安排当年支出的情况下，使用以前年度积累的非财政拨款结余弥补本年度收支缺口的资金。</w:t>
      </w:r>
    </w:p>
    <w:p>
      <w:pPr>
        <w:pStyle w:val="5"/>
      </w:pPr>
      <w:r>
        <w:rPr>
          <w:rStyle w:val="8"/>
          <w:sz w:val="27"/>
          <w:szCs w:val="27"/>
        </w:rPr>
        <w:t>  （六）年初结转和结余</w:t>
      </w:r>
      <w:r>
        <w:rPr>
          <w:sz w:val="27"/>
          <w:szCs w:val="27"/>
        </w:rPr>
        <w:t>：指单位上年结转本年使用的基本支出结转、项目支出结转和结余、经营结余。</w:t>
      </w:r>
    </w:p>
    <w:p>
      <w:pPr>
        <w:pStyle w:val="5"/>
      </w:pPr>
      <w:r>
        <w:rPr>
          <w:rStyle w:val="8"/>
          <w:sz w:val="27"/>
          <w:szCs w:val="27"/>
        </w:rPr>
        <w:t>  （七）结余分配</w:t>
      </w:r>
      <w:r>
        <w:rPr>
          <w:sz w:val="27"/>
          <w:szCs w:val="27"/>
        </w:rPr>
        <w:t>：指单位按照国家有关规定，缴纳所得税、提取专用基金、转入非财政拨款结余等当年结余的分配情况。</w:t>
      </w:r>
    </w:p>
    <w:p>
      <w:pPr>
        <w:pStyle w:val="5"/>
      </w:pPr>
      <w:r>
        <w:rPr>
          <w:rStyle w:val="8"/>
          <w:sz w:val="27"/>
          <w:szCs w:val="27"/>
        </w:rPr>
        <w:t>  （八）年末结转和结余</w:t>
      </w:r>
      <w:r>
        <w:rPr>
          <w:sz w:val="27"/>
          <w:szCs w:val="27"/>
        </w:rPr>
        <w:t>：指单位结转下年的基本支出结转、项目支出结转和结余、经营结余。</w:t>
      </w:r>
    </w:p>
    <w:p>
      <w:pPr>
        <w:pStyle w:val="5"/>
      </w:pPr>
      <w:r>
        <w:rPr>
          <w:rStyle w:val="8"/>
          <w:sz w:val="27"/>
          <w:szCs w:val="27"/>
        </w:rPr>
        <w:t>  （九）基本支出</w:t>
      </w:r>
      <w:r>
        <w:rPr>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pPr>
      <w:r>
        <w:rPr>
          <w:rStyle w:val="8"/>
          <w:sz w:val="27"/>
          <w:szCs w:val="27"/>
        </w:rPr>
        <w:t>  （十）项目支出</w:t>
      </w:r>
      <w:r>
        <w:rPr>
          <w:sz w:val="27"/>
          <w:szCs w:val="27"/>
        </w:rPr>
        <w:t>：指在基本支出之外为完成特定行政任务和事业发展目标所发生的支出。</w:t>
      </w:r>
    </w:p>
    <w:p>
      <w:pPr>
        <w:pStyle w:val="5"/>
      </w:pPr>
      <w:r>
        <w:rPr>
          <w:rStyle w:val="8"/>
          <w:sz w:val="27"/>
          <w:szCs w:val="27"/>
        </w:rPr>
        <w:t>  （十一）经营支出</w:t>
      </w:r>
      <w:r>
        <w:rPr>
          <w:sz w:val="27"/>
          <w:szCs w:val="27"/>
        </w:rPr>
        <w:t>：指事业单位在专业业务活动及其辅助活动之外开展非独立核算经营活动发生的支出。</w:t>
      </w:r>
    </w:p>
    <w:p>
      <w:pPr>
        <w:pStyle w:val="5"/>
      </w:pPr>
      <w:r>
        <w:rPr>
          <w:rStyle w:val="8"/>
          <w:sz w:val="27"/>
          <w:szCs w:val="27"/>
        </w:rPr>
        <w:t>  （十二）“三公”经费</w:t>
      </w:r>
      <w:r>
        <w:rPr>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pPr>
      <w:r>
        <w:rPr>
          <w:rStyle w:val="8"/>
          <w:sz w:val="27"/>
          <w:szCs w:val="27"/>
        </w:rPr>
        <w:t>  （十三）机关运行经费</w:t>
      </w:r>
      <w:r>
        <w:rPr>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pPr>
      <w:r>
        <w:rPr>
          <w:rStyle w:val="8"/>
          <w:sz w:val="27"/>
          <w:szCs w:val="27"/>
        </w:rPr>
        <w:t>  （十四）工资福利支出（支出经济分类科目类级）</w:t>
      </w:r>
      <w:r>
        <w:rPr>
          <w:sz w:val="27"/>
          <w:szCs w:val="27"/>
        </w:rPr>
        <w:t>：反映单位开支的在职职工和编制外长期聘用人员的各类劳动报酬，以及为上述人员缴纳的各项社会保险费等。</w:t>
      </w:r>
    </w:p>
    <w:p>
      <w:pPr>
        <w:pStyle w:val="5"/>
      </w:pPr>
      <w:r>
        <w:rPr>
          <w:rStyle w:val="8"/>
          <w:sz w:val="27"/>
          <w:szCs w:val="27"/>
        </w:rPr>
        <w:t>  （十五）商品和服务支出（支出经济分类科目类级）</w:t>
      </w:r>
      <w:r>
        <w:rPr>
          <w:sz w:val="27"/>
          <w:szCs w:val="27"/>
        </w:rPr>
        <w:t>：反映单位购买商品和服务的支出（不包括用于购置固定资产的支出、战略性和应急储备支出）。</w:t>
      </w:r>
    </w:p>
    <w:p>
      <w:pPr>
        <w:pStyle w:val="5"/>
      </w:pPr>
      <w:r>
        <w:rPr>
          <w:rStyle w:val="8"/>
          <w:sz w:val="27"/>
          <w:szCs w:val="27"/>
        </w:rPr>
        <w:t>  （十六）对个人和家庭的补助（支出经济分类科目类级）</w:t>
      </w:r>
      <w:r>
        <w:rPr>
          <w:sz w:val="27"/>
          <w:szCs w:val="27"/>
        </w:rPr>
        <w:t>：反映用于对个人和家庭的补助支出。</w:t>
      </w:r>
    </w:p>
    <w:p>
      <w:pPr>
        <w:pStyle w:val="5"/>
      </w:pPr>
      <w:r>
        <w:rPr>
          <w:rStyle w:val="8"/>
          <w:sz w:val="27"/>
          <w:szCs w:val="27"/>
        </w:rPr>
        <w:t>  （十七）其他资本性支出（支出经济分类科目类级）</w:t>
      </w:r>
      <w:r>
        <w:rPr>
          <w:sz w:val="27"/>
          <w:szCs w:val="27"/>
        </w:rPr>
        <w:t>：反映非各级发展与改革部门集中安排的用于购置固定资产、战略性和应急性储备、土地和无形资产，以及构建基础设施、大型修缮和财政支持企业更新改造所发生的支出。</w:t>
      </w:r>
    </w:p>
    <w:p>
      <w:pPr>
        <w:pStyle w:val="5"/>
      </w:pPr>
      <w:r>
        <w:rPr>
          <w:rStyle w:val="8"/>
          <w:sz w:val="27"/>
          <w:szCs w:val="27"/>
        </w:rPr>
        <w:t>  七、决算公开联系方式及信息反馈渠道</w:t>
      </w:r>
    </w:p>
    <w:p>
      <w:pPr>
        <w:pStyle w:val="5"/>
        <w:rPr>
          <w:sz w:val="27"/>
          <w:szCs w:val="27"/>
        </w:rPr>
      </w:pPr>
      <w:r>
        <w:rPr>
          <w:sz w:val="27"/>
          <w:szCs w:val="27"/>
        </w:rPr>
        <w:t>  本单位决算公开信息反馈和联系方式：023-74513720</w:t>
      </w:r>
      <w:r>
        <w:rPr>
          <w:rFonts w:hint="eastAsia"/>
          <w:sz w:val="27"/>
          <w:szCs w:val="27"/>
        </w:rPr>
        <w:t>。</w:t>
      </w:r>
    </w:p>
    <w:tbl>
      <w:tblPr>
        <w:tblStyle w:val="6"/>
        <w:tblW w:w="10801" w:type="dxa"/>
        <w:tblInd w:w="250" w:type="dxa"/>
        <w:tblLayout w:type="fixed"/>
        <w:tblCellMar>
          <w:top w:w="0" w:type="dxa"/>
          <w:left w:w="108" w:type="dxa"/>
          <w:bottom w:w="0" w:type="dxa"/>
          <w:right w:w="108" w:type="dxa"/>
        </w:tblCellMar>
      </w:tblPr>
      <w:tblGrid>
        <w:gridCol w:w="239"/>
        <w:gridCol w:w="76"/>
        <w:gridCol w:w="371"/>
        <w:gridCol w:w="72"/>
        <w:gridCol w:w="153"/>
        <w:gridCol w:w="66"/>
        <w:gridCol w:w="218"/>
        <w:gridCol w:w="392"/>
        <w:gridCol w:w="626"/>
        <w:gridCol w:w="239"/>
        <w:gridCol w:w="128"/>
        <w:gridCol w:w="361"/>
        <w:gridCol w:w="454"/>
        <w:gridCol w:w="153"/>
        <w:gridCol w:w="136"/>
        <w:gridCol w:w="218"/>
        <w:gridCol w:w="218"/>
        <w:gridCol w:w="437"/>
        <w:gridCol w:w="218"/>
        <w:gridCol w:w="96"/>
        <w:gridCol w:w="122"/>
        <w:gridCol w:w="30"/>
        <w:gridCol w:w="188"/>
        <w:gridCol w:w="416"/>
        <w:gridCol w:w="207"/>
        <w:gridCol w:w="261"/>
        <w:gridCol w:w="79"/>
        <w:gridCol w:w="141"/>
        <w:gridCol w:w="251"/>
        <w:gridCol w:w="284"/>
        <w:gridCol w:w="238"/>
        <w:gridCol w:w="339"/>
        <w:gridCol w:w="258"/>
        <w:gridCol w:w="181"/>
        <w:gridCol w:w="72"/>
        <w:gridCol w:w="293"/>
        <w:gridCol w:w="399"/>
        <w:gridCol w:w="153"/>
        <w:gridCol w:w="66"/>
        <w:gridCol w:w="218"/>
        <w:gridCol w:w="289"/>
        <w:gridCol w:w="147"/>
        <w:gridCol w:w="703"/>
        <w:gridCol w:w="505"/>
        <w:gridCol w:w="90"/>
      </w:tblGrid>
      <w:tr>
        <w:tblPrEx>
          <w:tblCellMar>
            <w:top w:w="0" w:type="dxa"/>
            <w:left w:w="108" w:type="dxa"/>
            <w:bottom w:w="0" w:type="dxa"/>
            <w:right w:w="108" w:type="dxa"/>
          </w:tblCellMar>
        </w:tblPrEx>
        <w:trPr>
          <w:gridAfter w:val="2"/>
          <w:wAfter w:w="595" w:type="dxa"/>
          <w:trHeight w:val="555" w:hRule="atLeast"/>
        </w:trPr>
        <w:tc>
          <w:tcPr>
            <w:tcW w:w="10206" w:type="dxa"/>
            <w:gridSpan w:val="43"/>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收入支出决算总表</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nil"/>
              <w:bottom w:val="nil"/>
              <w:right w:val="nil"/>
            </w:tcBorders>
            <w:shd w:val="clear" w:color="auto" w:fill="auto"/>
            <w:vAlign w:val="center"/>
          </w:tcPr>
          <w:p>
            <w:pPr>
              <w:widowControl/>
              <w:jc w:val="left"/>
              <w:rPr>
                <w:rFonts w:ascii="Tahoma" w:hAnsi="Tahoma" w:eastAsia="宋体" w:cs="Tahoma"/>
                <w:kern w:val="0"/>
                <w:sz w:val="16"/>
                <w:szCs w:val="16"/>
              </w:rPr>
            </w:pPr>
          </w:p>
        </w:tc>
        <w:tc>
          <w:tcPr>
            <w:tcW w:w="2105" w:type="dxa"/>
            <w:gridSpan w:val="8"/>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4292" w:type="dxa"/>
            <w:gridSpan w:val="21"/>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357" w:type="dxa"/>
            <w:gridSpan w:val="4"/>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公开01表</w:t>
            </w:r>
          </w:p>
        </w:tc>
      </w:tr>
      <w:tr>
        <w:tblPrEx>
          <w:tblCellMar>
            <w:top w:w="0" w:type="dxa"/>
            <w:left w:w="108" w:type="dxa"/>
            <w:bottom w:w="0" w:type="dxa"/>
            <w:right w:w="108" w:type="dxa"/>
          </w:tblCellMar>
        </w:tblPrEx>
        <w:trPr>
          <w:gridAfter w:val="2"/>
          <w:wAfter w:w="595" w:type="dxa"/>
          <w:trHeight w:val="300" w:hRule="atLeast"/>
        </w:trPr>
        <w:tc>
          <w:tcPr>
            <w:tcW w:w="8849" w:type="dxa"/>
            <w:gridSpan w:val="39"/>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公开部门：重庆市垫江县供销合作社联合社           </w:t>
            </w:r>
            <w:r>
              <w:rPr>
                <w:rFonts w:hint="eastAsia" w:ascii="宋体" w:hAnsi="宋体" w:eastAsia="宋体" w:cs="Arial"/>
                <w:kern w:val="0"/>
                <w:sz w:val="24"/>
                <w:szCs w:val="24"/>
              </w:rPr>
              <w:t>2021年度</w:t>
            </w:r>
          </w:p>
        </w:tc>
        <w:tc>
          <w:tcPr>
            <w:tcW w:w="1357" w:type="dxa"/>
            <w:gridSpan w:val="4"/>
            <w:tcBorders>
              <w:top w:val="nil"/>
              <w:left w:val="nil"/>
              <w:bottom w:val="single" w:color="auto" w:sz="4" w:space="0"/>
              <w:right w:val="nil"/>
            </w:tcBorders>
            <w:shd w:val="clear" w:color="auto" w:fill="auto"/>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gridAfter w:val="2"/>
          <w:wAfter w:w="595" w:type="dxa"/>
          <w:trHeight w:val="300" w:hRule="atLeast"/>
        </w:trPr>
        <w:tc>
          <w:tcPr>
            <w:tcW w:w="4557" w:type="dxa"/>
            <w:gridSpan w:val="18"/>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收入</w:t>
            </w:r>
          </w:p>
        </w:tc>
        <w:tc>
          <w:tcPr>
            <w:tcW w:w="5649" w:type="dxa"/>
            <w:gridSpan w:val="2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支出</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功能分类科目</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914.81</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131.55</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460.18</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26.43</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914.81</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924.58</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结余分配</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316.84</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307.07</w:t>
            </w:r>
          </w:p>
        </w:tc>
      </w:tr>
      <w:tr>
        <w:tblPrEx>
          <w:tblCellMar>
            <w:top w:w="0" w:type="dxa"/>
            <w:left w:w="108" w:type="dxa"/>
            <w:bottom w:w="0" w:type="dxa"/>
            <w:right w:w="108" w:type="dxa"/>
          </w:tblCellMar>
        </w:tblPrEx>
        <w:trPr>
          <w:gridAfter w:val="2"/>
          <w:wAfter w:w="595" w:type="dxa"/>
          <w:trHeight w:val="300" w:hRule="atLeast"/>
        </w:trPr>
        <w:tc>
          <w:tcPr>
            <w:tcW w:w="2580" w:type="dxa"/>
            <w:gridSpan w:val="11"/>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977"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1,231.65</w:t>
            </w:r>
          </w:p>
        </w:tc>
        <w:tc>
          <w:tcPr>
            <w:tcW w:w="3674"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975"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1,231.65</w:t>
            </w:r>
          </w:p>
        </w:tc>
      </w:tr>
      <w:tr>
        <w:tblPrEx>
          <w:tblCellMar>
            <w:top w:w="0" w:type="dxa"/>
            <w:left w:w="108" w:type="dxa"/>
            <w:bottom w:w="0" w:type="dxa"/>
            <w:right w:w="108" w:type="dxa"/>
          </w:tblCellMar>
        </w:tblPrEx>
        <w:trPr>
          <w:gridAfter w:val="2"/>
          <w:wAfter w:w="595" w:type="dxa"/>
          <w:trHeight w:val="300" w:hRule="atLeast"/>
        </w:trPr>
        <w:tc>
          <w:tcPr>
            <w:tcW w:w="10206" w:type="dxa"/>
            <w:gridSpan w:val="43"/>
            <w:tcBorders>
              <w:top w:val="nil"/>
              <w:left w:val="nil"/>
              <w:bottom w:val="nil"/>
              <w:right w:val="nil"/>
            </w:tcBorders>
            <w:shd w:val="clear" w:color="auto" w:fill="auto"/>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xml:space="preserve">备注：本表反映部门本年度的总收支和年末结转结余等情况。 </w:t>
            </w:r>
          </w:p>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595" w:type="dxa"/>
          <w:trHeight w:val="300" w:hRule="atLeast"/>
        </w:trPr>
        <w:tc>
          <w:tcPr>
            <w:tcW w:w="10206" w:type="dxa"/>
            <w:gridSpan w:val="43"/>
            <w:tcBorders>
              <w:top w:val="nil"/>
              <w:left w:val="nil"/>
              <w:bottom w:val="nil"/>
              <w:right w:val="nil"/>
            </w:tcBorders>
            <w:shd w:val="clear" w:color="auto" w:fill="auto"/>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收入决算表</w:t>
            </w:r>
          </w:p>
        </w:tc>
      </w:tr>
      <w:tr>
        <w:tblPrEx>
          <w:tblCellMar>
            <w:top w:w="0" w:type="dxa"/>
            <w:left w:w="108" w:type="dxa"/>
            <w:bottom w:w="0" w:type="dxa"/>
            <w:right w:w="108" w:type="dxa"/>
          </w:tblCellMar>
        </w:tblPrEx>
        <w:trPr>
          <w:gridAfter w:val="1"/>
          <w:wAfter w:w="90" w:type="dxa"/>
          <w:trHeight w:val="300" w:hRule="atLeast"/>
        </w:trPr>
        <w:tc>
          <w:tcPr>
            <w:tcW w:w="315" w:type="dxa"/>
            <w:gridSpan w:val="2"/>
            <w:tcBorders>
              <w:top w:val="nil"/>
              <w:left w:val="nil"/>
              <w:bottom w:val="nil"/>
              <w:right w:val="nil"/>
            </w:tcBorders>
            <w:shd w:val="clear" w:color="auto" w:fill="auto"/>
            <w:vAlign w:val="center"/>
          </w:tcPr>
          <w:p>
            <w:pPr>
              <w:widowControl/>
              <w:jc w:val="left"/>
              <w:rPr>
                <w:rFonts w:ascii="Tahoma" w:hAnsi="Tahoma" w:eastAsia="宋体" w:cs="Tahoma"/>
                <w:kern w:val="0"/>
                <w:sz w:val="16"/>
                <w:szCs w:val="16"/>
              </w:rPr>
            </w:pPr>
          </w:p>
        </w:tc>
        <w:tc>
          <w:tcPr>
            <w:tcW w:w="662" w:type="dxa"/>
            <w:gridSpan w:val="4"/>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964" w:type="dxa"/>
            <w:gridSpan w:val="6"/>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961" w:type="dxa"/>
            <w:gridSpan w:val="4"/>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873" w:type="dxa"/>
            <w:gridSpan w:val="3"/>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320" w:type="dxa"/>
            <w:gridSpan w:val="7"/>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471" w:type="dxa"/>
            <w:gridSpan w:val="3"/>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372" w:type="dxa"/>
            <w:gridSpan w:val="6"/>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773" w:type="dxa"/>
            <w:gridSpan w:val="9"/>
            <w:tcBorders>
              <w:top w:val="nil"/>
              <w:left w:val="nil"/>
              <w:bottom w:val="nil"/>
              <w:right w:val="nil"/>
            </w:tcBorders>
            <w:shd w:val="clear" w:color="auto" w:fill="auto"/>
            <w:vAlign w:val="center"/>
          </w:tcPr>
          <w:p>
            <w:pPr>
              <w:widowControl/>
              <w:ind w:right="720" w:firstLine="480" w:firstLineChars="200"/>
              <w:rPr>
                <w:rFonts w:ascii="宋体" w:hAnsi="宋体" w:eastAsia="宋体" w:cs="Arial"/>
                <w:color w:val="000000"/>
                <w:kern w:val="0"/>
                <w:sz w:val="24"/>
                <w:szCs w:val="24"/>
              </w:rPr>
            </w:pPr>
            <w:r>
              <w:rPr>
                <w:rFonts w:hint="eastAsia" w:ascii="宋体" w:hAnsi="宋体" w:eastAsia="宋体" w:cs="Arial"/>
                <w:color w:val="000000"/>
                <w:kern w:val="0"/>
                <w:sz w:val="24"/>
                <w:szCs w:val="24"/>
              </w:rPr>
              <w:t>公开02表</w:t>
            </w:r>
          </w:p>
        </w:tc>
      </w:tr>
      <w:tr>
        <w:tblPrEx>
          <w:tblCellMar>
            <w:top w:w="0" w:type="dxa"/>
            <w:left w:w="108" w:type="dxa"/>
            <w:bottom w:w="0" w:type="dxa"/>
            <w:right w:w="108" w:type="dxa"/>
          </w:tblCellMar>
        </w:tblPrEx>
        <w:trPr>
          <w:gridAfter w:val="2"/>
          <w:wAfter w:w="595" w:type="dxa"/>
          <w:trHeight w:val="300" w:hRule="atLeast"/>
        </w:trPr>
        <w:tc>
          <w:tcPr>
            <w:tcW w:w="6095" w:type="dxa"/>
            <w:gridSpan w:val="2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部门：重庆市垫江县供销合作社联合社</w:t>
            </w:r>
          </w:p>
        </w:tc>
        <w:tc>
          <w:tcPr>
            <w:tcW w:w="1843"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2021年度</w:t>
            </w:r>
          </w:p>
        </w:tc>
        <w:tc>
          <w:tcPr>
            <w:tcW w:w="2268" w:type="dxa"/>
            <w:gridSpan w:val="8"/>
            <w:tcBorders>
              <w:top w:val="nil"/>
              <w:left w:val="nil"/>
              <w:bottom w:val="single" w:color="auto"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w:t>
            </w: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gridAfter w:val="2"/>
          <w:wAfter w:w="595" w:type="dxa"/>
          <w:trHeight w:val="300" w:hRule="atLeast"/>
        </w:trPr>
        <w:tc>
          <w:tcPr>
            <w:tcW w:w="2941" w:type="dxa"/>
            <w:gridSpan w:val="1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项目</w:t>
            </w:r>
          </w:p>
        </w:tc>
        <w:tc>
          <w:tcPr>
            <w:tcW w:w="1179"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1091" w:type="dxa"/>
            <w:gridSpan w:val="6"/>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财政拨款收入</w:t>
            </w:r>
          </w:p>
        </w:tc>
        <w:tc>
          <w:tcPr>
            <w:tcW w:w="88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上级补助收入</w:t>
            </w:r>
          </w:p>
        </w:tc>
        <w:tc>
          <w:tcPr>
            <w:tcW w:w="1843" w:type="dxa"/>
            <w:gridSpan w:val="9"/>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事业收入</w:t>
            </w:r>
          </w:p>
        </w:tc>
        <w:tc>
          <w:tcPr>
            <w:tcW w:w="692"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经营收入</w:t>
            </w:r>
          </w:p>
        </w:tc>
        <w:tc>
          <w:tcPr>
            <w:tcW w:w="873"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附属单位上缴收入</w:t>
            </w:r>
          </w:p>
        </w:tc>
        <w:tc>
          <w:tcPr>
            <w:tcW w:w="70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其他收入</w:t>
            </w:r>
          </w:p>
        </w:tc>
      </w:tr>
      <w:tr>
        <w:tblPrEx>
          <w:tblCellMar>
            <w:top w:w="0" w:type="dxa"/>
            <w:left w:w="108" w:type="dxa"/>
            <w:bottom w:w="0" w:type="dxa"/>
            <w:right w:w="108" w:type="dxa"/>
          </w:tblCellMar>
        </w:tblPrEx>
        <w:trPr>
          <w:gridAfter w:val="2"/>
          <w:wAfter w:w="595" w:type="dxa"/>
          <w:trHeight w:val="312" w:hRule="atLeast"/>
        </w:trPr>
        <w:tc>
          <w:tcPr>
            <w:tcW w:w="1195" w:type="dxa"/>
            <w:gridSpan w:val="7"/>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功能分类科目编码</w:t>
            </w:r>
          </w:p>
        </w:tc>
        <w:tc>
          <w:tcPr>
            <w:tcW w:w="1746"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项目（按“项”级功能分类科目）</w:t>
            </w:r>
          </w:p>
        </w:tc>
        <w:tc>
          <w:tcPr>
            <w:tcW w:w="117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09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8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843" w:type="dxa"/>
            <w:gridSpan w:val="9"/>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69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73"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r>
      <w:tr>
        <w:tblPrEx>
          <w:tblCellMar>
            <w:top w:w="0" w:type="dxa"/>
            <w:left w:w="108" w:type="dxa"/>
            <w:bottom w:w="0" w:type="dxa"/>
            <w:right w:w="108" w:type="dxa"/>
          </w:tblCellMar>
        </w:tblPrEx>
        <w:trPr>
          <w:gridAfter w:val="2"/>
          <w:wAfter w:w="595" w:type="dxa"/>
          <w:trHeight w:val="312" w:hRule="atLeast"/>
        </w:trPr>
        <w:tc>
          <w:tcPr>
            <w:tcW w:w="1195" w:type="dxa"/>
            <w:gridSpan w:val="7"/>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746"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17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09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8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993"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小计</w:t>
            </w:r>
          </w:p>
        </w:tc>
        <w:tc>
          <w:tcPr>
            <w:tcW w:w="850"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其中：教育收费</w:t>
            </w:r>
          </w:p>
        </w:tc>
        <w:tc>
          <w:tcPr>
            <w:tcW w:w="69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73"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r>
      <w:tr>
        <w:tblPrEx>
          <w:tblCellMar>
            <w:top w:w="0" w:type="dxa"/>
            <w:left w:w="108" w:type="dxa"/>
            <w:bottom w:w="0" w:type="dxa"/>
            <w:right w:w="108" w:type="dxa"/>
          </w:tblCellMar>
        </w:tblPrEx>
        <w:trPr>
          <w:gridAfter w:val="2"/>
          <w:wAfter w:w="595" w:type="dxa"/>
          <w:trHeight w:val="465" w:hRule="atLeast"/>
        </w:trPr>
        <w:tc>
          <w:tcPr>
            <w:tcW w:w="1195" w:type="dxa"/>
            <w:gridSpan w:val="7"/>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746"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17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09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8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993"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50"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69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73"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r>
      <w:tr>
        <w:tblPrEx>
          <w:tblCellMar>
            <w:top w:w="0" w:type="dxa"/>
            <w:left w:w="108" w:type="dxa"/>
            <w:bottom w:w="0" w:type="dxa"/>
            <w:right w:w="108" w:type="dxa"/>
          </w:tblCellMar>
        </w:tblPrEx>
        <w:trPr>
          <w:gridAfter w:val="2"/>
          <w:wAfter w:w="595" w:type="dxa"/>
          <w:trHeight w:val="300" w:hRule="atLeast"/>
        </w:trPr>
        <w:tc>
          <w:tcPr>
            <w:tcW w:w="2941" w:type="dxa"/>
            <w:gridSpan w:val="1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合计</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914.81</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914.81</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131.56</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131.56</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111.66</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111.66</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20.22</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20.22</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2080506</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机关事业单位职业年金缴费支出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10.04</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10.04</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2080599</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其他行政事业单位养老支出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81.40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81.40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2080803</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在乡复员、退伍军人生活补助</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自然生态保护</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2110402</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农村环境保护</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农林水支出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农业农村</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2130124</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农村合作经济</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216</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商业服务业等支出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450.61</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450.61</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21602</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商业流通事务</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450.61</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450.61</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2160201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303.46</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303.46</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2160202</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147.15</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147.15</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26.22</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26.22</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26.22</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26.22</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26.22</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26.22</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22401</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应急管理事务</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19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2240199</w:t>
            </w:r>
          </w:p>
        </w:tc>
        <w:tc>
          <w:tcPr>
            <w:tcW w:w="174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其他应急管理支出</w:t>
            </w:r>
          </w:p>
        </w:tc>
        <w:tc>
          <w:tcPr>
            <w:tcW w:w="117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09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88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73"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0206" w:type="dxa"/>
            <w:gridSpan w:val="43"/>
            <w:tcBorders>
              <w:top w:val="nil"/>
              <w:left w:val="nil"/>
              <w:bottom w:val="nil"/>
              <w:right w:val="nil"/>
            </w:tcBorders>
            <w:shd w:val="clear" w:color="auto" w:fill="auto"/>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备注：本表反映部门本年度取得的各项收入情况。</w:t>
            </w:r>
          </w:p>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595" w:type="dxa"/>
          <w:trHeight w:val="300" w:hRule="atLeast"/>
        </w:trPr>
        <w:tc>
          <w:tcPr>
            <w:tcW w:w="10206" w:type="dxa"/>
            <w:gridSpan w:val="43"/>
            <w:tcBorders>
              <w:top w:val="nil"/>
              <w:left w:val="nil"/>
              <w:bottom w:val="nil"/>
              <w:right w:val="nil"/>
            </w:tcBorders>
            <w:shd w:val="clear" w:color="auto" w:fill="auto"/>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支出决算表</w:t>
            </w:r>
          </w:p>
        </w:tc>
      </w:tr>
      <w:tr>
        <w:tblPrEx>
          <w:tblCellMar>
            <w:top w:w="0" w:type="dxa"/>
            <w:left w:w="108" w:type="dxa"/>
            <w:bottom w:w="0" w:type="dxa"/>
            <w:right w:w="108" w:type="dxa"/>
          </w:tblCellMar>
        </w:tblPrEx>
        <w:trPr>
          <w:trHeight w:val="300" w:hRule="atLeast"/>
        </w:trPr>
        <w:tc>
          <w:tcPr>
            <w:tcW w:w="239" w:type="dxa"/>
            <w:tcBorders>
              <w:top w:val="nil"/>
              <w:left w:val="nil"/>
              <w:bottom w:val="nil"/>
              <w:right w:val="nil"/>
            </w:tcBorders>
            <w:shd w:val="clear" w:color="auto" w:fill="auto"/>
            <w:vAlign w:val="center"/>
          </w:tcPr>
          <w:p>
            <w:pPr>
              <w:widowControl/>
              <w:jc w:val="left"/>
              <w:rPr>
                <w:rFonts w:ascii="Tahoma" w:hAnsi="Tahoma" w:eastAsia="宋体" w:cs="Tahoma"/>
                <w:kern w:val="0"/>
                <w:sz w:val="16"/>
                <w:szCs w:val="16"/>
              </w:rPr>
            </w:pPr>
          </w:p>
        </w:tc>
        <w:tc>
          <w:tcPr>
            <w:tcW w:w="447" w:type="dxa"/>
            <w:gridSpan w:val="2"/>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25" w:type="dxa"/>
            <w:gridSpan w:val="2"/>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637" w:type="dxa"/>
            <w:gridSpan w:val="9"/>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475" w:type="dxa"/>
            <w:gridSpan w:val="8"/>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604" w:type="dxa"/>
            <w:gridSpan w:val="2"/>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239" w:type="dxa"/>
            <w:gridSpan w:val="10"/>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917" w:type="dxa"/>
            <w:gridSpan w:val="4"/>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018" w:type="dxa"/>
            <w:gridSpan w:val="7"/>
            <w:tcBorders>
              <w:top w:val="nil"/>
              <w:left w:val="nil"/>
              <w:bottom w:val="nil"/>
              <w:right w:val="nil"/>
            </w:tcBorders>
            <w:shd w:val="clear" w:color="auto" w:fill="auto"/>
            <w:vAlign w:val="center"/>
          </w:tcPr>
          <w:p>
            <w:pPr>
              <w:widowControl/>
              <w:ind w:right="480"/>
              <w:rPr>
                <w:rFonts w:ascii="宋体" w:hAnsi="宋体" w:eastAsia="宋体" w:cs="Arial"/>
                <w:color w:val="000000"/>
                <w:kern w:val="0"/>
                <w:sz w:val="24"/>
                <w:szCs w:val="24"/>
              </w:rPr>
            </w:pPr>
            <w:r>
              <w:rPr>
                <w:rFonts w:hint="eastAsia" w:ascii="宋体" w:hAnsi="宋体" w:eastAsia="宋体" w:cs="Arial"/>
                <w:color w:val="000000"/>
                <w:kern w:val="0"/>
                <w:sz w:val="24"/>
                <w:szCs w:val="24"/>
              </w:rPr>
              <w:t>公开03表</w:t>
            </w:r>
          </w:p>
        </w:tc>
      </w:tr>
      <w:tr>
        <w:tblPrEx>
          <w:tblCellMar>
            <w:top w:w="0" w:type="dxa"/>
            <w:left w:w="108" w:type="dxa"/>
            <w:bottom w:w="0" w:type="dxa"/>
            <w:right w:w="108" w:type="dxa"/>
          </w:tblCellMar>
        </w:tblPrEx>
        <w:trPr>
          <w:gridAfter w:val="2"/>
          <w:wAfter w:w="595" w:type="dxa"/>
          <w:trHeight w:val="300" w:hRule="atLeast"/>
        </w:trPr>
        <w:tc>
          <w:tcPr>
            <w:tcW w:w="4871" w:type="dxa"/>
            <w:gridSpan w:val="20"/>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公开部门：重庆市垫江县供销合作社联合社</w:t>
            </w:r>
          </w:p>
        </w:tc>
        <w:tc>
          <w:tcPr>
            <w:tcW w:w="2814" w:type="dxa"/>
            <w:gridSpan w:val="13"/>
            <w:tcBorders>
              <w:top w:val="nil"/>
              <w:left w:val="nil"/>
              <w:bottom w:val="single" w:color="auto" w:sz="4" w:space="0"/>
              <w:right w:val="nil"/>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2021年度</w:t>
            </w:r>
          </w:p>
        </w:tc>
        <w:tc>
          <w:tcPr>
            <w:tcW w:w="945"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6" w:type="dxa"/>
            <w:gridSpan w:val="6"/>
            <w:tcBorders>
              <w:top w:val="nil"/>
              <w:left w:val="nil"/>
              <w:bottom w:val="single" w:color="auto" w:sz="4" w:space="0"/>
              <w:right w:val="nil"/>
            </w:tcBorders>
            <w:shd w:val="clear" w:color="auto" w:fill="auto"/>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gridAfter w:val="2"/>
          <w:wAfter w:w="595" w:type="dxa"/>
          <w:trHeight w:val="300" w:hRule="atLeast"/>
        </w:trPr>
        <w:tc>
          <w:tcPr>
            <w:tcW w:w="3395" w:type="dxa"/>
            <w:gridSpan w:val="1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项目</w:t>
            </w:r>
          </w:p>
        </w:tc>
        <w:tc>
          <w:tcPr>
            <w:tcW w:w="1476" w:type="dxa"/>
            <w:gridSpan w:val="7"/>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303" w:type="dxa"/>
            <w:gridSpan w:val="7"/>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基本支出</w:t>
            </w:r>
          </w:p>
        </w:tc>
        <w:tc>
          <w:tcPr>
            <w:tcW w:w="1511" w:type="dxa"/>
            <w:gridSpan w:val="6"/>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项目支出</w:t>
            </w:r>
          </w:p>
        </w:tc>
        <w:tc>
          <w:tcPr>
            <w:tcW w:w="945"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上缴上级支出</w:t>
            </w:r>
          </w:p>
        </w:tc>
        <w:tc>
          <w:tcPr>
            <w:tcW w:w="726"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经营支出</w:t>
            </w:r>
          </w:p>
        </w:tc>
        <w:tc>
          <w:tcPr>
            <w:tcW w:w="85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对附属单位补助支出</w:t>
            </w:r>
          </w:p>
        </w:tc>
      </w:tr>
      <w:tr>
        <w:tblPrEx>
          <w:tblCellMar>
            <w:top w:w="0" w:type="dxa"/>
            <w:left w:w="108" w:type="dxa"/>
            <w:bottom w:w="0" w:type="dxa"/>
            <w:right w:w="108" w:type="dxa"/>
          </w:tblCellMar>
        </w:tblPrEx>
        <w:trPr>
          <w:gridAfter w:val="2"/>
          <w:wAfter w:w="595" w:type="dxa"/>
          <w:trHeight w:val="312" w:hRule="atLeast"/>
        </w:trPr>
        <w:tc>
          <w:tcPr>
            <w:tcW w:w="758"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功能分类科目编码</w:t>
            </w:r>
          </w:p>
        </w:tc>
        <w:tc>
          <w:tcPr>
            <w:tcW w:w="2637" w:type="dxa"/>
            <w:gridSpan w:val="9"/>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项目（按“项”级功能分类科目）</w:t>
            </w:r>
          </w:p>
        </w:tc>
        <w:tc>
          <w:tcPr>
            <w:tcW w:w="1476" w:type="dxa"/>
            <w:gridSpan w:val="7"/>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303" w:type="dxa"/>
            <w:gridSpan w:val="7"/>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51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945"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726"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r>
      <w:tr>
        <w:tblPrEx>
          <w:tblCellMar>
            <w:top w:w="0" w:type="dxa"/>
            <w:left w:w="108" w:type="dxa"/>
            <w:bottom w:w="0" w:type="dxa"/>
            <w:right w:w="108" w:type="dxa"/>
          </w:tblCellMar>
        </w:tblPrEx>
        <w:trPr>
          <w:gridAfter w:val="2"/>
          <w:wAfter w:w="595" w:type="dxa"/>
          <w:trHeight w:val="312" w:hRule="atLeast"/>
        </w:trPr>
        <w:tc>
          <w:tcPr>
            <w:tcW w:w="75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2637" w:type="dxa"/>
            <w:gridSpan w:val="9"/>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476" w:type="dxa"/>
            <w:gridSpan w:val="7"/>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303" w:type="dxa"/>
            <w:gridSpan w:val="7"/>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51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945"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726"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r>
      <w:tr>
        <w:tblPrEx>
          <w:tblCellMar>
            <w:top w:w="0" w:type="dxa"/>
            <w:left w:w="108" w:type="dxa"/>
            <w:bottom w:w="0" w:type="dxa"/>
            <w:right w:w="108" w:type="dxa"/>
          </w:tblCellMar>
        </w:tblPrEx>
        <w:trPr>
          <w:gridAfter w:val="2"/>
          <w:wAfter w:w="595" w:type="dxa"/>
          <w:trHeight w:val="312" w:hRule="atLeast"/>
        </w:trPr>
        <w:tc>
          <w:tcPr>
            <w:tcW w:w="75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2637" w:type="dxa"/>
            <w:gridSpan w:val="9"/>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476" w:type="dxa"/>
            <w:gridSpan w:val="7"/>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303" w:type="dxa"/>
            <w:gridSpan w:val="7"/>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51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945"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726"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8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r>
      <w:tr>
        <w:tblPrEx>
          <w:tblCellMar>
            <w:top w:w="0" w:type="dxa"/>
            <w:left w:w="108" w:type="dxa"/>
            <w:bottom w:w="0" w:type="dxa"/>
            <w:right w:w="108" w:type="dxa"/>
          </w:tblCellMar>
        </w:tblPrEx>
        <w:trPr>
          <w:gridAfter w:val="2"/>
          <w:wAfter w:w="595" w:type="dxa"/>
          <w:trHeight w:val="300" w:hRule="atLeast"/>
        </w:trPr>
        <w:tc>
          <w:tcPr>
            <w:tcW w:w="3395" w:type="dxa"/>
            <w:gridSpan w:val="1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合计</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924.58</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449.04</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475.54</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131.56</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111.66</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111.66</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111.66</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20.22</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20.22</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2080506</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机关事业单位职业年金缴费支出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10.04</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10.04</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2080599</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其他行政事业单位养老支出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81.40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81.40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2080803</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在乡复员、退伍军人生活补助</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11.89</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自然生态保护</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93.49</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2110402</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农村环境保护</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农林水支出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农业农村</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2130124</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农村合作经济</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216</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商业服务业等支出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460.18</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298.03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162.15</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21602</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商业流通事务</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460.18</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298.03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162.15</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2160201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298.03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298.03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2160202</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162.15</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162.15</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26.43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26.43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26.43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26.43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26.43</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26.43</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22401</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应急管理事务</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2240199</w:t>
            </w:r>
          </w:p>
        </w:tc>
        <w:tc>
          <w:tcPr>
            <w:tcW w:w="2418" w:type="dxa"/>
            <w:gridSpan w:val="7"/>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其他应急管理支出</w:t>
            </w:r>
          </w:p>
        </w:tc>
        <w:tc>
          <w:tcPr>
            <w:tcW w:w="1476"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303" w:type="dxa"/>
            <w:gridSpan w:val="7"/>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1" w:type="dxa"/>
            <w:gridSpan w:val="6"/>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945"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26"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10206" w:type="dxa"/>
            <w:gridSpan w:val="43"/>
            <w:tcBorders>
              <w:top w:val="nil"/>
              <w:left w:val="nil"/>
              <w:bottom w:val="nil"/>
              <w:right w:val="nil"/>
            </w:tcBorders>
            <w:shd w:val="clear" w:color="auto" w:fill="auto"/>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备注：本表反映部门本年度各项支出情况。</w:t>
            </w:r>
          </w:p>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595" w:type="dxa"/>
          <w:trHeight w:val="555" w:hRule="atLeast"/>
        </w:trPr>
        <w:tc>
          <w:tcPr>
            <w:tcW w:w="10206" w:type="dxa"/>
            <w:gridSpan w:val="43"/>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财政拨款收入支出决算总表</w:t>
            </w:r>
          </w:p>
        </w:tc>
      </w:tr>
      <w:tr>
        <w:tblPrEx>
          <w:tblCellMar>
            <w:top w:w="0" w:type="dxa"/>
            <w:left w:w="108" w:type="dxa"/>
            <w:bottom w:w="0" w:type="dxa"/>
            <w:right w:w="108" w:type="dxa"/>
          </w:tblCellMar>
        </w:tblPrEx>
        <w:trPr>
          <w:gridAfter w:val="2"/>
          <w:wAfter w:w="595" w:type="dxa"/>
          <w:trHeight w:val="300" w:hRule="atLeast"/>
        </w:trPr>
        <w:tc>
          <w:tcPr>
            <w:tcW w:w="1587" w:type="dxa"/>
            <w:gridSpan w:val="8"/>
            <w:tcBorders>
              <w:top w:val="nil"/>
              <w:left w:val="nil"/>
              <w:bottom w:val="nil"/>
              <w:right w:val="nil"/>
            </w:tcBorders>
            <w:shd w:val="clear" w:color="auto" w:fill="auto"/>
            <w:vAlign w:val="center"/>
          </w:tcPr>
          <w:p>
            <w:pPr>
              <w:widowControl/>
              <w:jc w:val="left"/>
              <w:rPr>
                <w:rFonts w:ascii="Tahoma" w:hAnsi="Tahoma" w:eastAsia="宋体" w:cs="Tahoma"/>
                <w:kern w:val="0"/>
                <w:sz w:val="16"/>
                <w:szCs w:val="16"/>
              </w:rPr>
            </w:pPr>
          </w:p>
        </w:tc>
        <w:tc>
          <w:tcPr>
            <w:tcW w:w="626" w:type="dxa"/>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780" w:type="dxa"/>
            <w:gridSpan w:val="12"/>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322" w:type="dxa"/>
            <w:gridSpan w:val="7"/>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1112" w:type="dxa"/>
            <w:gridSpan w:val="4"/>
            <w:tcBorders>
              <w:top w:val="nil"/>
              <w:left w:val="nil"/>
              <w:bottom w:val="nil"/>
              <w:right w:val="nil"/>
            </w:tcBorders>
            <w:shd w:val="clear" w:color="auto" w:fill="auto"/>
            <w:vAlign w:val="center"/>
          </w:tcPr>
          <w:p>
            <w:pPr>
              <w:widowControl/>
              <w:jc w:val="left"/>
              <w:rPr>
                <w:rFonts w:ascii="宋体" w:hAnsi="宋体" w:eastAsia="宋体" w:cs="Arial"/>
                <w:kern w:val="0"/>
                <w:sz w:val="18"/>
                <w:szCs w:val="18"/>
              </w:rPr>
            </w:pPr>
          </w:p>
        </w:tc>
        <w:tc>
          <w:tcPr>
            <w:tcW w:w="2779" w:type="dxa"/>
            <w:gridSpan w:val="11"/>
            <w:tcBorders>
              <w:top w:val="nil"/>
              <w:left w:val="nil"/>
              <w:bottom w:val="nil"/>
              <w:right w:val="nil"/>
            </w:tcBorders>
            <w:shd w:val="clear" w:color="auto" w:fill="auto"/>
            <w:vAlign w:val="center"/>
          </w:tcPr>
          <w:p>
            <w:pPr>
              <w:widowControl/>
              <w:ind w:right="60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公开04表</w:t>
            </w:r>
          </w:p>
        </w:tc>
      </w:tr>
      <w:tr>
        <w:tblPrEx>
          <w:tblCellMar>
            <w:top w:w="0" w:type="dxa"/>
            <w:left w:w="108" w:type="dxa"/>
            <w:bottom w:w="0" w:type="dxa"/>
            <w:right w:w="108" w:type="dxa"/>
          </w:tblCellMar>
        </w:tblPrEx>
        <w:trPr>
          <w:gridAfter w:val="2"/>
          <w:wAfter w:w="595" w:type="dxa"/>
          <w:trHeight w:val="300" w:hRule="atLeast"/>
        </w:trPr>
        <w:tc>
          <w:tcPr>
            <w:tcW w:w="4993" w:type="dxa"/>
            <w:gridSpan w:val="21"/>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公开部门：重庆市垫江县供销合作社联合社</w:t>
            </w:r>
          </w:p>
        </w:tc>
        <w:tc>
          <w:tcPr>
            <w:tcW w:w="1322" w:type="dxa"/>
            <w:gridSpan w:val="7"/>
            <w:tcBorders>
              <w:top w:val="nil"/>
              <w:left w:val="nil"/>
              <w:bottom w:val="single" w:color="auto" w:sz="4" w:space="0"/>
              <w:right w:val="nil"/>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2021年度</w:t>
            </w:r>
          </w:p>
        </w:tc>
        <w:tc>
          <w:tcPr>
            <w:tcW w:w="1112"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79" w:type="dxa"/>
            <w:gridSpan w:val="11"/>
            <w:tcBorders>
              <w:top w:val="nil"/>
              <w:left w:val="nil"/>
              <w:bottom w:val="single" w:color="auto" w:sz="4" w:space="0"/>
              <w:right w:val="nil"/>
            </w:tcBorders>
            <w:shd w:val="clear" w:color="auto" w:fill="auto"/>
            <w:vAlign w:val="center"/>
          </w:tcPr>
          <w:p>
            <w:pPr>
              <w:widowControl/>
              <w:ind w:right="48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gridAfter w:val="2"/>
          <w:wAfter w:w="595" w:type="dxa"/>
          <w:trHeight w:val="300" w:hRule="atLeast"/>
        </w:trPr>
        <w:tc>
          <w:tcPr>
            <w:tcW w:w="3684" w:type="dxa"/>
            <w:gridSpan w:val="15"/>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收     入</w:t>
            </w:r>
          </w:p>
        </w:tc>
        <w:tc>
          <w:tcPr>
            <w:tcW w:w="6522" w:type="dxa"/>
            <w:gridSpan w:val="2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支     出</w:t>
            </w:r>
          </w:p>
        </w:tc>
      </w:tr>
      <w:tr>
        <w:tblPrEx>
          <w:tblCellMar>
            <w:top w:w="0" w:type="dxa"/>
            <w:left w:w="108" w:type="dxa"/>
            <w:bottom w:w="0" w:type="dxa"/>
            <w:right w:w="108" w:type="dxa"/>
          </w:tblCellMar>
        </w:tblPrEx>
        <w:trPr>
          <w:gridAfter w:val="2"/>
          <w:wAfter w:w="595" w:type="dxa"/>
          <w:trHeight w:val="285" w:hRule="atLeast"/>
        </w:trPr>
        <w:tc>
          <w:tcPr>
            <w:tcW w:w="2452" w:type="dxa"/>
            <w:gridSpan w:val="10"/>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    目</w:t>
            </w:r>
          </w:p>
        </w:tc>
        <w:tc>
          <w:tcPr>
            <w:tcW w:w="1232"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c>
          <w:tcPr>
            <w:tcW w:w="2150" w:type="dxa"/>
            <w:gridSpan w:val="10"/>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功能分类科目</w:t>
            </w:r>
          </w:p>
        </w:tc>
        <w:tc>
          <w:tcPr>
            <w:tcW w:w="4372" w:type="dxa"/>
            <w:gridSpan w:val="1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r>
      <w:tr>
        <w:tblPrEx>
          <w:tblCellMar>
            <w:top w:w="0" w:type="dxa"/>
            <w:left w:w="108" w:type="dxa"/>
            <w:bottom w:w="0" w:type="dxa"/>
            <w:right w:w="108" w:type="dxa"/>
          </w:tblCellMar>
        </w:tblPrEx>
        <w:trPr>
          <w:gridAfter w:val="2"/>
          <w:wAfter w:w="595" w:type="dxa"/>
          <w:trHeight w:val="1140" w:hRule="atLeast"/>
        </w:trPr>
        <w:tc>
          <w:tcPr>
            <w:tcW w:w="2452" w:type="dxa"/>
            <w:gridSpan w:val="10"/>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232"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2150" w:type="dxa"/>
            <w:gridSpan w:val="10"/>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b/>
                <w:bCs/>
                <w:kern w:val="0"/>
                <w:sz w:val="20"/>
                <w:szCs w:val="20"/>
              </w:rPr>
            </w:pP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小计</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一般公共预算财政拨款</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政府性基金预算财政拨款</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国有资本经营预算财政拨款</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914.81</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131.55</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131.55</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11.89</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93.49</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460.18</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460.18</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26.43</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26.43</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914.81</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316.84</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316.84</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924.58</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924.58</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307.07</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307.07</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2"/>
          <w:wAfter w:w="595" w:type="dxa"/>
          <w:trHeight w:val="300" w:hRule="atLeast"/>
        </w:trPr>
        <w:tc>
          <w:tcPr>
            <w:tcW w:w="2452" w:type="dxa"/>
            <w:gridSpan w:val="10"/>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232"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1,231.65</w:t>
            </w:r>
          </w:p>
        </w:tc>
        <w:tc>
          <w:tcPr>
            <w:tcW w:w="2150" w:type="dxa"/>
            <w:gridSpan w:val="10"/>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016"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1,231.65</w:t>
            </w:r>
          </w:p>
        </w:tc>
        <w:tc>
          <w:tcPr>
            <w:tcW w:w="1088"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1,231.65</w:t>
            </w:r>
          </w:p>
        </w:tc>
        <w:tc>
          <w:tcPr>
            <w:tcW w:w="1129" w:type="dxa"/>
            <w:gridSpan w:val="5"/>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595" w:type="dxa"/>
          <w:trHeight w:val="300" w:hRule="atLeast"/>
        </w:trPr>
        <w:tc>
          <w:tcPr>
            <w:tcW w:w="9067" w:type="dxa"/>
            <w:gridSpan w:val="40"/>
            <w:tcBorders>
              <w:top w:val="nil"/>
              <w:left w:val="nil"/>
              <w:bottom w:val="nil"/>
              <w:right w:val="nil"/>
            </w:tcBorders>
            <w:shd w:val="clear" w:color="auto" w:fill="auto"/>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备注：本表反映部门本年度一般公共预算财政拨款、政府性基金预算财政拨款及国有资本经营预算财政拨款的总收支和年末结转结余情况。</w:t>
            </w:r>
          </w:p>
          <w:p>
            <w:pPr>
              <w:widowControl/>
              <w:jc w:val="left"/>
              <w:rPr>
                <w:rFonts w:hint="eastAsia" w:ascii="宋体" w:hAnsi="宋体" w:eastAsia="宋体" w:cs="Arial"/>
                <w:kern w:val="0"/>
                <w:sz w:val="20"/>
                <w:szCs w:val="20"/>
              </w:rPr>
            </w:pPr>
          </w:p>
          <w:p>
            <w:pPr>
              <w:widowControl/>
              <w:jc w:val="left"/>
              <w:rPr>
                <w:rFonts w:hint="eastAsia" w:ascii="宋体" w:hAnsi="宋体" w:eastAsia="宋体" w:cs="Arial"/>
                <w:kern w:val="0"/>
                <w:sz w:val="20"/>
                <w:szCs w:val="20"/>
              </w:rPr>
            </w:pPr>
          </w:p>
          <w:p>
            <w:pPr>
              <w:widowControl/>
              <w:jc w:val="left"/>
              <w:rPr>
                <w:rFonts w:hint="eastAsia" w:ascii="宋体" w:hAnsi="宋体" w:eastAsia="宋体" w:cs="Arial"/>
                <w:kern w:val="0"/>
                <w:sz w:val="20"/>
                <w:szCs w:val="20"/>
              </w:rPr>
            </w:pPr>
          </w:p>
          <w:p>
            <w:pPr>
              <w:widowControl/>
              <w:jc w:val="left"/>
              <w:rPr>
                <w:rFonts w:ascii="宋体" w:hAnsi="宋体" w:eastAsia="宋体" w:cs="Arial"/>
                <w:kern w:val="0"/>
                <w:sz w:val="20"/>
                <w:szCs w:val="20"/>
              </w:rPr>
            </w:pPr>
          </w:p>
        </w:tc>
        <w:tc>
          <w:tcPr>
            <w:tcW w:w="1139" w:type="dxa"/>
            <w:gridSpan w:val="3"/>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r>
    </w:tbl>
    <w:p>
      <w:pPr>
        <w:pStyle w:val="5"/>
        <w:rPr>
          <w:rFonts w:hint="eastAsia"/>
        </w:rPr>
      </w:pPr>
      <w:r>
        <w:drawing>
          <wp:inline distT="0" distB="0" distL="0" distR="0">
            <wp:extent cx="6456680" cy="923925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57950" cy="9240598"/>
                    </a:xfrm>
                    <a:prstGeom prst="rect">
                      <a:avLst/>
                    </a:prstGeom>
                    <a:noFill/>
                    <a:ln>
                      <a:noFill/>
                    </a:ln>
                  </pic:spPr>
                </pic:pic>
              </a:graphicData>
            </a:graphic>
          </wp:inline>
        </w:drawing>
      </w:r>
    </w:p>
    <w:p>
      <w:pPr>
        <w:pStyle w:val="5"/>
        <w:rPr>
          <w:rFonts w:hint="eastAsia"/>
        </w:rPr>
      </w:pPr>
    </w:p>
    <w:p>
      <w:pPr>
        <w:pStyle w:val="5"/>
        <w:rPr>
          <w:rFonts w:hint="eastAsia"/>
        </w:rPr>
      </w:pPr>
      <w:r>
        <w:drawing>
          <wp:inline distT="0" distB="0" distL="0" distR="0">
            <wp:extent cx="6648450" cy="89630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45910" cy="8959601"/>
                    </a:xfrm>
                    <a:prstGeom prst="rect">
                      <a:avLst/>
                    </a:prstGeom>
                    <a:noFill/>
                    <a:ln>
                      <a:noFill/>
                    </a:ln>
                  </pic:spPr>
                </pic:pic>
              </a:graphicData>
            </a:graphic>
          </wp:inline>
        </w:drawing>
      </w:r>
    </w:p>
    <w:p>
      <w:pPr>
        <w:pStyle w:val="5"/>
        <w:rPr>
          <w:rFonts w:hint="eastAsia"/>
        </w:rPr>
      </w:pPr>
    </w:p>
    <w:p>
      <w:pPr>
        <w:pStyle w:val="5"/>
        <w:rPr>
          <w:rFonts w:hint="eastAsia"/>
        </w:rPr>
      </w:pPr>
      <w:r>
        <w:drawing>
          <wp:inline distT="0" distB="0" distL="0" distR="0">
            <wp:extent cx="6644005" cy="33337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45910" cy="3334587"/>
                    </a:xfrm>
                    <a:prstGeom prst="rect">
                      <a:avLst/>
                    </a:prstGeom>
                    <a:noFill/>
                    <a:ln>
                      <a:noFill/>
                    </a:ln>
                  </pic:spPr>
                </pic:pic>
              </a:graphicData>
            </a:graphic>
          </wp:inline>
        </w:drawing>
      </w:r>
    </w:p>
    <w:p>
      <w:pPr>
        <w:pStyle w:val="5"/>
        <w:rPr>
          <w:rFonts w:hint="eastAsia"/>
        </w:rPr>
      </w:pPr>
    </w:p>
    <w:p>
      <w:pPr>
        <w:pStyle w:val="5"/>
        <w:rPr>
          <w:rFonts w:hint="eastAsia"/>
        </w:rPr>
      </w:pPr>
      <w:r>
        <w:drawing>
          <wp:inline distT="0" distB="0" distL="0" distR="0">
            <wp:extent cx="6648450" cy="4171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45910" cy="4170356"/>
                    </a:xfrm>
                    <a:prstGeom prst="rect">
                      <a:avLst/>
                    </a:prstGeom>
                    <a:noFill/>
                    <a:ln>
                      <a:noFill/>
                    </a:ln>
                  </pic:spPr>
                </pic:pic>
              </a:graphicData>
            </a:graphic>
          </wp:inline>
        </w:drawing>
      </w:r>
    </w:p>
    <w:p>
      <w:pPr>
        <w:pStyle w:val="5"/>
        <w:rPr>
          <w:rFonts w:hint="eastAsia"/>
        </w:rPr>
      </w:pPr>
      <w:r>
        <w:drawing>
          <wp:inline distT="0" distB="0" distL="0" distR="0">
            <wp:extent cx="6648450" cy="6705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45910" cy="6703038"/>
                    </a:xfrm>
                    <a:prstGeom prst="rect">
                      <a:avLst/>
                    </a:prstGeom>
                    <a:noFill/>
                    <a:ln>
                      <a:noFill/>
                    </a:ln>
                  </pic:spPr>
                </pic:pic>
              </a:graphicData>
            </a:graphic>
          </wp:inline>
        </w:drawing>
      </w:r>
    </w:p>
    <w:p>
      <w:pPr>
        <w:pStyle w:val="5"/>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4F9"/>
    <w:multiLevelType w:val="multilevel"/>
    <w:tmpl w:val="130674F9"/>
    <w:lvl w:ilvl="0" w:tentative="0">
      <w:start w:val="1"/>
      <w:numFmt w:val="japaneseCounting"/>
      <w:lvlText w:val="（%1）"/>
      <w:lvlJc w:val="left"/>
      <w:pPr>
        <w:ind w:left="1260" w:hanging="840"/>
      </w:pPr>
      <w:rPr>
        <w:rFonts w:hint="default"/>
        <w:b/>
        <w:sz w:val="27"/>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FB"/>
    <w:rsid w:val="00023E8D"/>
    <w:rsid w:val="00071252"/>
    <w:rsid w:val="00074403"/>
    <w:rsid w:val="000B149B"/>
    <w:rsid w:val="000C2A81"/>
    <w:rsid w:val="00103326"/>
    <w:rsid w:val="00117F19"/>
    <w:rsid w:val="001500FB"/>
    <w:rsid w:val="00160EAE"/>
    <w:rsid w:val="001744A5"/>
    <w:rsid w:val="001E1D8E"/>
    <w:rsid w:val="002034F2"/>
    <w:rsid w:val="002A79FD"/>
    <w:rsid w:val="00321988"/>
    <w:rsid w:val="003868B4"/>
    <w:rsid w:val="003C7E2A"/>
    <w:rsid w:val="0042589E"/>
    <w:rsid w:val="00455604"/>
    <w:rsid w:val="00532A5A"/>
    <w:rsid w:val="005B7251"/>
    <w:rsid w:val="005C58EF"/>
    <w:rsid w:val="005E1973"/>
    <w:rsid w:val="005E73DA"/>
    <w:rsid w:val="005F06F0"/>
    <w:rsid w:val="00603862"/>
    <w:rsid w:val="00636273"/>
    <w:rsid w:val="00691D95"/>
    <w:rsid w:val="006D0FD4"/>
    <w:rsid w:val="007545F0"/>
    <w:rsid w:val="007914C5"/>
    <w:rsid w:val="00831B91"/>
    <w:rsid w:val="00856659"/>
    <w:rsid w:val="008B48BA"/>
    <w:rsid w:val="008F183C"/>
    <w:rsid w:val="008F2F0A"/>
    <w:rsid w:val="008F5236"/>
    <w:rsid w:val="008F6D21"/>
    <w:rsid w:val="00946432"/>
    <w:rsid w:val="009966C7"/>
    <w:rsid w:val="009E0CCB"/>
    <w:rsid w:val="00A676DE"/>
    <w:rsid w:val="00AF60DB"/>
    <w:rsid w:val="00B067DD"/>
    <w:rsid w:val="00B2100E"/>
    <w:rsid w:val="00BA0F0C"/>
    <w:rsid w:val="00BA5778"/>
    <w:rsid w:val="00BE0DBC"/>
    <w:rsid w:val="00BF64A9"/>
    <w:rsid w:val="00C015F9"/>
    <w:rsid w:val="00C04B3E"/>
    <w:rsid w:val="00C05FCB"/>
    <w:rsid w:val="00C2400A"/>
    <w:rsid w:val="00C35EB1"/>
    <w:rsid w:val="00C71280"/>
    <w:rsid w:val="00C73018"/>
    <w:rsid w:val="00DA6190"/>
    <w:rsid w:val="00DD0F05"/>
    <w:rsid w:val="00E7003D"/>
    <w:rsid w:val="00E86881"/>
    <w:rsid w:val="00F24811"/>
    <w:rsid w:val="00F3298F"/>
    <w:rsid w:val="00F734F6"/>
    <w:rsid w:val="00FA545A"/>
    <w:rsid w:val="00FF0CA7"/>
    <w:rsid w:val="0A5F35D1"/>
    <w:rsid w:val="0E5C7ADB"/>
    <w:rsid w:val="4E06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12766</Words>
  <Characters>15838</Characters>
  <Lines>127</Lines>
  <Paragraphs>35</Paragraphs>
  <TotalTime>0</TotalTime>
  <ScaleCrop>false</ScaleCrop>
  <LinksUpToDate>false</LinksUpToDate>
  <CharactersWithSpaces>16200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2022-08-28T03:50:00Z</dcterms:created>
  <dc:creator>Administrator</dc:creator>
  <cp:lastModifiedBy>向毅</cp:lastModifiedBy>
  <cp:lastPrinted>2022-08-31T07:10:00Z</cp:lastPrinted>
  <dcterms:modified xsi:type="dcterms:W3CDTF">2024-12-20T09:38:06Z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