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垫江县事业单位登记事务中心</w:t>
      </w:r>
      <w:r>
        <w:rPr>
          <w:rFonts w:ascii="方正小标宋_GBK" w:hAnsi="方正小标宋_GBK" w:eastAsia="方正小标宋_GBK" w:cs="方正小标宋_GBK"/>
          <w:sz w:val="36"/>
          <w:szCs w:val="36"/>
          <w:shd w:val="clear" w:color="auto" w:fill="FFFFFF"/>
        </w:rPr>
        <w:t>2023年度决算公开说明</w:t>
      </w:r>
    </w:p>
    <w:p>
      <w:pPr>
        <w:widowControl w:val="0"/>
        <w:adjustRightInd w:val="0"/>
        <w:snapToGrid w:val="0"/>
        <w:spacing w:line="560" w:lineRule="exact"/>
        <w:rPr>
          <w:rFonts w:hint="default" w:ascii="方正黑体_GBK" w:hAnsi="方正黑体_GBK" w:eastAsia="方正黑体_GBK" w:cs="方正黑体_GBK"/>
          <w:sz w:val="32"/>
        </w:rPr>
      </w:pPr>
      <w:r>
        <w:rPr>
          <w:rFonts w:ascii="方正黑体_GBK" w:hAnsi="方正黑体_GBK" w:eastAsia="方正黑体_GBK" w:cs="方正黑体_GBK"/>
          <w:sz w:val="32"/>
        </w:rPr>
        <w:t>一、单位基本情况</w:t>
      </w:r>
    </w:p>
    <w:p>
      <w:pPr>
        <w:widowControl w:val="0"/>
        <w:adjustRightInd w:val="0"/>
        <w:snapToGrid w:val="0"/>
        <w:spacing w:line="560" w:lineRule="exact"/>
        <w:ind w:firstLine="640"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方正楷体_GBK" w:hAnsi="方正楷体_GBK" w:eastAsia="方正楷体_GBK" w:cs="方正楷体_GBK"/>
          <w:b w:val="0"/>
          <w:bCs/>
          <w:sz w:val="32"/>
          <w:szCs w:val="32"/>
          <w:shd w:val="clear" w:color="auto" w:fill="FFFFFF"/>
          <w:lang w:bidi="ar"/>
        </w:rPr>
        <w:t>（一）职能职责</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rPr>
        <w:t>1.负责管辖范围内事业单位登记管理事务工作，负责辖区内事业单位设立、变更、注销、补领登记事务工作；2.负责实施管辖范围内事业单位法人年度报告公示工作；3.参与事业单位法人公示信息抽查；4.负责管辖范围内事业单位登记数据统计、档案管理工作；5.负责管辖范围内事业单位登记管理的社会服务工作。</w:t>
      </w:r>
    </w:p>
    <w:p>
      <w:pPr>
        <w:spacing w:line="594" w:lineRule="exact"/>
        <w:ind w:firstLine="640" w:firstLineChars="200"/>
        <w:rPr>
          <w:rStyle w:val="10"/>
          <w:rFonts w:hint="default" w:ascii="方正楷体_GBK" w:hAnsi="方正楷体_GBK" w:eastAsia="方正楷体_GBK" w:cs="方正楷体_GBK"/>
          <w:b w:val="0"/>
          <w:bCs/>
          <w:sz w:val="32"/>
          <w:szCs w:val="32"/>
          <w:shd w:val="clear" w:color="auto" w:fill="FFFFFF"/>
          <w:lang w:bidi="ar"/>
        </w:rPr>
      </w:pPr>
      <w:r>
        <w:rPr>
          <w:rStyle w:val="10"/>
          <w:rFonts w:ascii="方正楷体_GBK" w:hAnsi="方正楷体_GBK" w:eastAsia="方正楷体_GBK" w:cs="方正楷体_GBK"/>
          <w:b w:val="0"/>
          <w:bCs/>
          <w:sz w:val="32"/>
          <w:szCs w:val="32"/>
          <w:shd w:val="clear" w:color="auto" w:fill="FFFFFF"/>
          <w:lang w:bidi="ar"/>
        </w:rPr>
        <w:t>（二）机构设置</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szCs w:val="32"/>
          <w:shd w:val="clear" w:color="auto" w:fill="FFFFFF"/>
        </w:rPr>
        <w:t> </w:t>
      </w:r>
      <w:r>
        <w:rPr>
          <w:rFonts w:ascii="Times New Roman" w:hAnsi="Times New Roman" w:eastAsia="方正仿宋_GBK"/>
          <w:sz w:val="32"/>
        </w:rPr>
        <w:t>根据以上职责，垫江县事业单位登记事务中心设1个内设机构：</w:t>
      </w:r>
    </w:p>
    <w:p>
      <w:pPr>
        <w:widowControl w:val="0"/>
        <w:adjustRightInd w:val="0"/>
        <w:snapToGrid w:val="0"/>
        <w:spacing w:line="560" w:lineRule="exact"/>
        <w:ind w:firstLine="640" w:firstLineChars="200"/>
        <w:rPr>
          <w:rFonts w:hint="default" w:ascii="Times New Roman" w:hAnsi="Times New Roman" w:eastAsia="方正仿宋_GBK"/>
          <w:sz w:val="32"/>
        </w:rPr>
      </w:pPr>
      <w:r>
        <w:rPr>
          <w:rFonts w:ascii="Times New Roman" w:hAnsi="Times New Roman" w:eastAsia="方正仿宋_GBK"/>
          <w:sz w:val="32"/>
        </w:rPr>
        <w:t>事业单位登记科：负责管辖范围内事业单位登记管理事务工作，负责辖区内事业单位设立、变更、注销、补领登记事务工作；负责实施管辖范围内事业单位法人年度报告公示工作；负责管辖范围内事业单位登记数据统计、档案管理工作。</w:t>
      </w:r>
    </w:p>
    <w:p>
      <w:pPr>
        <w:widowControl w:val="0"/>
        <w:adjustRightInd w:val="0"/>
        <w:snapToGrid w:val="0"/>
        <w:spacing w:line="560" w:lineRule="exact"/>
        <w:rPr>
          <w:rFonts w:hint="default" w:ascii="方正黑体_GBK" w:hAnsi="方正黑体_GBK" w:eastAsia="方正黑体_GBK" w:cs="方正黑体_GBK"/>
          <w:sz w:val="32"/>
        </w:rPr>
      </w:pPr>
      <w:r>
        <w:rPr>
          <w:rFonts w:ascii="方正黑体_GBK" w:hAnsi="方正黑体_GBK" w:eastAsia="方正黑体_GBK" w:cs="方正黑体_GBK"/>
          <w:sz w:val="32"/>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2023年度收入总计92.03万元，支出总计</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万元。收支较上年决算数增加22.66万元，增长32.67%，主要原因是人数增加。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2023年度收入合计92.03万元，较上年决算数增加22.66万元，增长32.67%，主要原因是人数增加。其中：财政拨款收入</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万元，较上年决算数增加22.66万元，增长32.67%，主要原因是人数增加。其中：基本支出</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万元，较上年决算数无增减，主要原因是无结转和结余。</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2023年度财政拨款收、支总计92.03万元。与2022年相比，财政拨款收、支总计各增加22.66万元，增长32.67%。主要原因是人数增加。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万元，较上年决算数增加22.66万元，增长32.67%。主要原因是人数增加。较年初预算数增加5.30万元，增长6.11%。主要原因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人数增加。此外，年初财政拨款结转和结余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万元，较上年决算数增加22.66万元，增长32.67%。主要原因是人数增加。较年初预算数增加5.30万元，增长6.11%。主要原因是人数增加。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70.44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76.54</w:t>
      </w:r>
      <w:r>
        <w:rPr>
          <w:rFonts w:ascii="方正仿宋_GBK" w:hAnsi="方正仿宋_GBK" w:eastAsia="方正仿宋_GBK" w:cs="方正仿宋_GBK"/>
          <w:sz w:val="32"/>
          <w:szCs w:val="32"/>
          <w:shd w:val="clear" w:color="auto" w:fill="FFFFFF"/>
        </w:rPr>
        <w:t>%，较年初预算数增加3.03万元，增长4.49%，主要原因是人数增加。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12.30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13.37</w:t>
      </w:r>
      <w:r>
        <w:rPr>
          <w:rFonts w:ascii="方正仿宋_GBK" w:hAnsi="方正仿宋_GBK" w:eastAsia="方正仿宋_GBK" w:cs="方正仿宋_GBK"/>
          <w:sz w:val="32"/>
          <w:szCs w:val="32"/>
          <w:shd w:val="clear" w:color="auto" w:fill="FFFFFF"/>
        </w:rPr>
        <w:t>%，较年初预算数增加1.90万元，增长18.27%，主要原因是人数增加。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5.37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5.84</w:t>
      </w:r>
      <w:r>
        <w:rPr>
          <w:rFonts w:ascii="方正仿宋_GBK" w:hAnsi="方正仿宋_GBK" w:eastAsia="方正仿宋_GBK" w:cs="方正仿宋_GBK"/>
          <w:sz w:val="32"/>
          <w:szCs w:val="32"/>
          <w:shd w:val="clear" w:color="auto" w:fill="FFFFFF"/>
        </w:rPr>
        <w:t>%，较年初预算数增加2.59万元，增长93.17%，主要原因是人数增加。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住房保障支出3.92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4.26</w:t>
      </w:r>
      <w:r>
        <w:rPr>
          <w:rFonts w:ascii="方正仿宋_GBK" w:hAnsi="方正仿宋_GBK" w:eastAsia="方正仿宋_GBK" w:cs="方正仿宋_GBK"/>
          <w:sz w:val="32"/>
          <w:szCs w:val="32"/>
          <w:shd w:val="clear" w:color="auto" w:fill="FFFFFF"/>
        </w:rPr>
        <w:t>%，较年初预算数减少2.00万元，下降33.78%，主要原因是</w:t>
      </w:r>
      <w:r>
        <w:rPr>
          <w:rFonts w:ascii="方正仿宋_GBK" w:hAnsi="方正仿宋_GBK" w:eastAsia="方正仿宋_GBK" w:cs="方正仿宋_GBK"/>
          <w:color w:val="FF0000"/>
          <w:sz w:val="32"/>
          <w:szCs w:val="32"/>
          <w:shd w:val="clear" w:color="auto" w:fill="FFFFFF"/>
        </w:rPr>
        <w:t>基数调整。</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92.03</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78.60</w:t>
      </w:r>
      <w:r>
        <w:rPr>
          <w:rFonts w:ascii="方正仿宋_GBK" w:hAnsi="方正仿宋_GBK" w:eastAsia="方正仿宋_GBK" w:cs="方正仿宋_GBK"/>
          <w:sz w:val="32"/>
          <w:szCs w:val="32"/>
          <w:shd w:val="clear" w:color="auto" w:fill="FFFFFF"/>
        </w:rPr>
        <w:t>万元，较上年决算数增加21.10万元，增长36.70%，主要原因是人数增加。人员经费用途主要包括</w:t>
      </w:r>
      <w:r>
        <w:rPr>
          <w:rFonts w:hint="default" w:ascii="方正仿宋_GBK" w:hAnsi="方正仿宋_GBK" w:eastAsia="方正仿宋_GBK" w:cs="方正仿宋_GBK"/>
          <w:sz w:val="32"/>
          <w:szCs w:val="32"/>
          <w:lang w:bidi="ar"/>
        </w:rPr>
        <w:t>基本工资、津贴补贴、奖金、社会保障缴费</w:t>
      </w:r>
      <w:r>
        <w:rPr>
          <w:rFonts w:ascii="方正仿宋_GBK" w:hAnsi="方正仿宋_GBK" w:eastAsia="方正仿宋_GBK" w:cs="方正仿宋_GBK"/>
          <w:sz w:val="32"/>
          <w:szCs w:val="32"/>
          <w:lang w:bidi="ar"/>
        </w:rPr>
        <w:t>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13.43</w:t>
      </w:r>
      <w:r>
        <w:rPr>
          <w:rFonts w:ascii="方正仿宋_GBK" w:hAnsi="方正仿宋_GBK" w:eastAsia="方正仿宋_GBK" w:cs="方正仿宋_GBK"/>
          <w:sz w:val="32"/>
          <w:szCs w:val="32"/>
          <w:shd w:val="clear" w:color="auto" w:fill="FFFFFF"/>
        </w:rPr>
        <w:t>万元，较上年决算数增加1.57万元，增长13.24%，主要原因是人数增加。公用经费用途主要包括</w:t>
      </w:r>
      <w:r>
        <w:rPr>
          <w:rFonts w:ascii="方正仿宋_GBK" w:hAnsi="方正仿宋_GBK" w:eastAsia="方正仿宋_GBK" w:cs="方正仿宋_GBK"/>
          <w:sz w:val="32"/>
          <w:szCs w:val="32"/>
          <w:lang w:bidi="ar"/>
        </w:rPr>
        <w:t>办公费、邮电费、差旅费、培训费、公务接待费、劳务费、工会经费、其他交通费用、其他商品和服务支出等</w:t>
      </w:r>
      <w:r>
        <w:rPr>
          <w:rFonts w:hint="default" w:ascii="Times New Roman" w:hAnsi="Times New Roman" w:eastAsia="方正仿宋_GBK"/>
          <w:sz w:val="32"/>
          <w:szCs w:val="32"/>
          <w:shd w:val="clear" w:color="auto" w:fill="FFFFFF"/>
          <w:lang w:bidi="ar"/>
        </w:rPr>
        <w:t>。</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14:textFill>
            <w14:solidFill>
              <w14:schemeClr w14:val="tx1"/>
            </w14:solidFill>
          </w14:textFill>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widowControl w:val="0"/>
        <w:adjustRightInd w:val="0"/>
        <w:snapToGrid w:val="0"/>
        <w:spacing w:line="560" w:lineRule="exact"/>
        <w:rPr>
          <w:rFonts w:hint="default" w:ascii="方正黑体_GBK" w:hAnsi="方正黑体_GBK" w:eastAsia="方正黑体_GBK" w:cs="方正黑体_GBK"/>
          <w:sz w:val="32"/>
        </w:rPr>
      </w:pPr>
      <w:r>
        <w:rPr>
          <w:rFonts w:ascii="方正黑体_GBK" w:hAnsi="方正黑体_GBK" w:eastAsia="方正黑体_GBK" w:cs="方正黑体_GBK"/>
          <w:sz w:val="32"/>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万元，较年初预算数无增减，主要原因是与上年持平。较上年支出数减少0.40万元，下降100.00%，主要原因是本年度未发生“三公”经费支出。</w:t>
      </w:r>
    </w:p>
    <w:p>
      <w:pPr>
        <w:pStyle w:val="11"/>
        <w:numPr>
          <w:ilvl w:val="0"/>
          <w:numId w:val="1"/>
        </w:numPr>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lang w:bidi="ar"/>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Cambria" w:hAnsi="Cambria" w:eastAsia="方正仿宋_GBK" w:cs="Cambria"/>
          <w:sz w:val="32"/>
          <w:szCs w:val="32"/>
          <w:shd w:val="clear" w:color="auto" w:fill="FFFFFF"/>
        </w:rPr>
        <w:t>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万元，无接待费用。费用支出较年初预算数无增减，主要原因是年初未预算“三公”经费。较上年支出数减少0.40万元，下降100.00%，主要原因是年初未预算“三公”经费。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万元，较上年决算数无增减，主要原因是与上年持平。本年度培训费支出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万元，较上年决算数无变化，主要原因是与上年持平。</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13.43</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lang w:bidi="ar"/>
        </w:rPr>
        <w:t>办公费、公务接待费、其他交通费用、工作餐费等</w:t>
      </w:r>
      <w:r>
        <w:rPr>
          <w:rFonts w:hint="default"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机关运行经费较上年支出数增加1.57万元，增长13.24%，主要原因是人数增加。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2023年度本单位政府采购支出总额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我单位无项</w:t>
      </w:r>
      <w:bookmarkStart w:id="0" w:name="_GoBack"/>
      <w:bookmarkEnd w:id="0"/>
      <w:r>
        <w:rPr>
          <w:rFonts w:hint="eastAsia" w:ascii="方正仿宋_GBK" w:hAnsi="方正仿宋_GBK" w:eastAsia="方正仿宋_GBK" w:cs="方正仿宋_GBK"/>
          <w:sz w:val="32"/>
          <w:szCs w:val="32"/>
          <w:shd w:val="clear" w:color="auto" w:fill="FFFFFF"/>
          <w:lang w:bidi="ar"/>
        </w:rPr>
        <w:t>目资金，故无自评情况。</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3"/>
        <w:rPr>
          <w:rFonts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3"/>
        <w:rPr>
          <w:rFonts w:ascii="方正仿宋_GBK" w:hAnsi="方正仿宋_GBK" w:eastAsia="方正仿宋_GBK" w:cs="方正仿宋_GBK"/>
          <w:sz w:val="32"/>
          <w:szCs w:val="32"/>
          <w:shd w:val="clear" w:color="auto" w:fill="FFFFFF"/>
          <w:lang w:bidi="ar"/>
        </w:rPr>
      </w:pPr>
      <w:r>
        <w:rPr>
          <w:rFonts w:hint="eastAsia" w:ascii="楷体" w:hAnsi="楷体" w:eastAsia="楷体" w:cs="楷体"/>
          <w:b/>
          <w:bCs/>
          <w:sz w:val="32"/>
          <w:szCs w:val="32"/>
          <w:shd w:val="clear" w:color="auto" w:fill="FFFFFF"/>
          <w:lang w:bidi="ar"/>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本单位决算公开信息反馈和联系方式：谭老师023-74525402</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公开单位：垫江县事业单位登记事务中心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70.44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92.03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公开单位：垫江县事业单位登记事务中心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垫江县事业单位登记事务中心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70.44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5.37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70.44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12.30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3.92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92.03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92.03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92.03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92.03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70.44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70.44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70.44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12.30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8.18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4.12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5.37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5.37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26.86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78.60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13.43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single" w:color="auto" w:sz="4" w:space="0"/>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垫江县事业单位登记事务中心</w:t>
            </w:r>
          </w:p>
        </w:tc>
        <w:tc>
          <w:tcPr>
            <w:tcW w:w="3822" w:type="dxa"/>
            <w:tcBorders>
              <w:top w:val="nil"/>
              <w:left w:val="nil"/>
              <w:bottom w:val="single" w:color="auto" w:sz="4" w:space="0"/>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single" w:color="auto" w:sz="4" w:space="0"/>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single" w:color="auto" w:sz="4" w:space="0"/>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single" w:color="auto" w:sz="4" w:space="0"/>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13.43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13.43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20 -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6D129BD"/>
    <w:multiLevelType w:val="singleLevel"/>
    <w:tmpl w:val="66D129BD"/>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iNGRjMDhmMGFlNmNhOTYyMDVlZjQ1OGExZjZkMzUifQ=="/>
  </w:docVars>
  <w:rsids>
    <w:rsidRoot w:val="00B03CCD"/>
    <w:rsid w:val="00550ABE"/>
    <w:rsid w:val="00606C3E"/>
    <w:rsid w:val="00724CBB"/>
    <w:rsid w:val="007B419D"/>
    <w:rsid w:val="0089127F"/>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8E06E9"/>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3A65C1"/>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CC2896"/>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spacing w:line="425" w:lineRule="atLeast"/>
      <w:ind w:firstLine="420"/>
      <w:textAlignment w:val="baseline"/>
    </w:pPr>
    <w:rPr>
      <w:rFonts w:ascii="Calibri" w:hAnsi="Calibri"/>
      <w:color w:val="000000"/>
      <w:sz w:val="21"/>
      <w:szCs w:val="22"/>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20</Pages>
  <Words>1802</Words>
  <Characters>10276</Characters>
  <Lines>85</Lines>
  <Paragraphs>24</Paragraphs>
  <TotalTime>1</TotalTime>
  <ScaleCrop>false</ScaleCrop>
  <LinksUpToDate>false</LinksUpToDate>
  <CharactersWithSpaces>12054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2024-09-11T06:17:11Z</dcterms:modified>
  <dc:title>垫江县事业单位登记事务中心2023年度决算公开说明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