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8D" w:rsidRDefault="00884A96">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中共垫江县委机构编制委员会办公室（本级）</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476B8D" w:rsidRDefault="00884A96">
      <w:pPr>
        <w:pStyle w:val="a7"/>
        <w:spacing w:before="0" w:beforeAutospacing="0" w:after="0" w:afterAutospacing="0" w:line="594" w:lineRule="exact"/>
        <w:rPr>
          <w:rFonts w:ascii="黑体" w:eastAsia="黑体" w:hAnsi="黑体" w:cs="黑体" w:hint="default"/>
          <w:sz w:val="32"/>
          <w:szCs w:val="32"/>
        </w:rPr>
      </w:pPr>
      <w:r>
        <w:rPr>
          <w:rStyle w:val="a8"/>
          <w:rFonts w:ascii="黑体" w:eastAsia="黑体" w:hAnsi="黑体" w:cs="黑体"/>
          <w:sz w:val="32"/>
          <w:szCs w:val="32"/>
          <w:shd w:val="clear" w:color="auto" w:fill="FFFFFF"/>
        </w:rPr>
        <w:t>一、</w:t>
      </w:r>
      <w:r w:rsidR="009F5AA1">
        <w:rPr>
          <w:rStyle w:val="a8"/>
          <w:rFonts w:ascii="黑体" w:eastAsia="黑体" w:hAnsi="黑体" w:cs="黑体"/>
          <w:sz w:val="32"/>
          <w:szCs w:val="32"/>
          <w:shd w:val="clear" w:color="auto" w:fill="FFFFFF"/>
        </w:rPr>
        <w:t>单位</w:t>
      </w:r>
      <w:r>
        <w:rPr>
          <w:rStyle w:val="a8"/>
          <w:rFonts w:ascii="黑体" w:eastAsia="黑体" w:hAnsi="黑体" w:cs="黑体"/>
          <w:sz w:val="32"/>
          <w:szCs w:val="32"/>
          <w:shd w:val="clear" w:color="auto" w:fill="FFFFFF"/>
        </w:rPr>
        <w:t>基本情况</w:t>
      </w:r>
    </w:p>
    <w:p w:rsidR="00476B8D" w:rsidRDefault="00884A96">
      <w:pPr>
        <w:pStyle w:val="a7"/>
        <w:spacing w:before="0" w:beforeAutospacing="0" w:after="0" w:afterAutospacing="0" w:line="594" w:lineRule="exact"/>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476B8D" w:rsidRDefault="00884A96">
      <w:pPr>
        <w:autoSpaceDE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贯彻执行中央、市委关于行政管理体制和机构改革、机构编制管理的方针政策、法规制度和决策部署。在县委编委领导下，负责全县党政群机关和事业单位的机构编制管理工作。</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根据市委的要求和部署，研究拟订全县行政管理体制和机构改革方案，审核县级党政机关，县人大、县政协、县监委机关，各民主党派、群团组织机关以及各乡镇（街道）的机构改革方案。审核以上各类机构的职能配置、内设机构和人员编制规定（以下简称</w:t>
      </w:r>
      <w:r>
        <w:rPr>
          <w:rFonts w:ascii="Times New Roman" w:eastAsia="方正仿宋_GBK" w:hAnsi="Times New Roman" w:hint="default"/>
          <w:sz w:val="32"/>
          <w:szCs w:val="32"/>
        </w:rPr>
        <w:t>“</w:t>
      </w:r>
      <w:r>
        <w:rPr>
          <w:rFonts w:ascii="Times New Roman" w:eastAsia="方正仿宋_GBK" w:hAnsi="Times New Roman" w:hint="default"/>
          <w:sz w:val="32"/>
          <w:szCs w:val="32"/>
        </w:rPr>
        <w:t>三定</w:t>
      </w:r>
      <w:r>
        <w:rPr>
          <w:rFonts w:ascii="Times New Roman" w:eastAsia="方正仿宋_GBK" w:hAnsi="Times New Roman" w:hint="default"/>
          <w:sz w:val="32"/>
          <w:szCs w:val="32"/>
        </w:rPr>
        <w:t>”</w:t>
      </w:r>
      <w:r>
        <w:rPr>
          <w:rFonts w:ascii="Times New Roman" w:eastAsia="方正仿宋_GBK" w:hAnsi="Times New Roman" w:hint="default"/>
          <w:sz w:val="32"/>
          <w:szCs w:val="32"/>
        </w:rPr>
        <w:t>规定）。</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负责拟订全县事业单位管理体制和机构改革方案，审核全县事业单位的改革方案及编制调整方案。</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协调县级各部门的职能配置及其调整，协调县级各部门之间、县级各部门与乡镇（街道）之间的职责分工。</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按照管理权限，审批、审核全县党政群机关和事业单位的机构设置、人员编制和领导职数。</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负责全县事业单位登记管理工作，对违反事业单位登记管理有关政策法规的情况进行调查，并提出处理意见。</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7.</w:t>
      </w:r>
      <w:r>
        <w:rPr>
          <w:rFonts w:ascii="Times New Roman" w:eastAsia="方正仿宋_GBK" w:hAnsi="Times New Roman" w:hint="default"/>
          <w:sz w:val="32"/>
          <w:szCs w:val="32"/>
        </w:rPr>
        <w:t>研究拟订全县党政群机关行政编制、专项编制和事业单位事业编制的分配方案，经县委机构编制委员会批准后组织实施并监督落实。</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8.</w:t>
      </w:r>
      <w:r>
        <w:rPr>
          <w:rFonts w:ascii="Times New Roman" w:eastAsia="方正仿宋_GBK" w:hAnsi="Times New Roman" w:hint="default"/>
          <w:sz w:val="32"/>
          <w:szCs w:val="32"/>
        </w:rPr>
        <w:t>调查研究全县行政管理体制和机构改革及机构编制管理情况，监督检查全县行政管理体制和机构改革及</w:t>
      </w:r>
      <w:r>
        <w:rPr>
          <w:rFonts w:ascii="Times New Roman" w:eastAsia="方正仿宋_GBK" w:hAnsi="Times New Roman" w:hint="default"/>
          <w:sz w:val="32"/>
          <w:szCs w:val="32"/>
        </w:rPr>
        <w:t>“</w:t>
      </w:r>
      <w:r>
        <w:rPr>
          <w:rFonts w:ascii="Times New Roman" w:eastAsia="方正仿宋_GBK" w:hAnsi="Times New Roman" w:hint="default"/>
          <w:sz w:val="32"/>
          <w:szCs w:val="32"/>
        </w:rPr>
        <w:t>三定</w:t>
      </w:r>
      <w:r>
        <w:rPr>
          <w:rFonts w:ascii="Times New Roman" w:eastAsia="方正仿宋_GBK" w:hAnsi="Times New Roman" w:hint="default"/>
          <w:sz w:val="32"/>
          <w:szCs w:val="32"/>
        </w:rPr>
        <w:t>”</w:t>
      </w:r>
      <w:r>
        <w:rPr>
          <w:rFonts w:ascii="Times New Roman" w:eastAsia="方正仿宋_GBK" w:hAnsi="Times New Roman" w:hint="default"/>
          <w:sz w:val="32"/>
          <w:szCs w:val="32"/>
        </w:rPr>
        <w:t>规定的执行情况。负责受理违反机构编制管理规定问题的举报，查处机构编制违法违纪行为。</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9.</w:t>
      </w:r>
      <w:r>
        <w:rPr>
          <w:rFonts w:ascii="Times New Roman" w:eastAsia="方正仿宋_GBK" w:hAnsi="Times New Roman" w:hint="default"/>
          <w:sz w:val="32"/>
          <w:szCs w:val="32"/>
        </w:rPr>
        <w:t>负责机构编制实名制管理和机构编制统计工作。负责全县机构编制系统信息化工作。负责机关群团统一社会信用代码赋码工作。承担党政机关、事业单位的网站开办审核、资格复核和网站标识管理等工作。</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10.</w:t>
      </w:r>
      <w:r>
        <w:rPr>
          <w:rFonts w:ascii="Times New Roman" w:eastAsia="方正仿宋_GBK" w:hAnsi="Times New Roman" w:hint="default"/>
          <w:sz w:val="32"/>
          <w:szCs w:val="32"/>
        </w:rPr>
        <w:t>负责县级议事协调机构设立审核工作。</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11.</w:t>
      </w:r>
      <w:r>
        <w:rPr>
          <w:rFonts w:ascii="Times New Roman" w:eastAsia="方正仿宋_GBK" w:hAnsi="Times New Roman" w:hint="default"/>
          <w:sz w:val="32"/>
          <w:szCs w:val="32"/>
        </w:rPr>
        <w:t>承担县委机构编制委员会的日常工作。</w:t>
      </w:r>
    </w:p>
    <w:p w:rsidR="00476B8D" w:rsidRDefault="00884A96">
      <w:pPr>
        <w:autoSpaceDE w:val="0"/>
        <w:spacing w:line="598" w:lineRule="exact"/>
        <w:ind w:firstLineChars="200" w:firstLine="640"/>
        <w:rPr>
          <w:rStyle w:val="a8"/>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rPr>
        <w:t>12.</w:t>
      </w:r>
      <w:r>
        <w:rPr>
          <w:rFonts w:ascii="Times New Roman" w:eastAsia="方正仿宋_GBK" w:hAnsi="Times New Roman" w:hint="default"/>
          <w:sz w:val="32"/>
          <w:szCs w:val="32"/>
        </w:rPr>
        <w:t>完成县委、县委机构编制委员会交办的其他任务。</w:t>
      </w:r>
    </w:p>
    <w:p w:rsidR="00476B8D" w:rsidRDefault="00884A96">
      <w:pPr>
        <w:spacing w:line="594" w:lineRule="exact"/>
        <w:ind w:firstLineChars="200" w:firstLine="643"/>
        <w:rPr>
          <w:rStyle w:val="a8"/>
          <w:rFonts w:ascii="方正楷体_GBK" w:eastAsia="方正楷体_GBK" w:hAnsi="方正楷体_GBK" w:cs="方正楷体_GBK" w:hint="default"/>
          <w:b w:val="0"/>
          <w:bCs/>
          <w:sz w:val="32"/>
          <w:szCs w:val="32"/>
          <w:shd w:val="clear" w:color="auto" w:fill="FFFFFF"/>
          <w:lang w:bidi="ar"/>
        </w:rPr>
      </w:pPr>
      <w:r>
        <w:rPr>
          <w:rStyle w:val="a8"/>
          <w:rFonts w:ascii="楷体" w:eastAsia="楷体" w:hAnsi="楷体" w:cs="楷体"/>
          <w:sz w:val="32"/>
          <w:szCs w:val="32"/>
          <w:shd w:val="clear" w:color="auto" w:fill="FFFFFF"/>
        </w:rPr>
        <w:t>（二</w:t>
      </w:r>
      <w:r>
        <w:rPr>
          <w:rStyle w:val="a8"/>
          <w:rFonts w:ascii="楷体" w:eastAsia="楷体" w:hAnsi="楷体" w:cs="楷体"/>
          <w:sz w:val="32"/>
          <w:szCs w:val="32"/>
          <w:shd w:val="clear" w:color="auto" w:fill="FFFFFF"/>
        </w:rPr>
        <w:t>）机构设置</w:t>
      </w:r>
    </w:p>
    <w:p w:rsidR="00476B8D" w:rsidRDefault="00884A96">
      <w:pPr>
        <w:autoSpaceDE w:val="0"/>
        <w:spacing w:line="59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本部门是县委工作机关，为正科级，是中共垫江县委机构编制委员会的办事机构，归口县委组织部管理。根据职责，本部门下设综合科、机构编制科、机构编制督查科（机构编制信访科）和事业单位登记管理科（县事业单位登记管理局）</w:t>
      </w:r>
      <w:r>
        <w:rPr>
          <w:rFonts w:ascii="Times New Roman" w:eastAsia="方正仿宋_GBK" w:hAnsi="Times New Roman" w:hint="default"/>
          <w:sz w:val="32"/>
          <w:szCs w:val="32"/>
        </w:rPr>
        <w:t>4</w:t>
      </w:r>
      <w:r>
        <w:rPr>
          <w:rFonts w:ascii="Times New Roman" w:eastAsia="方正仿宋_GBK" w:hAnsi="Times New Roman" w:hint="default"/>
          <w:sz w:val="32"/>
          <w:szCs w:val="32"/>
        </w:rPr>
        <w:t>个内设机构。核定行政编制</w:t>
      </w:r>
      <w:r>
        <w:rPr>
          <w:rFonts w:ascii="Times New Roman" w:eastAsia="方正仿宋_GBK" w:hAnsi="Times New Roman" w:hint="default"/>
          <w:sz w:val="32"/>
          <w:szCs w:val="32"/>
        </w:rPr>
        <w:t>8</w:t>
      </w:r>
      <w:r>
        <w:rPr>
          <w:rFonts w:ascii="Times New Roman" w:eastAsia="方正仿宋_GBK" w:hAnsi="Times New Roman" w:hint="default"/>
          <w:sz w:val="32"/>
          <w:szCs w:val="32"/>
        </w:rPr>
        <w:t>名。设主任１名，副主任</w:t>
      </w:r>
      <w:r>
        <w:rPr>
          <w:rFonts w:ascii="Times New Roman" w:eastAsia="方正仿宋_GBK" w:hAnsi="Times New Roman" w:hint="default"/>
          <w:sz w:val="32"/>
          <w:szCs w:val="32"/>
        </w:rPr>
        <w:t>2</w:t>
      </w:r>
      <w:r>
        <w:rPr>
          <w:rFonts w:ascii="Times New Roman" w:eastAsia="方正仿宋_GBK" w:hAnsi="Times New Roman" w:hint="default"/>
          <w:sz w:val="32"/>
          <w:szCs w:val="32"/>
        </w:rPr>
        <w:t>名；内设机构领导职数</w:t>
      </w:r>
      <w:r>
        <w:rPr>
          <w:rFonts w:ascii="Times New Roman" w:eastAsia="方正仿宋_GBK" w:hAnsi="Times New Roman" w:hint="default"/>
          <w:sz w:val="32"/>
          <w:szCs w:val="32"/>
        </w:rPr>
        <w:t>4</w:t>
      </w:r>
      <w:r>
        <w:rPr>
          <w:rFonts w:ascii="Times New Roman" w:eastAsia="方正仿宋_GBK" w:hAnsi="Times New Roman" w:hint="default"/>
          <w:sz w:val="32"/>
          <w:szCs w:val="32"/>
        </w:rPr>
        <w:t>名。</w:t>
      </w:r>
    </w:p>
    <w:p w:rsidR="00476B8D" w:rsidRDefault="00884A96">
      <w:pPr>
        <w:pStyle w:val="a7"/>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二、部门决算情况说明</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（一）收入支出决算总体情况说明。</w:t>
      </w:r>
    </w:p>
    <w:p w:rsidR="00476B8D" w:rsidRDefault="00884A96">
      <w:pPr>
        <w:pStyle w:val="a7"/>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w:t>
      </w:r>
      <w:r>
        <w:rPr>
          <w:rStyle w:val="a8"/>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120.37</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120.37</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15.10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11.15%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109.95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20.73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15.86%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109.95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10.43</w:t>
      </w:r>
      <w:r>
        <w:rPr>
          <w:rFonts w:ascii="方正仿宋_GBK" w:eastAsia="方正仿宋_GBK" w:hAnsi="方正仿宋_GBK" w:cs="方正仿宋_GBK"/>
          <w:sz w:val="32"/>
          <w:szCs w:val="32"/>
          <w:shd w:val="clear" w:color="auto" w:fill="FFFFFF"/>
        </w:rPr>
        <w:t>万元。</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119.95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15.10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99.47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82.93%</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20.48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17.07%</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0.43</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未使用结转结余资金</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120.37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15.10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11.15%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1.</w:t>
      </w:r>
      <w:r>
        <w:rPr>
          <w:rStyle w:val="a8"/>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109.95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20.73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15.86%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20.53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22.96%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机构改革重点工作项目经费增加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10.43</w:t>
      </w:r>
      <w:r>
        <w:rPr>
          <w:rFonts w:ascii="方正仿宋_GBK" w:eastAsia="方正仿宋_GBK" w:hAnsi="方正仿宋_GBK" w:cs="方正仿宋_GBK"/>
          <w:sz w:val="32"/>
          <w:szCs w:val="32"/>
          <w:shd w:val="clear" w:color="auto" w:fill="FFFFFF"/>
        </w:rPr>
        <w:t>万元。</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119.95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15.10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30.53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34.14%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机构改革重点工作项目经费增加</w:t>
      </w:r>
      <w:r>
        <w:rPr>
          <w:rFonts w:ascii="方正仿宋_GBK" w:eastAsia="方正仿宋_GBK" w:hAnsi="方正仿宋_GBK" w:cs="方正仿宋_GBK"/>
          <w:sz w:val="32"/>
          <w:szCs w:val="32"/>
          <w:shd w:val="clear" w:color="auto" w:fill="FFFFFF"/>
        </w:rPr>
        <w:t>。</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0.43</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未使用结转结余资金</w:t>
      </w:r>
      <w:r>
        <w:rPr>
          <w:rFonts w:ascii="方正仿宋_GBK" w:eastAsia="方正仿宋_GBK" w:hAnsi="方正仿宋_GBK" w:cs="方正仿宋_GBK"/>
          <w:sz w:val="32"/>
          <w:szCs w:val="32"/>
          <w:shd w:val="clear" w:color="auto" w:fill="FFFFFF"/>
        </w:rPr>
        <w:t>。</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4.</w:t>
      </w:r>
      <w:r>
        <w:rPr>
          <w:rStyle w:val="a8"/>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101.74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84.82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29.28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40.41%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机构改革重点工作经费支出增加</w:t>
      </w:r>
      <w:r>
        <w:rPr>
          <w:rFonts w:ascii="方正仿宋_GBK" w:eastAsia="方正仿宋_GBK" w:hAnsi="方正仿宋_GBK" w:cs="方正仿宋_GBK"/>
          <w:sz w:val="32"/>
          <w:szCs w:val="32"/>
          <w:shd w:val="clear" w:color="auto" w:fill="FFFFFF"/>
        </w:rPr>
        <w:t>。</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9.74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6.22%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基数调整</w:t>
      </w:r>
      <w:r>
        <w:rPr>
          <w:rFonts w:ascii="方正仿宋_GBK" w:eastAsia="方正仿宋_GBK" w:hAnsi="方正仿宋_GBK" w:cs="方正仿宋_GBK"/>
          <w:sz w:val="32"/>
          <w:szCs w:val="32"/>
          <w:shd w:val="clear" w:color="auto" w:fill="FFFFFF"/>
        </w:rPr>
        <w:t>。</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3.81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1.33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53.63%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本单位账号代下属参公单位支付部分医疗保险</w:t>
      </w:r>
      <w:r>
        <w:rPr>
          <w:rFonts w:ascii="方正仿宋_GBK" w:eastAsia="方正仿宋_GBK" w:hAnsi="方正仿宋_GBK" w:cs="方正仿宋_GBK"/>
          <w:sz w:val="32"/>
          <w:szCs w:val="32"/>
          <w:shd w:val="clear" w:color="auto" w:fill="FFFFFF"/>
        </w:rPr>
        <w:t>。</w:t>
      </w:r>
    </w:p>
    <w:p w:rsidR="00476B8D" w:rsidRDefault="00884A96">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4.66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3.89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0.46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8.98%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基数调整</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99.47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82.26</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4.37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5.04%</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default"/>
          <w:sz w:val="32"/>
          <w:szCs w:val="32"/>
          <w:lang w:bidi="ar"/>
        </w:rPr>
        <w:t>基本工资、津贴补贴、奖金、社会保障缴费</w:t>
      </w:r>
      <w:r>
        <w:rPr>
          <w:rFonts w:ascii="方正仿宋_GBK" w:eastAsia="方正仿宋_GBK" w:hAnsi="方正仿宋_GBK" w:cs="方正仿宋_GBK"/>
          <w:sz w:val="32"/>
          <w:szCs w:val="32"/>
          <w:lang w:bidi="ar"/>
        </w:rPr>
        <w:t>等</w:t>
      </w:r>
      <w:r>
        <w:rPr>
          <w:rFonts w:ascii="方正仿宋_GBK" w:eastAsia="方正仿宋_GBK" w:hAnsi="方正仿宋_GBK" w:cs="方正仿宋_GBK"/>
          <w:sz w:val="32"/>
          <w:szCs w:val="32"/>
          <w:shd w:val="clear" w:color="auto" w:fill="FFFFFF"/>
        </w:rPr>
        <w:t>。公</w:t>
      </w:r>
      <w:r>
        <w:rPr>
          <w:rFonts w:ascii="方正仿宋_GBK" w:eastAsia="方正仿宋_GBK" w:hAnsi="方正仿宋_GBK" w:cs="方正仿宋_GBK"/>
          <w:sz w:val="32"/>
          <w:szCs w:val="32"/>
          <w:shd w:val="clear" w:color="auto" w:fill="FFFFFF"/>
        </w:rPr>
        <w:t>用经费</w:t>
      </w:r>
      <w:r>
        <w:rPr>
          <w:rFonts w:ascii="方正仿宋_GBK" w:eastAsia="方正仿宋_GBK" w:hAnsi="方正仿宋_GBK" w:cs="方正仿宋_GBK"/>
          <w:sz w:val="32"/>
          <w:szCs w:val="32"/>
        </w:rPr>
        <w:t>17.21</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14.28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45.35%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lang w:bidi="ar"/>
        </w:rPr>
        <w:t>办公费、邮电费、差旅费、培训费、公务接待费、劳务费、工会经费、其他交通费用、其他商品和服务支出等</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476B8D" w:rsidRDefault="009F5AA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w:t>
      </w:r>
      <w:r w:rsidR="00884A96">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00884A96">
        <w:rPr>
          <w:rFonts w:ascii="方正仿宋_GBK" w:eastAsia="方正仿宋_GBK" w:hAnsi="方正仿宋_GBK" w:cs="方正仿宋_GBK"/>
          <w:sz w:val="32"/>
          <w:szCs w:val="32"/>
          <w:shd w:val="clear" w:color="auto" w:fill="FFFFFF"/>
        </w:rPr>
        <w:t>2023</w:t>
      </w:r>
      <w:r w:rsidR="00884A96">
        <w:rPr>
          <w:rFonts w:ascii="方正仿宋_GBK" w:eastAsia="方正仿宋_GBK" w:hAnsi="方正仿宋_GBK" w:cs="方正仿宋_GBK"/>
          <w:sz w:val="32"/>
          <w:szCs w:val="32"/>
          <w:shd w:val="clear" w:color="auto" w:fill="FFFFFF"/>
        </w:rPr>
        <w:t>年度无政府性基金预算财政拨款收支。</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476B8D" w:rsidRDefault="00884A96">
      <w:pPr>
        <w:pStyle w:val="a7"/>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（一）“三公”经费支出总体情况说明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0.79</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0.21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lang w:bidi="ar"/>
        </w:rPr>
        <w:t>严把预算关，按照能减就减的原则控制“三公”经</w:t>
      </w:r>
      <w:r>
        <w:rPr>
          <w:rFonts w:ascii="方正仿宋_GBK" w:eastAsia="方正仿宋_GBK" w:hAnsi="方正仿宋_GBK" w:cs="方正仿宋_GBK"/>
          <w:sz w:val="32"/>
          <w:szCs w:val="32"/>
          <w:shd w:val="clear" w:color="auto" w:fill="FFFFFF"/>
          <w:lang w:bidi="ar"/>
        </w:rPr>
        <w:t>费支出</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0.15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23.44%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机构改革重点工作接待事项增多</w:t>
      </w:r>
      <w:r>
        <w:rPr>
          <w:rFonts w:ascii="方正仿宋_GBK" w:eastAsia="方正仿宋_GBK" w:hAnsi="方正仿宋_GBK" w:cs="方正仿宋_GBK"/>
          <w:sz w:val="32"/>
          <w:szCs w:val="32"/>
          <w:shd w:val="clear" w:color="auto" w:fill="FFFFFF"/>
        </w:rPr>
        <w:t>。</w:t>
      </w:r>
    </w:p>
    <w:p w:rsidR="00476B8D" w:rsidRDefault="00884A96">
      <w:pPr>
        <w:pStyle w:val="1"/>
        <w:numPr>
          <w:ilvl w:val="0"/>
          <w:numId w:val="1"/>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“三公”经费分项支出情况</w:t>
      </w:r>
    </w:p>
    <w:p w:rsidR="009F5AA1" w:rsidRPr="002528F8" w:rsidRDefault="00884A96" w:rsidP="009F5AA1">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w:t>
      </w:r>
      <w:r w:rsidR="009F5AA1" w:rsidRPr="002528F8">
        <w:rPr>
          <w:rFonts w:ascii="方正仿宋_GBK" w:eastAsia="方正仿宋_GBK" w:hAnsi="方正仿宋_GBK" w:cs="方正仿宋_GBK"/>
          <w:sz w:val="32"/>
          <w:szCs w:val="32"/>
          <w:shd w:val="clear" w:color="auto" w:fill="FFFFFF"/>
        </w:rPr>
        <w:t>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9F5AA1" w:rsidRPr="002528F8" w:rsidRDefault="009F5AA1" w:rsidP="009F5AA1">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476B8D" w:rsidRDefault="009F5AA1" w:rsidP="009F5AA1">
      <w:pPr>
        <w:pStyle w:val="a7"/>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lang w:bidi="ar"/>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w:t>
      </w:r>
      <w:r>
        <w:rPr>
          <w:rFonts w:ascii="方正仿宋_GBK" w:eastAsia="方正仿宋_GBK" w:hAnsi="方正仿宋_GBK" w:cs="方正仿宋_GBK"/>
          <w:sz w:val="32"/>
          <w:szCs w:val="32"/>
          <w:shd w:val="clear" w:color="auto" w:fill="FFFFFF"/>
        </w:rPr>
        <w:t>务接待费</w:t>
      </w:r>
      <w:r>
        <w:rPr>
          <w:rFonts w:ascii="方正仿宋_GBK" w:eastAsia="方正仿宋_GBK" w:hAnsi="方正仿宋_GBK" w:cs="方正仿宋_GBK"/>
          <w:sz w:val="32"/>
          <w:szCs w:val="32"/>
        </w:rPr>
        <w:t>0.79</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lang w:bidi="ar"/>
        </w:rPr>
        <w:t>市委编办到我县开展机构编制管理评估工作</w:t>
      </w:r>
      <w:r>
        <w:rPr>
          <w:rFonts w:ascii="方正仿宋_GBK" w:eastAsia="方正仿宋_GBK" w:hAnsi="方正仿宋_GBK" w:cs="方正仿宋_GBK"/>
          <w:sz w:val="32"/>
          <w:szCs w:val="32"/>
          <w:shd w:val="clear" w:color="auto" w:fill="FFFFFF"/>
          <w:lang w:bidi="ar"/>
        </w:rPr>
        <w:t>、</w:t>
      </w:r>
      <w:r>
        <w:rPr>
          <w:rFonts w:ascii="方正仿宋_GBK" w:eastAsia="方正仿宋_GBK" w:hAnsi="方正仿宋_GBK" w:cs="方正仿宋_GBK"/>
          <w:sz w:val="32"/>
          <w:szCs w:val="32"/>
          <w:shd w:val="clear" w:color="auto" w:fill="FFFFFF"/>
          <w:lang w:bidi="ar"/>
        </w:rPr>
        <w:t>其他区县编办到我县调研</w:t>
      </w:r>
      <w:r>
        <w:rPr>
          <w:rFonts w:ascii="方正仿宋_GBK" w:eastAsia="方正仿宋_GBK" w:hAnsi="方正仿宋_GBK" w:cs="方正仿宋_GBK"/>
          <w:sz w:val="32"/>
          <w:szCs w:val="32"/>
          <w:shd w:val="clear" w:color="auto" w:fill="FFFFFF"/>
          <w:lang w:bidi="ar"/>
        </w:rPr>
        <w:t>的公务接待支出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0.21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21.00%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bCs/>
          <w:sz w:val="32"/>
          <w:szCs w:val="32"/>
        </w:rPr>
        <w:t>主</w:t>
      </w:r>
      <w:r>
        <w:rPr>
          <w:rFonts w:ascii="方正仿宋_GBK" w:eastAsia="方正仿宋_GBK" w:hAnsi="方正仿宋_GBK" w:cs="方正仿宋_GBK"/>
          <w:bCs/>
          <w:sz w:val="32"/>
          <w:szCs w:val="32"/>
        </w:rPr>
        <w:t>要原因是</w:t>
      </w:r>
      <w:r>
        <w:rPr>
          <w:rFonts w:ascii="方正仿宋_GBK" w:eastAsia="方正仿宋_GBK" w:hAnsi="方正仿宋_GBK" w:cs="方正仿宋_GBK"/>
          <w:sz w:val="32"/>
          <w:szCs w:val="32"/>
          <w:shd w:val="clear" w:color="auto" w:fill="FFFFFF"/>
          <w:lang w:bidi="ar"/>
        </w:rPr>
        <w:t>本部门严把预算关，按照能减就减的原</w:t>
      </w:r>
      <w:r>
        <w:rPr>
          <w:rFonts w:ascii="方正仿宋_GBK" w:eastAsia="方正仿宋_GBK" w:hAnsi="方正仿宋_GBK" w:cs="方正仿宋_GBK"/>
          <w:sz w:val="32"/>
          <w:szCs w:val="32"/>
          <w:shd w:val="clear" w:color="auto" w:fill="FFFFFF"/>
          <w:lang w:bidi="ar"/>
        </w:rPr>
        <w:lastRenderedPageBreak/>
        <w:t>则控制“三公”经费支出</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0.15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23.44%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机构改革重点工作接待数增加</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22</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73.55</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476B8D" w:rsidRDefault="00884A96">
      <w:pPr>
        <w:pStyle w:val="a7"/>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0.24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t>因是</w:t>
      </w:r>
      <w:r>
        <w:rPr>
          <w:rFonts w:ascii="方正仿宋_GBK" w:eastAsia="方正仿宋_GBK" w:hAnsi="方正仿宋_GBK" w:cs="方正仿宋_GBK"/>
          <w:sz w:val="32"/>
          <w:szCs w:val="32"/>
        </w:rPr>
        <w:t>本年</w:t>
      </w:r>
      <w:r>
        <w:rPr>
          <w:rFonts w:ascii="方正仿宋_GBK" w:eastAsia="方正仿宋_GBK" w:hAnsi="方正仿宋_GBK" w:cs="方正仿宋_GBK" w:hint="default"/>
          <w:sz w:val="32"/>
          <w:szCs w:val="32"/>
        </w:rPr>
        <w:t>未发生会议费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万元，较上年决算数无变化，主要原因是</w:t>
      </w:r>
      <w:r>
        <w:rPr>
          <w:rFonts w:ascii="方正仿宋_GBK" w:eastAsia="方正仿宋_GBK" w:hAnsi="方正仿宋_GBK" w:cs="方正仿宋_GBK" w:hint="default"/>
          <w:sz w:val="32"/>
          <w:szCs w:val="32"/>
        </w:rPr>
        <w:t>单位未发生培训费</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17.21</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lang w:bidi="ar"/>
        </w:rPr>
        <w:t>办公费、公务接待费、其他交通费用、</w:t>
      </w:r>
      <w:r>
        <w:rPr>
          <w:rFonts w:ascii="方正仿宋_GBK" w:eastAsia="方正仿宋_GBK" w:hAnsi="方正仿宋_GBK" w:cs="方正仿宋_GBK"/>
          <w:sz w:val="32"/>
          <w:szCs w:val="32"/>
          <w:lang w:bidi="ar"/>
        </w:rPr>
        <w:t>工作餐费等</w:t>
      </w:r>
      <w:r>
        <w:rPr>
          <w:rFonts w:ascii="方正仿宋_GBK" w:eastAsia="方正仿宋_GBK" w:hAnsi="方正仿宋_GBK" w:cs="方正仿宋_GBK"/>
          <w:sz w:val="32"/>
          <w:szCs w:val="32"/>
          <w:shd w:val="clear" w:color="auto" w:fill="FFFFFF"/>
        </w:rPr>
        <w:t>。机关运行经费较上年支出数减少</w:t>
      </w:r>
      <w:r>
        <w:rPr>
          <w:rFonts w:ascii="方正仿宋_GBK" w:eastAsia="方正仿宋_GBK" w:hAnsi="方正仿宋_GBK" w:cs="方正仿宋_GBK"/>
          <w:sz w:val="32"/>
          <w:szCs w:val="32"/>
          <w:shd w:val="clear" w:color="auto" w:fill="FFFFFF"/>
        </w:rPr>
        <w:t>14.28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45.35%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人员减少</w:t>
      </w:r>
      <w:r>
        <w:rPr>
          <w:rFonts w:ascii="方正仿宋_GBK" w:eastAsia="方正仿宋_GBK" w:hAnsi="方正仿宋_GBK" w:cs="方正仿宋_GBK"/>
          <w:sz w:val="32"/>
          <w:szCs w:val="32"/>
          <w:shd w:val="clear" w:color="auto" w:fill="FFFFFF"/>
        </w:rPr>
        <w:t>。</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476B8D" w:rsidRDefault="00884A9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476B8D" w:rsidRDefault="00884A96">
      <w:pPr>
        <w:pStyle w:val="a7"/>
        <w:numPr>
          <w:ilvl w:val="0"/>
          <w:numId w:val="2"/>
        </w:numPr>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476B8D" w:rsidRDefault="00884A96">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w:t>
      </w:r>
      <w:r>
        <w:rPr>
          <w:rFonts w:ascii="方正仿宋_GBK" w:eastAsia="方正仿宋_GBK" w:hAnsi="方正仿宋_GBK" w:cs="方正仿宋_GBK" w:hint="eastAsia"/>
          <w:sz w:val="32"/>
          <w:szCs w:val="32"/>
          <w:shd w:val="clear" w:color="auto" w:fill="FFFFFF"/>
          <w:lang w:bidi="ar"/>
        </w:rPr>
        <w:t>2</w:t>
      </w:r>
      <w:r>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Pr>
          <w:rFonts w:ascii="方正仿宋_GBK" w:eastAsia="方正仿宋_GBK" w:hAnsi="方正仿宋_GBK" w:cs="方正仿宋_GBK" w:hint="eastAsia"/>
          <w:sz w:val="32"/>
          <w:szCs w:val="32"/>
          <w:shd w:val="clear" w:color="auto" w:fill="FFFFFF"/>
          <w:lang w:bidi="ar"/>
        </w:rPr>
        <w:t>20.48</w:t>
      </w:r>
      <w:r>
        <w:rPr>
          <w:rFonts w:ascii="方正仿宋_GBK" w:eastAsia="方正仿宋_GBK" w:hAnsi="方正仿宋_GBK" w:cs="方正仿宋_GBK" w:hint="eastAsia"/>
          <w:sz w:val="32"/>
          <w:szCs w:val="32"/>
          <w:shd w:val="clear" w:color="auto" w:fill="FFFFFF"/>
          <w:lang w:bidi="ar"/>
        </w:rPr>
        <w:t>万元</w:t>
      </w:r>
    </w:p>
    <w:p w:rsidR="00476B8D" w:rsidRDefault="00884A96">
      <w:pPr>
        <w:pStyle w:val="Char"/>
        <w:autoSpaceDE w:val="0"/>
        <w:spacing w:before="0" w:beforeAutospacing="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noProof/>
          <w:sz w:val="32"/>
          <w:szCs w:val="32"/>
          <w:highlight w:val="yellow"/>
          <w:shd w:val="clear" w:color="auto" w:fill="FFFFFF"/>
        </w:rPr>
        <w:drawing>
          <wp:inline distT="0" distB="0" distL="114300" distR="114300">
            <wp:extent cx="5236845" cy="2188845"/>
            <wp:effectExtent l="0" t="0" r="1905" b="1905"/>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8"/>
                    <a:stretch>
                      <a:fillRect/>
                    </a:stretch>
                  </pic:blipFill>
                  <pic:spPr>
                    <a:xfrm>
                      <a:off x="0" y="0"/>
                      <a:ext cx="5236845" cy="2188845"/>
                    </a:xfrm>
                    <a:prstGeom prst="rect">
                      <a:avLst/>
                    </a:prstGeom>
                  </pic:spPr>
                </pic:pic>
              </a:graphicData>
            </a:graphic>
          </wp:inline>
        </w:drawing>
      </w:r>
    </w:p>
    <w:p w:rsidR="00476B8D" w:rsidRDefault="00884A96">
      <w:pPr>
        <w:pStyle w:val="Char"/>
        <w:autoSpaceDE w:val="0"/>
        <w:spacing w:before="0" w:beforeAutospacing="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noProof/>
          <w:sz w:val="32"/>
          <w:szCs w:val="32"/>
          <w:highlight w:val="yellow"/>
          <w:shd w:val="clear" w:color="auto" w:fill="FFFFFF"/>
        </w:rPr>
        <w:lastRenderedPageBreak/>
        <w:drawing>
          <wp:inline distT="0" distB="0" distL="114300" distR="114300">
            <wp:extent cx="5257800" cy="1876425"/>
            <wp:effectExtent l="0" t="0" r="0" b="952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9"/>
                    <a:stretch>
                      <a:fillRect/>
                    </a:stretch>
                  </pic:blipFill>
                  <pic:spPr>
                    <a:xfrm>
                      <a:off x="0" y="0"/>
                      <a:ext cx="5257800" cy="1876425"/>
                    </a:xfrm>
                    <a:prstGeom prst="rect">
                      <a:avLst/>
                    </a:prstGeom>
                  </pic:spPr>
                </pic:pic>
              </a:graphicData>
            </a:graphic>
          </wp:inline>
        </w:drawing>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476B8D" w:rsidRDefault="00884A96">
      <w:pPr>
        <w:pStyle w:val="1"/>
        <w:autoSpaceDE w:val="0"/>
        <w:ind w:firstLine="640"/>
        <w:rPr>
          <w:rFonts w:ascii="楷体" w:eastAsia="楷体" w:hAnsi="楷体" w:cs="楷体"/>
          <w:sz w:val="32"/>
          <w:szCs w:val="32"/>
          <w:shd w:val="clear" w:color="auto" w:fill="FFFFFF"/>
          <w:lang w:bidi="ar"/>
        </w:rPr>
      </w:pPr>
      <w:r>
        <w:rPr>
          <w:rFonts w:ascii="楷体" w:eastAsia="楷体" w:hAnsi="楷体" w:cs="楷体" w:hint="eastAsia"/>
          <w:sz w:val="32"/>
          <w:szCs w:val="32"/>
          <w:shd w:val="clear" w:color="auto" w:fill="FFFFFF"/>
          <w:lang w:bidi="ar"/>
        </w:rPr>
        <w:t>我单位未组织开展绩效评价。</w:t>
      </w:r>
    </w:p>
    <w:p w:rsidR="00476B8D" w:rsidRDefault="00884A96">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476B8D" w:rsidRDefault="00884A96">
      <w:pPr>
        <w:pStyle w:val="1"/>
        <w:autoSpaceDE w:val="0"/>
        <w:ind w:firstLine="640"/>
        <w:rPr>
          <w:rFonts w:ascii="楷体" w:eastAsia="楷体" w:hAnsi="楷体" w:cs="楷体"/>
          <w:sz w:val="32"/>
          <w:szCs w:val="32"/>
          <w:shd w:val="clear" w:color="auto" w:fill="FFFFFF"/>
          <w:lang w:bidi="ar"/>
        </w:rPr>
      </w:pPr>
      <w:r>
        <w:rPr>
          <w:rFonts w:ascii="楷体" w:eastAsia="楷体" w:hAnsi="楷体" w:cs="楷体" w:hint="eastAsia"/>
          <w:sz w:val="32"/>
          <w:szCs w:val="32"/>
          <w:shd w:val="clear" w:color="auto" w:fill="FFFFFF"/>
          <w:lang w:bidi="ar"/>
        </w:rPr>
        <w:t>县财政局未委托第三方对我单位开展绩效评价。</w:t>
      </w:r>
    </w:p>
    <w:p w:rsidR="00476B8D" w:rsidRDefault="00884A96">
      <w:pPr>
        <w:pStyle w:val="a7"/>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w:t>
      </w:r>
      <w:r>
        <w:rPr>
          <w:rFonts w:ascii="方正仿宋_GBK" w:eastAsia="方正仿宋_GBK" w:hAnsi="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 </w:t>
      </w:r>
      <w:r>
        <w:rPr>
          <w:rStyle w:val="a8"/>
          <w:rFonts w:ascii="楷体" w:eastAsia="楷体" w:hAnsi="楷体" w:cs="楷体"/>
          <w:sz w:val="32"/>
          <w:szCs w:val="32"/>
          <w:shd w:val="clear" w:color="auto" w:fill="FFFFFF"/>
        </w:rPr>
        <w:t>（十六）对个人</w:t>
      </w:r>
      <w:r>
        <w:rPr>
          <w:rStyle w:val="a8"/>
          <w:rFonts w:ascii="楷体" w:eastAsia="楷体" w:hAnsi="楷体" w:cs="楷体"/>
          <w:sz w:val="32"/>
          <w:szCs w:val="32"/>
          <w:shd w:val="clear" w:color="auto" w:fill="FFFFFF"/>
        </w:rPr>
        <w:t>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76B8D" w:rsidRDefault="00884A9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76B8D" w:rsidRDefault="00884A96">
      <w:pPr>
        <w:pStyle w:val="a7"/>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w:t>
      </w:r>
      <w:r>
        <w:rPr>
          <w:rStyle w:val="a8"/>
          <w:rFonts w:ascii="黑体" w:eastAsia="黑体" w:hAnsi="黑体" w:cs="黑体"/>
          <w:sz w:val="32"/>
          <w:szCs w:val="32"/>
          <w:shd w:val="clear" w:color="auto" w:fill="FFFFFF"/>
        </w:rPr>
        <w:t>馈渠道</w:t>
      </w:r>
    </w:p>
    <w:p w:rsidR="00476B8D" w:rsidRDefault="00884A96">
      <w:pPr>
        <w:pStyle w:val="1"/>
        <w:autoSpaceDE w:val="0"/>
        <w:ind w:firstLineChars="0" w:firstLine="0"/>
        <w:rPr>
          <w:rStyle w:val="a8"/>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谭老师</w:t>
      </w:r>
      <w:r>
        <w:rPr>
          <w:rFonts w:ascii="方正仿宋_GBK" w:eastAsia="方正仿宋_GBK" w:hAnsi="方正仿宋_GBK" w:cs="方正仿宋_GBK" w:hint="eastAsia"/>
          <w:sz w:val="32"/>
          <w:szCs w:val="32"/>
          <w:shd w:val="clear" w:color="auto" w:fill="FFFFFF"/>
        </w:rPr>
        <w:t>023-</w:t>
      </w:r>
      <w:r>
        <w:rPr>
          <w:rFonts w:ascii="方正仿宋_GBK" w:eastAsia="方正仿宋_GBK" w:hAnsi="方正仿宋_GBK" w:cs="方正仿宋_GBK" w:hint="eastAsia"/>
          <w:sz w:val="32"/>
          <w:szCs w:val="32"/>
          <w:shd w:val="clear" w:color="auto" w:fill="FFFFFF"/>
        </w:rPr>
        <w:t>74525402</w:t>
      </w:r>
      <w:r>
        <w:rPr>
          <w:rFonts w:ascii="方正仿宋_GBK" w:eastAsia="方正仿宋_GBK" w:hAnsi="方正仿宋_GBK" w:cs="方正仿宋_GBK" w:hint="eastAsia"/>
          <w:sz w:val="32"/>
          <w:szCs w:val="32"/>
          <w:shd w:val="clear" w:color="auto" w:fill="FFFFFF"/>
        </w:rPr>
        <w:t>。</w:t>
      </w:r>
    </w:p>
    <w:p w:rsidR="00476B8D" w:rsidRDefault="00476B8D">
      <w:pPr>
        <w:pStyle w:val="1"/>
        <w:autoSpaceDE w:val="0"/>
        <w:ind w:firstLineChars="0" w:firstLine="0"/>
        <w:rPr>
          <w:rStyle w:val="a8"/>
          <w:rFonts w:ascii="方正仿宋_GBK" w:eastAsia="方正仿宋_GBK" w:hAnsi="方正仿宋_GBK" w:cs="方正仿宋_GBK"/>
          <w:sz w:val="32"/>
          <w:szCs w:val="32"/>
          <w:shd w:val="clear" w:color="auto" w:fill="FFFF00"/>
        </w:rPr>
      </w:pPr>
    </w:p>
    <w:p w:rsidR="00476B8D" w:rsidRDefault="00476B8D">
      <w:pPr>
        <w:pStyle w:val="1"/>
        <w:autoSpaceDE w:val="0"/>
        <w:ind w:firstLineChars="0" w:firstLine="0"/>
        <w:rPr>
          <w:rStyle w:val="a8"/>
          <w:rFonts w:ascii="方正仿宋_GBK" w:eastAsia="方正仿宋_GBK" w:hAnsi="方正仿宋_GBK" w:cs="方正仿宋_GBK"/>
          <w:sz w:val="32"/>
          <w:szCs w:val="32"/>
          <w:shd w:val="clear" w:color="auto" w:fill="FFFF00"/>
        </w:rPr>
      </w:pPr>
    </w:p>
    <w:p w:rsidR="00476B8D" w:rsidRDefault="00476B8D">
      <w:pPr>
        <w:pStyle w:val="1"/>
        <w:autoSpaceDE w:val="0"/>
        <w:ind w:firstLineChars="0" w:firstLine="0"/>
        <w:rPr>
          <w:rStyle w:val="a8"/>
          <w:rFonts w:ascii="方正仿宋_GBK" w:eastAsia="方正仿宋_GBK" w:hAnsi="方正仿宋_GBK" w:cs="方正仿宋_GBK"/>
          <w:sz w:val="32"/>
          <w:szCs w:val="32"/>
          <w:shd w:val="clear" w:color="auto" w:fill="FFFF00"/>
        </w:rPr>
        <w:sectPr w:rsidR="00476B8D">
          <w:footerReference w:type="default" r:id="rId10"/>
          <w:pgSz w:w="11915" w:h="16840"/>
          <w:pgMar w:top="1440" w:right="1800" w:bottom="1440" w:left="1800" w:header="851" w:footer="992" w:gutter="0"/>
          <w:pgNumType w:fmt="numberInDash"/>
          <w:cols w:space="720"/>
          <w:docGrid w:type="lines" w:linePitch="312"/>
        </w:sectPr>
      </w:pPr>
    </w:p>
    <w:p w:rsidR="00476B8D" w:rsidRDefault="00476B8D">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476B8D">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476B8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476B8D">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76B8D" w:rsidRDefault="00884A96">
            <w:pPr>
              <w:textAlignment w:val="bottom"/>
              <w:rPr>
                <w:rFonts w:cs="宋体" w:hint="default"/>
                <w:color w:val="000000"/>
              </w:rPr>
            </w:pPr>
            <w:r>
              <w:rPr>
                <w:rFonts w:cs="宋体"/>
              </w:rPr>
              <w:t>公开单位</w:t>
            </w:r>
            <w:r>
              <w:rPr>
                <w:rFonts w:cs="宋体"/>
              </w:rPr>
              <w:t>：</w:t>
            </w:r>
            <w:r>
              <w:rPr>
                <w:rFonts w:cs="宋体"/>
              </w:rPr>
              <w:t>中共垫江县委机构编制委员会办公室（本级）</w:t>
            </w:r>
          </w:p>
        </w:tc>
        <w:tc>
          <w:tcPr>
            <w:tcW w:w="4358" w:type="dxa"/>
            <w:tcBorders>
              <w:top w:val="nil"/>
              <w:left w:val="nil"/>
              <w:bottom w:val="nil"/>
              <w:right w:val="nil"/>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支出</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109.95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101.74</w:t>
            </w: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9.74</w:t>
            </w: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3.81</w:t>
            </w: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4.66</w:t>
            </w: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109.95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119.95</w:t>
            </w: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r>
      <w:tr w:rsidR="00476B8D">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120.37</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0"/>
                <w:szCs w:val="20"/>
              </w:rPr>
            </w:pPr>
            <w:r>
              <w:rPr>
                <w:rFonts w:cs="宋体"/>
                <w:color w:val="000000"/>
                <w:sz w:val="21"/>
                <w:szCs w:val="21"/>
                <w:lang w:bidi="ar"/>
              </w:rPr>
              <w:t>120.37</w:t>
            </w:r>
            <w:r>
              <w:rPr>
                <w:rFonts w:cs="宋体"/>
                <w:color w:val="000000"/>
                <w:sz w:val="21"/>
                <w:szCs w:val="21"/>
                <w:lang w:bidi="ar"/>
              </w:rPr>
              <w:t xml:space="preserve"> </w:t>
            </w:r>
          </w:p>
        </w:tc>
      </w:tr>
    </w:tbl>
    <w:p w:rsidR="00476B8D" w:rsidRDefault="00884A96">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884A96">
      <w:pPr>
        <w:rPr>
          <w:rFonts w:cs="宋体" w:hint="default"/>
          <w:sz w:val="21"/>
          <w:szCs w:val="21"/>
          <w:lang w:bidi="ar"/>
        </w:rPr>
      </w:pPr>
      <w:r>
        <w:rPr>
          <w:rFonts w:cs="宋体"/>
          <w:sz w:val="21"/>
          <w:szCs w:val="21"/>
          <w:lang w:bidi="ar"/>
        </w:rPr>
        <w:br w:type="page"/>
      </w:r>
    </w:p>
    <w:p w:rsidR="00476B8D" w:rsidRDefault="00476B8D">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476B8D">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t>收入决算表</w:t>
            </w:r>
          </w:p>
        </w:tc>
      </w:tr>
      <w:tr w:rsidR="00476B8D">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2"/>
                <w:szCs w:val="22"/>
              </w:rPr>
            </w:pPr>
            <w:r>
              <w:rPr>
                <w:rFonts w:cs="宋体"/>
              </w:rPr>
              <w:t>公开单位</w:t>
            </w:r>
            <w:r>
              <w:rPr>
                <w:rFonts w:cs="宋体"/>
              </w:rPr>
              <w:t>：</w:t>
            </w:r>
            <w:r>
              <w:rPr>
                <w:rFonts w:cs="宋体"/>
              </w:rPr>
              <w:t>中共垫江县委机构编制委员会办公室（本级）</w:t>
            </w:r>
          </w:p>
        </w:tc>
        <w:tc>
          <w:tcPr>
            <w:tcW w:w="241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476B8D">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476B8D" w:rsidRDefault="00884A96">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884A96">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其他收入</w:t>
            </w:r>
          </w:p>
        </w:tc>
      </w:tr>
      <w:tr w:rsidR="00476B8D">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109.95</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109.95</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91.74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91.74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13.48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13.48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2013105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专项业务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13.48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13.48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组织事务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78.26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78.26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78.26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78.26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6.51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6.51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3.23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3.23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3.81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3.81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4.66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4.66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76B8D" w:rsidRDefault="00884A96">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476B8D" w:rsidRDefault="00884A96">
      <w:pPr>
        <w:rPr>
          <w:rFonts w:cs="宋体" w:hint="default"/>
          <w:sz w:val="21"/>
          <w:szCs w:val="21"/>
          <w:lang w:bidi="ar"/>
        </w:rPr>
      </w:pPr>
      <w:r>
        <w:rPr>
          <w:rFonts w:cs="宋体"/>
          <w:sz w:val="21"/>
          <w:szCs w:val="21"/>
          <w:lang w:bidi="ar"/>
        </w:rPr>
        <w:br w:type="page"/>
      </w:r>
    </w:p>
    <w:p w:rsidR="00476B8D" w:rsidRDefault="00476B8D">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476B8D">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t>支出决算表</w:t>
            </w:r>
          </w:p>
        </w:tc>
      </w:tr>
      <w:tr w:rsidR="00476B8D">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476B8D">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884A96">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476B8D">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119.95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99.47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20.48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101.74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81.26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20.48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2013105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专项业务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20.48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20.48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组织事务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81.26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81.26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81.26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81.26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6.51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6.51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3.23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3.23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3.81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b/>
                <w:color w:val="000000"/>
                <w:sz w:val="21"/>
                <w:szCs w:val="21"/>
                <w:lang w:bidi="ar"/>
              </w:rPr>
              <w:t>4.66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76B8D">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4.66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4.66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76B8D" w:rsidRDefault="00884A96">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884A96">
      <w:pPr>
        <w:rPr>
          <w:rFonts w:cs="宋体" w:hint="default"/>
          <w:sz w:val="21"/>
          <w:szCs w:val="21"/>
          <w:lang w:bidi="ar"/>
        </w:rPr>
      </w:pPr>
      <w:r>
        <w:rPr>
          <w:rFonts w:cs="宋体"/>
          <w:sz w:val="21"/>
          <w:szCs w:val="21"/>
          <w:lang w:bidi="ar"/>
        </w:rPr>
        <w:br w:type="page"/>
      </w:r>
    </w:p>
    <w:p w:rsidR="00476B8D" w:rsidRDefault="00476B8D">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476B8D">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476B8D">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37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476B8D">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476B8D">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r>
      <w:tr w:rsidR="00476B8D">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109.95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101.74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101.74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9.74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9.74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3.81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3.81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4.66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4.66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109.95</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119.95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119.95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10.43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120.37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0"/>
                <w:szCs w:val="20"/>
              </w:rPr>
            </w:pPr>
            <w:r>
              <w:rPr>
                <w:rFonts w:cs="宋体"/>
                <w:color w:val="000000"/>
                <w:sz w:val="21"/>
                <w:szCs w:val="21"/>
                <w:lang w:bidi="ar"/>
              </w:rPr>
              <w:t>120.37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0"/>
                <w:szCs w:val="20"/>
              </w:rPr>
            </w:pPr>
            <w:r>
              <w:rPr>
                <w:rFonts w:cs="宋体"/>
                <w:color w:val="000000"/>
                <w:sz w:val="21"/>
                <w:szCs w:val="21"/>
                <w:lang w:bidi="ar"/>
              </w:rPr>
              <w:t>120.37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476B8D" w:rsidRDefault="00884A96">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884A96">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476B8D">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476B8D">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481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476B8D">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本年支出</w:t>
            </w:r>
          </w:p>
        </w:tc>
      </w:tr>
      <w:tr w:rsidR="00476B8D">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项目支出</w:t>
            </w:r>
          </w:p>
        </w:tc>
      </w:tr>
      <w:tr w:rsidR="00476B8D">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119.95</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99.47</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20.48</w:t>
            </w:r>
            <w:r>
              <w:rPr>
                <w:rFonts w:cs="宋体"/>
                <w:b/>
                <w:bCs/>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101.74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81.26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20.48</w:t>
            </w:r>
            <w:r>
              <w:rPr>
                <w:rFonts w:cs="宋体"/>
                <w:b/>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2013105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专项业务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20.48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20.48</w:t>
            </w: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20132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组织事务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81.26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81.26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2013201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81.26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81.26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9.74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9.74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9.74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9.74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6.51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6.51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3.23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3.23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3.81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3.81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3.81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3.81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3.81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3.81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4.66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4.66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4.66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color w:val="000000"/>
                <w:sz w:val="21"/>
                <w:szCs w:val="21"/>
                <w:lang w:bidi="ar"/>
              </w:rPr>
              <w:t>4.66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76B8D">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4.66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4.66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476B8D" w:rsidRDefault="00884A96">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884A96">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476B8D">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476B8D">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282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476B8D">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公用经费</w:t>
            </w:r>
          </w:p>
        </w:tc>
      </w:tr>
      <w:tr w:rsidR="00476B8D">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金额</w:t>
            </w:r>
          </w:p>
        </w:tc>
      </w:tr>
      <w:tr w:rsidR="00476B8D">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82.26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17.21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17.47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13.82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30.42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6.51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3.23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3.81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2.49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4.66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1.68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0.49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0.79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0.08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4.20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0.84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color w:val="000000"/>
                <w:sz w:val="22"/>
                <w:szCs w:val="22"/>
              </w:rPr>
            </w:pPr>
          </w:p>
        </w:tc>
      </w:tr>
      <w:tr w:rsidR="00476B8D">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82.26</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color w:val="000000"/>
                <w:sz w:val="22"/>
                <w:szCs w:val="22"/>
              </w:rPr>
            </w:pPr>
            <w:r>
              <w:rPr>
                <w:rFonts w:cs="宋体"/>
                <w:color w:val="000000"/>
                <w:sz w:val="21"/>
                <w:szCs w:val="21"/>
                <w:lang w:bidi="ar"/>
              </w:rPr>
              <w:t>17.21</w:t>
            </w:r>
            <w:r>
              <w:rPr>
                <w:rFonts w:cs="宋体"/>
                <w:color w:val="000000"/>
                <w:sz w:val="21"/>
                <w:szCs w:val="21"/>
                <w:lang w:bidi="ar"/>
              </w:rPr>
              <w:t xml:space="preserve"> </w:t>
            </w:r>
          </w:p>
        </w:tc>
      </w:tr>
    </w:tbl>
    <w:p w:rsidR="00476B8D" w:rsidRDefault="00884A96">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884A96">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476B8D">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476B8D">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476B8D">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476B8D">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76B8D" w:rsidRDefault="00884A96">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476B8D" w:rsidRDefault="00884A96">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476B8D">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476B8D">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476B8D" w:rsidRDefault="00884A9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4736"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476B8D">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884A96">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76B8D" w:rsidRDefault="00884A96">
            <w:pPr>
              <w:jc w:val="center"/>
              <w:textAlignment w:val="bottom"/>
              <w:rPr>
                <w:rFonts w:cs="宋体" w:hint="default"/>
                <w:b/>
                <w:color w:val="000000"/>
                <w:sz w:val="22"/>
                <w:szCs w:val="22"/>
              </w:rPr>
            </w:pPr>
            <w:r>
              <w:rPr>
                <w:rFonts w:cs="宋体"/>
                <w:b/>
                <w:color w:val="000000"/>
                <w:sz w:val="22"/>
                <w:szCs w:val="22"/>
                <w:lang w:bidi="ar"/>
              </w:rPr>
              <w:t>本年支出</w:t>
            </w:r>
          </w:p>
        </w:tc>
      </w:tr>
      <w:tr w:rsidR="00476B8D">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项目支出</w:t>
            </w:r>
          </w:p>
        </w:tc>
      </w:tr>
      <w:tr w:rsidR="00476B8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76B8D" w:rsidRDefault="00476B8D">
            <w:pPr>
              <w:jc w:val="center"/>
              <w:rPr>
                <w:rFonts w:cs="宋体" w:hint="default"/>
                <w:b/>
                <w:color w:val="000000"/>
                <w:sz w:val="22"/>
                <w:szCs w:val="22"/>
              </w:rPr>
            </w:pPr>
          </w:p>
        </w:tc>
      </w:tr>
      <w:tr w:rsidR="00476B8D">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476B8D">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76B8D" w:rsidRDefault="00884A96">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76B8D" w:rsidRDefault="00884A96">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476B8D" w:rsidRDefault="00884A96">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476B8D">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476B8D" w:rsidRDefault="00884A96">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476B8D">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476B8D" w:rsidRDefault="00476B8D">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476B8D">
        <w:trPr>
          <w:trHeight w:val="285"/>
        </w:trPr>
        <w:tc>
          <w:tcPr>
            <w:tcW w:w="5159" w:type="dxa"/>
            <w:tcBorders>
              <w:top w:val="nil"/>
              <w:left w:val="nil"/>
              <w:bottom w:val="single" w:sz="4" w:space="0" w:color="auto"/>
              <w:right w:val="nil"/>
            </w:tcBorders>
            <w:shd w:val="clear" w:color="auto" w:fill="auto"/>
            <w:tcMar>
              <w:top w:w="15" w:type="dxa"/>
              <w:left w:w="15" w:type="dxa"/>
              <w:right w:w="15" w:type="dxa"/>
            </w:tcMar>
            <w:vAlign w:val="bottom"/>
          </w:tcPr>
          <w:p w:rsidR="00476B8D" w:rsidRDefault="00884A96">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中共垫江县委机构编制委员会办公室（本级）</w:t>
            </w:r>
          </w:p>
        </w:tc>
        <w:tc>
          <w:tcPr>
            <w:tcW w:w="3822" w:type="dxa"/>
            <w:tcBorders>
              <w:top w:val="nil"/>
              <w:left w:val="nil"/>
              <w:bottom w:val="single" w:sz="4" w:space="0" w:color="auto"/>
              <w:right w:val="nil"/>
            </w:tcBorders>
            <w:shd w:val="clear" w:color="auto" w:fill="auto"/>
            <w:tcMar>
              <w:top w:w="15" w:type="dxa"/>
              <w:left w:w="15" w:type="dxa"/>
              <w:right w:w="15" w:type="dxa"/>
            </w:tcMar>
            <w:vAlign w:val="bottom"/>
          </w:tcPr>
          <w:p w:rsidR="00476B8D" w:rsidRDefault="00476B8D">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tcMar>
              <w:top w:w="15" w:type="dxa"/>
              <w:left w:w="15" w:type="dxa"/>
              <w:right w:w="15" w:type="dxa"/>
            </w:tcMar>
            <w:vAlign w:val="bottom"/>
          </w:tcPr>
          <w:p w:rsidR="00476B8D" w:rsidRDefault="00476B8D">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tcMar>
              <w:top w:w="15" w:type="dxa"/>
              <w:left w:w="15" w:type="dxa"/>
              <w:right w:w="15" w:type="dxa"/>
            </w:tcMar>
            <w:vAlign w:val="bottom"/>
          </w:tcPr>
          <w:p w:rsidR="00476B8D" w:rsidRDefault="00884A96">
            <w:pPr>
              <w:jc w:val="right"/>
              <w:textAlignment w:val="bottom"/>
              <w:rPr>
                <w:rFonts w:cs="宋体" w:hint="default"/>
                <w:color w:val="000000"/>
              </w:rPr>
            </w:pPr>
            <w:r>
              <w:rPr>
                <w:rFonts w:cs="宋体"/>
                <w:color w:val="000000"/>
                <w:lang w:bidi="ar"/>
              </w:rPr>
              <w:t>单位：</w:t>
            </w:r>
            <w:r>
              <w:rPr>
                <w:rFonts w:cs="宋体"/>
              </w:rPr>
              <w:t>万元</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jc w:val="center"/>
              <w:textAlignment w:val="center"/>
              <w:rPr>
                <w:rFonts w:cs="宋体" w:hint="default"/>
                <w:b/>
                <w:color w:val="000000"/>
                <w:sz w:val="22"/>
                <w:szCs w:val="22"/>
              </w:rPr>
            </w:pPr>
            <w:r>
              <w:rPr>
                <w:rFonts w:cs="宋体"/>
                <w:b/>
                <w:color w:val="000000"/>
                <w:sz w:val="22"/>
                <w:szCs w:val="22"/>
                <w:lang w:bidi="ar"/>
              </w:rPr>
              <w:t>决算数</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17.21</w:t>
            </w: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17.21</w:t>
            </w: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0.79</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22</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107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r>
      <w:tr w:rsidR="00476B8D">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884A96">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76B8D" w:rsidRDefault="00884A96">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884A96">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76B8D" w:rsidRDefault="00476B8D">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76B8D" w:rsidRDefault="00476B8D">
            <w:pPr>
              <w:jc w:val="right"/>
              <w:rPr>
                <w:rFonts w:ascii="Arial" w:hAnsi="Arial" w:cs="Arial" w:hint="default"/>
                <w:color w:val="000000"/>
                <w:sz w:val="20"/>
                <w:szCs w:val="20"/>
              </w:rPr>
            </w:pPr>
          </w:p>
        </w:tc>
      </w:tr>
    </w:tbl>
    <w:p w:rsidR="00476B8D" w:rsidRDefault="00884A96">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rPr>
          <w:rFonts w:cs="宋体" w:hint="default"/>
          <w:color w:val="000000"/>
          <w:sz w:val="21"/>
          <w:szCs w:val="21"/>
          <w:lang w:bidi="ar"/>
        </w:rPr>
      </w:pPr>
    </w:p>
    <w:p w:rsidR="00476B8D" w:rsidRDefault="00476B8D">
      <w:pPr>
        <w:pStyle w:val="1"/>
        <w:autoSpaceDE w:val="0"/>
        <w:ind w:firstLineChars="0" w:firstLine="0"/>
        <w:rPr>
          <w:rFonts w:cs="宋体"/>
          <w:sz w:val="21"/>
          <w:szCs w:val="21"/>
        </w:rPr>
      </w:pPr>
    </w:p>
    <w:sectPr w:rsidR="00476B8D">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A96" w:rsidRDefault="00884A96">
      <w:pPr>
        <w:rPr>
          <w:rFonts w:hint="default"/>
        </w:rPr>
      </w:pPr>
      <w:r>
        <w:separator/>
      </w:r>
    </w:p>
  </w:endnote>
  <w:endnote w:type="continuationSeparator" w:id="0">
    <w:p w:rsidR="00884A96" w:rsidRDefault="00884A9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8D" w:rsidRDefault="00884A96">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6B8D" w:rsidRDefault="00884A96">
                          <w:pPr>
                            <w:pStyle w:val="a4"/>
                            <w:rPr>
                              <w:rFonts w:hint="default"/>
                            </w:rPr>
                          </w:pPr>
                          <w:r>
                            <w:fldChar w:fldCharType="begin"/>
                          </w:r>
                          <w:r>
                            <w:instrText xml:space="preserve"> PAGE  \* MERGEFORMAT </w:instrText>
                          </w:r>
                          <w:r>
                            <w:fldChar w:fldCharType="separate"/>
                          </w:r>
                          <w:r w:rsidR="009F5AA1">
                            <w:rPr>
                              <w:rFonts w:hint="default"/>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76B8D" w:rsidRDefault="00884A96">
                    <w:pPr>
                      <w:pStyle w:val="a4"/>
                      <w:rPr>
                        <w:rFonts w:hint="default"/>
                      </w:rPr>
                    </w:pPr>
                    <w:r>
                      <w:fldChar w:fldCharType="begin"/>
                    </w:r>
                    <w:r>
                      <w:instrText xml:space="preserve"> PAGE  \* MERGEFORMAT </w:instrText>
                    </w:r>
                    <w:r>
                      <w:fldChar w:fldCharType="separate"/>
                    </w:r>
                    <w:r w:rsidR="009F5AA1">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8D" w:rsidRDefault="00884A96">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76B8D" w:rsidRDefault="00884A96">
                          <w:pPr>
                            <w:pStyle w:val="a4"/>
                            <w:rPr>
                              <w:rFonts w:hint="default"/>
                            </w:rPr>
                          </w:pPr>
                          <w:r>
                            <w:t xml:space="preserve"> </w:t>
                          </w:r>
                          <w:r>
                            <w:fldChar w:fldCharType="begin"/>
                          </w:r>
                          <w:r>
                            <w:instrText>PAGE   \* MERGEFORMAT</w:instrText>
                          </w:r>
                          <w:r>
                            <w:fldChar w:fldCharType="separate"/>
                          </w:r>
                          <w:r w:rsidR="009F5AA1" w:rsidRPr="009F5AA1">
                            <w:rPr>
                              <w:rFonts w:hint="default"/>
                              <w:noProof/>
                              <w:lang w:val="zh-CN"/>
                            </w:rPr>
                            <w:t>-</w:t>
                          </w:r>
                          <w:r w:rsidR="009F5AA1">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476B8D" w:rsidRDefault="00884A96">
                    <w:pPr>
                      <w:pStyle w:val="a4"/>
                      <w:rPr>
                        <w:rFonts w:hint="default"/>
                      </w:rPr>
                    </w:pPr>
                    <w:r>
                      <w:t xml:space="preserve"> </w:t>
                    </w:r>
                    <w:r>
                      <w:fldChar w:fldCharType="begin"/>
                    </w:r>
                    <w:r>
                      <w:instrText>PAGE   \* MERGEFORMAT</w:instrText>
                    </w:r>
                    <w:r>
                      <w:fldChar w:fldCharType="separate"/>
                    </w:r>
                    <w:r w:rsidR="009F5AA1" w:rsidRPr="009F5AA1">
                      <w:rPr>
                        <w:rFonts w:hint="default"/>
                        <w:noProof/>
                        <w:lang w:val="zh-CN"/>
                      </w:rPr>
                      <w:t>-</w:t>
                    </w:r>
                    <w:r w:rsidR="009F5AA1">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476B8D" w:rsidRDefault="00884A96">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476B8D" w:rsidRDefault="00884A96">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A96" w:rsidRDefault="00884A96">
      <w:pPr>
        <w:rPr>
          <w:rFonts w:hint="default"/>
        </w:rPr>
      </w:pPr>
      <w:r>
        <w:separator/>
      </w:r>
    </w:p>
  </w:footnote>
  <w:footnote w:type="continuationSeparator" w:id="0">
    <w:p w:rsidR="00884A96" w:rsidRDefault="00884A9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8D" w:rsidRDefault="00476B8D">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66D1269B"/>
    <w:multiLevelType w:val="singleLevel"/>
    <w:tmpl w:val="66D1269B"/>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GRjMDhmMGFlNmNhOTYyMDVlZjQ1OGExZjZkMzUifQ=="/>
  </w:docVars>
  <w:rsids>
    <w:rsidRoot w:val="00B03CCD"/>
    <w:rsid w:val="00476B8D"/>
    <w:rsid w:val="00550ABE"/>
    <w:rsid w:val="007B419D"/>
    <w:rsid w:val="00884A96"/>
    <w:rsid w:val="009B67B8"/>
    <w:rsid w:val="009F5AA1"/>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C3C68"/>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012FC"/>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0024D2"/>
    <w:rsid w:val="24B92327"/>
    <w:rsid w:val="24C14514"/>
    <w:rsid w:val="2533755C"/>
    <w:rsid w:val="25791755"/>
    <w:rsid w:val="26396DF4"/>
    <w:rsid w:val="27007EF6"/>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4322C"/>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43D5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3E6B3E"/>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D965C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4AF70"/>
  <w15:docId w15:val="{89EA4A87-DA1B-47D5-90B8-7BBA1D7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line="425" w:lineRule="atLeast"/>
      <w:ind w:firstLine="420"/>
      <w:textAlignment w:val="baseline"/>
    </w:pPr>
    <w:rPr>
      <w:rFonts w:ascii="Calibri" w:hAnsi="Calibri"/>
      <w:color w:val="000000"/>
      <w:sz w:val="21"/>
      <w:szCs w:val="22"/>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basedOn w:val="a0"/>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页眉 字符"/>
    <w:basedOn w:val="a0"/>
    <w:link w:val="a5"/>
    <w:uiPriority w:val="99"/>
    <w:rsid w:val="009F5AA1"/>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1982</Words>
  <Characters>11301</Characters>
  <Application>Microsoft Office Word</Application>
  <DocSecurity>0</DocSecurity>
  <Lines>94</Lines>
  <Paragraphs>26</Paragraphs>
  <ScaleCrop>false</ScaleCrop>
  <Company>微软中国</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中共垫江县委机构编制委员会办公室（本级）2023年度决算公开说明</dc:title>
  <dc:creator>Administrator</dc:creator>
  <cp:lastModifiedBy>吴幽</cp:lastModifiedBy>
  <cp:revision>3</cp:revision>
  <dcterms:created xsi:type="dcterms:W3CDTF">2024-07-11T02:00:00Z</dcterms:created>
  <dcterms:modified xsi:type="dcterms:W3CDTF">2024-09-09T02:37:00Z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