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018" w:rsidRDefault="00136A01">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垫江县财政局（本级）</w:t>
      </w:r>
      <w:r>
        <w:rPr>
          <w:rFonts w:ascii="方正小标宋_GBK" w:eastAsia="方正小标宋_GBK" w:hAnsi="方正小标宋_GBK" w:cs="方正小标宋_GBK"/>
          <w:sz w:val="36"/>
          <w:szCs w:val="36"/>
          <w:shd w:val="clear" w:color="auto" w:fill="FFFFFF"/>
        </w:rPr>
        <w:t>2023年度决算公开说明</w:t>
      </w:r>
    </w:p>
    <w:p w:rsidR="00F50018" w:rsidRDefault="00136A01">
      <w:pPr>
        <w:pStyle w:val="a7"/>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p>
    <w:p w:rsidR="00F50018" w:rsidRDefault="00136A01">
      <w:pPr>
        <w:pStyle w:val="a7"/>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F50018" w:rsidRDefault="00136A01">
      <w:pPr>
        <w:autoSpaceDE w:val="0"/>
        <w:spacing w:line="594"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贯彻执行财税法律、法规、规章和方针政策；起草全县财政、税收、行政事业单位国有资产、财务、会计和非贸易外汇收支管理方面的地方性法规、规章，制定有关政策和管理制度并组织实施；拟订和执行财政分配政策和分级财政管理体制；参与拟订全县宏观经济政策，提出运用财税政策实施经济调节的建议，拟订推进统筹城乡改革和发展的财税政策；管理全县财政收支，承担县级各项财政收支管理的责任，负责编制县级年度预决算草案，组织执行县级年度预算，完善转移支付制度；负责政府非税收入管理，负责政府性基金管理，按规定管理行政事业性收费；组织执行国库管理制度、国库集中收付制度；组织实施政府采购制度；组织执行行政事业单位国有资产管理规章制度；负责审核和汇总编制县级国有资本经营预决算草案，执行国有资本经营预算的制度和办法；负责办理和监督县级财政的经济发展支出、县级政府性投资项目的财政拨款，负责财政投资评审管理工作；会同有关部门管理县级财政社会保障和就业及医疗卫生支出；拟订和执行政府债务管理的制度和政策。</w:t>
      </w:r>
    </w:p>
    <w:p w:rsidR="00F50018" w:rsidRDefault="00136A01">
      <w:pPr>
        <w:pStyle w:val="a7"/>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F50018" w:rsidRDefault="00136A01">
      <w:pPr>
        <w:pStyle w:val="Char"/>
        <w:autoSpaceDE w:val="0"/>
        <w:spacing w:before="0" w:beforeAutospacing="0" w:line="594" w:lineRule="exact"/>
        <w:ind w:firstLineChars="200" w:firstLine="640"/>
        <w:rPr>
          <w:rFonts w:cs="宋体"/>
        </w:rPr>
      </w:pPr>
      <w:r>
        <w:rPr>
          <w:rFonts w:ascii="方正仿宋_GBK" w:eastAsia="方正仿宋_GBK" w:hAnsi="方正仿宋_GBK" w:cs="方正仿宋_GBK"/>
          <w:sz w:val="32"/>
          <w:szCs w:val="32"/>
        </w:rPr>
        <w:lastRenderedPageBreak/>
        <w:t>垫江县财政局行政编制24人，现在编在岗共计18人。内设12个职能科室: 办公室、预算科、国库科、综合科、行财科、社保科、采购科、企业科、农业科、经建科、</w:t>
      </w:r>
      <w:r>
        <w:rPr>
          <w:rFonts w:ascii="方正仿宋_GBK" w:eastAsia="方正仿宋_GBK" w:hAnsi="方正仿宋_GBK" w:cs="方正仿宋_GBK" w:hint="eastAsia"/>
          <w:sz w:val="32"/>
          <w:szCs w:val="32"/>
        </w:rPr>
        <w:t>金融</w:t>
      </w:r>
      <w:r>
        <w:rPr>
          <w:rFonts w:ascii="方正仿宋_GBK" w:eastAsia="方正仿宋_GBK" w:hAnsi="方正仿宋_GBK" w:cs="方正仿宋_GBK"/>
          <w:sz w:val="32"/>
          <w:szCs w:val="32"/>
        </w:rPr>
        <w:t>债务科、监督科。</w:t>
      </w:r>
    </w:p>
    <w:p w:rsidR="00F50018" w:rsidRDefault="00136A01">
      <w:pPr>
        <w:pStyle w:val="a7"/>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二、部门决算情况说明</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F50018" w:rsidRDefault="00136A01">
      <w:pPr>
        <w:pStyle w:val="a7"/>
        <w:shd w:val="clear" w:color="auto" w:fill="FFFFFF"/>
        <w:ind w:firstLineChars="200" w:firstLine="643"/>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2023年度收入总计1211.59万元，支出总计</w:t>
      </w:r>
      <w:r>
        <w:rPr>
          <w:rFonts w:ascii="方正仿宋_GBK" w:eastAsia="方正仿宋_GBK" w:hAnsi="方正仿宋_GBK" w:cs="方正仿宋_GBK"/>
          <w:sz w:val="32"/>
          <w:szCs w:val="32"/>
        </w:rPr>
        <w:t>1211.59</w:t>
      </w:r>
      <w:r>
        <w:rPr>
          <w:rFonts w:ascii="方正仿宋_GBK" w:eastAsia="方正仿宋_GBK" w:hAnsi="方正仿宋_GBK" w:cs="方正仿宋_GBK"/>
          <w:sz w:val="32"/>
          <w:szCs w:val="32"/>
          <w:shd w:val="clear" w:color="auto" w:fill="FFFFFF"/>
        </w:rPr>
        <w:t>万元。收支较上年决算数增加21.94万元，增长1.84%，主要原因是日常公用经费与项目经费增加。</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2023年度收入合计1167.32万元，较上年决算数增加269.74万元，增长30.05%，主要原因是一般公共服务支出增加。其中：财政拨款收入</w:t>
      </w:r>
      <w:r>
        <w:rPr>
          <w:rFonts w:ascii="方正仿宋_GBK" w:eastAsia="方正仿宋_GBK" w:hAnsi="方正仿宋_GBK" w:cs="方正仿宋_GBK"/>
          <w:sz w:val="32"/>
          <w:szCs w:val="32"/>
        </w:rPr>
        <w:t>1167.32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44.26</w:t>
      </w:r>
      <w:r>
        <w:rPr>
          <w:rFonts w:ascii="方正仿宋_GBK" w:eastAsia="方正仿宋_GBK" w:hAnsi="方正仿宋_GBK" w:cs="方正仿宋_GBK"/>
          <w:sz w:val="32"/>
          <w:szCs w:val="32"/>
          <w:shd w:val="clear" w:color="auto" w:fill="FFFFFF"/>
        </w:rPr>
        <w:t>万元。</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1192.31</w:t>
      </w:r>
      <w:r>
        <w:rPr>
          <w:rFonts w:ascii="方正仿宋_GBK" w:eastAsia="方正仿宋_GBK" w:hAnsi="方正仿宋_GBK" w:cs="方正仿宋_GBK"/>
          <w:sz w:val="32"/>
          <w:szCs w:val="32"/>
          <w:shd w:val="clear" w:color="auto" w:fill="FFFFFF"/>
        </w:rPr>
        <w:t>万元，较上年决算数增加15.58万元，增长1.32%，主要原因是项目支出增加。其中：基本支出</w:t>
      </w:r>
      <w:r>
        <w:rPr>
          <w:rFonts w:ascii="方正仿宋_GBK" w:eastAsia="方正仿宋_GBK" w:hAnsi="方正仿宋_GBK" w:cs="方正仿宋_GBK"/>
          <w:sz w:val="32"/>
          <w:szCs w:val="32"/>
        </w:rPr>
        <w:t>938.71</w:t>
      </w:r>
      <w:r>
        <w:rPr>
          <w:rFonts w:ascii="方正仿宋_GBK" w:eastAsia="方正仿宋_GBK" w:hAnsi="方正仿宋_GBK" w:cs="方正仿宋_GBK"/>
          <w:sz w:val="32"/>
          <w:szCs w:val="32"/>
          <w:shd w:val="clear" w:color="auto" w:fill="FFFFFF"/>
        </w:rPr>
        <w:t>万元，占78.73%；项目支出</w:t>
      </w:r>
      <w:r>
        <w:rPr>
          <w:rFonts w:ascii="方正仿宋_GBK" w:eastAsia="方正仿宋_GBK" w:hAnsi="方正仿宋_GBK" w:cs="方正仿宋_GBK"/>
          <w:sz w:val="32"/>
          <w:szCs w:val="32"/>
        </w:rPr>
        <w:t>253.60</w:t>
      </w:r>
      <w:r>
        <w:rPr>
          <w:rFonts w:ascii="方正仿宋_GBK" w:eastAsia="方正仿宋_GBK" w:hAnsi="方正仿宋_GBK" w:cs="方正仿宋_GBK"/>
          <w:sz w:val="32"/>
          <w:szCs w:val="32"/>
          <w:shd w:val="clear" w:color="auto" w:fill="FFFFFF"/>
        </w:rPr>
        <w:t>万元，占21.27%；经营支出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19.27</w:t>
      </w:r>
      <w:r>
        <w:rPr>
          <w:rFonts w:ascii="方正仿宋_GBK" w:eastAsia="方正仿宋_GBK" w:hAnsi="方正仿宋_GBK" w:cs="方正仿宋_GBK"/>
          <w:sz w:val="32"/>
          <w:szCs w:val="32"/>
          <w:shd w:val="clear" w:color="auto" w:fill="FFFFFF"/>
        </w:rPr>
        <w:t>万元，较上年决算数增加6.36万元，增长49.26%，主要原因是</w:t>
      </w:r>
      <w:r>
        <w:rPr>
          <w:rFonts w:ascii="方正仿宋_GBK" w:eastAsia="方正仿宋_GBK" w:hAnsi="方正仿宋_GBK" w:cs="方正仿宋_GBK"/>
          <w:sz w:val="32"/>
          <w:szCs w:val="32"/>
        </w:rPr>
        <w:t>经费结转增加。</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2023年度财政拨款收、支总计1211.59万元。与2022年相比，财政拨款收、支总计各增加21.94万元，增长1.84%。主要原因是日常公用经费与项目经费增加。</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1167.32</w:t>
      </w:r>
      <w:r>
        <w:rPr>
          <w:rFonts w:ascii="方正仿宋_GBK" w:eastAsia="方正仿宋_GBK" w:hAnsi="方正仿宋_GBK" w:cs="方正仿宋_GBK"/>
          <w:sz w:val="32"/>
          <w:szCs w:val="32"/>
          <w:shd w:val="clear" w:color="auto" w:fill="FFFFFF"/>
        </w:rPr>
        <w:t>万元，较上年决算数增加269.74万元，增长30.05%。主要原因是一</w:t>
      </w:r>
      <w:r>
        <w:rPr>
          <w:rFonts w:ascii="方正仿宋_GBK" w:eastAsia="方正仿宋_GBK" w:hAnsi="方正仿宋_GBK" w:cs="方正仿宋_GBK"/>
          <w:sz w:val="32"/>
          <w:szCs w:val="32"/>
        </w:rPr>
        <w:t>般公共服务支出增加</w:t>
      </w:r>
      <w:r>
        <w:rPr>
          <w:rFonts w:ascii="方正仿宋_GBK" w:eastAsia="方正仿宋_GBK" w:hAnsi="方正仿宋_GBK" w:cs="方正仿宋_GBK"/>
          <w:sz w:val="32"/>
          <w:szCs w:val="32"/>
          <w:shd w:val="clear" w:color="auto" w:fill="FFFFFF"/>
        </w:rPr>
        <w:t>。较年初预算数增加452.86万元，增长63.38%。主要原因是新进人员增加导致追加日常公用经费。此外，年初财政拨款结转和结余</w:t>
      </w:r>
      <w:r>
        <w:rPr>
          <w:rFonts w:ascii="方正仿宋_GBK" w:eastAsia="方正仿宋_GBK" w:hAnsi="方正仿宋_GBK" w:cs="方正仿宋_GBK"/>
          <w:sz w:val="32"/>
          <w:szCs w:val="32"/>
        </w:rPr>
        <w:t>44.26</w:t>
      </w:r>
      <w:r>
        <w:rPr>
          <w:rFonts w:ascii="方正仿宋_GBK" w:eastAsia="方正仿宋_GBK" w:hAnsi="方正仿宋_GBK" w:cs="方正仿宋_GBK"/>
          <w:sz w:val="32"/>
          <w:szCs w:val="32"/>
          <w:shd w:val="clear" w:color="auto" w:fill="FFFFFF"/>
        </w:rPr>
        <w:t>万元。</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1192.31</w:t>
      </w:r>
      <w:r>
        <w:rPr>
          <w:rFonts w:ascii="方正仿宋_GBK" w:eastAsia="方正仿宋_GBK" w:hAnsi="方正仿宋_GBK" w:cs="方正仿宋_GBK"/>
          <w:sz w:val="32"/>
          <w:szCs w:val="32"/>
          <w:shd w:val="clear" w:color="auto" w:fill="FFFFFF"/>
        </w:rPr>
        <w:t>万元，较上年决算数增加15.58万元，增长1.32%。主要原因是日常公用经费与项目经费增加。较年初预算数增加477.85万元，增长66.88%。主要原因是</w:t>
      </w:r>
      <w:r>
        <w:rPr>
          <w:rFonts w:ascii="方正仿宋_GBK" w:eastAsia="方正仿宋_GBK" w:hAnsi="方正仿宋_GBK" w:cs="方正仿宋_GBK"/>
          <w:sz w:val="32"/>
          <w:szCs w:val="32"/>
        </w:rPr>
        <w:t>一般公共服务支出增加。</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19.27</w:t>
      </w:r>
      <w:r>
        <w:rPr>
          <w:rFonts w:ascii="方正仿宋_GBK" w:eastAsia="方正仿宋_GBK" w:hAnsi="方正仿宋_GBK" w:cs="方正仿宋_GBK"/>
          <w:sz w:val="32"/>
          <w:szCs w:val="32"/>
          <w:shd w:val="clear" w:color="auto" w:fill="FFFFFF"/>
        </w:rPr>
        <w:t>万元，较上年决算数增加6.36万元，增长49.26%，主要原因是</w:t>
      </w:r>
      <w:r>
        <w:rPr>
          <w:rFonts w:ascii="方正仿宋_GBK" w:eastAsia="方正仿宋_GBK" w:hAnsi="方正仿宋_GBK" w:cs="方正仿宋_GBK"/>
          <w:sz w:val="32"/>
          <w:szCs w:val="32"/>
        </w:rPr>
        <w:t>经费结转增加。</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lastRenderedPageBreak/>
        <w:t>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967.95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81.18</w:t>
      </w:r>
      <w:r>
        <w:rPr>
          <w:rFonts w:ascii="方正仿宋_GBK" w:eastAsia="方正仿宋_GBK" w:hAnsi="方正仿宋_GBK" w:cs="方正仿宋_GBK"/>
          <w:sz w:val="32"/>
          <w:szCs w:val="32"/>
          <w:shd w:val="clear" w:color="auto" w:fill="FFFFFF"/>
        </w:rPr>
        <w:t>%，较年初预算数增加447.18万元，增长85.87%，主要原因是日常公用经费增加。</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（2）教育支出</w:t>
      </w:r>
      <w:r>
        <w:rPr>
          <w:rFonts w:ascii="方正仿宋_GBK" w:eastAsia="方正仿宋_GBK" w:hAnsi="方正仿宋_GBK" w:cs="方正仿宋_GBK"/>
          <w:sz w:val="32"/>
          <w:szCs w:val="32"/>
        </w:rPr>
        <w:t>1.48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0.12</w:t>
      </w:r>
      <w:r>
        <w:rPr>
          <w:rFonts w:ascii="方正仿宋_GBK" w:eastAsia="方正仿宋_GBK" w:hAnsi="方正仿宋_GBK" w:cs="方正仿宋_GBK"/>
          <w:sz w:val="32"/>
          <w:szCs w:val="32"/>
          <w:shd w:val="clear" w:color="auto" w:fill="FFFFFF"/>
        </w:rPr>
        <w:t>%，较年初预算数增加0.09万元，增长6.47%，主要原因是新进人员参加初任公务员培训。</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（3）社会保障与就业支出</w:t>
      </w:r>
      <w:r>
        <w:rPr>
          <w:rFonts w:ascii="方正仿宋_GBK" w:eastAsia="方正仿宋_GBK" w:hAnsi="方正仿宋_GBK" w:cs="方正仿宋_GBK"/>
          <w:sz w:val="32"/>
          <w:szCs w:val="32"/>
        </w:rPr>
        <w:t>183.98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15.43</w:t>
      </w:r>
      <w:r>
        <w:rPr>
          <w:rFonts w:ascii="方正仿宋_GBK" w:eastAsia="方正仿宋_GBK" w:hAnsi="方正仿宋_GBK" w:cs="方正仿宋_GBK"/>
          <w:sz w:val="32"/>
          <w:szCs w:val="32"/>
          <w:shd w:val="clear" w:color="auto" w:fill="FFFFFF"/>
        </w:rPr>
        <w:t>%，较年初预算数增加40.17万元，增长27.93%，主要原因是人员变化。</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（4）卫生健康支出</w:t>
      </w:r>
      <w:r>
        <w:rPr>
          <w:rFonts w:ascii="方正仿宋_GBK" w:eastAsia="方正仿宋_GBK" w:hAnsi="方正仿宋_GBK" w:cs="方正仿宋_GBK"/>
          <w:sz w:val="32"/>
          <w:szCs w:val="32"/>
        </w:rPr>
        <w:t>17.32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1.45</w:t>
      </w:r>
      <w:r>
        <w:rPr>
          <w:rFonts w:ascii="方正仿宋_GBK" w:eastAsia="方正仿宋_GBK" w:hAnsi="方正仿宋_GBK" w:cs="方正仿宋_GBK"/>
          <w:sz w:val="32"/>
          <w:szCs w:val="32"/>
          <w:shd w:val="clear" w:color="auto" w:fill="FFFFFF"/>
        </w:rPr>
        <w:t>%，较年初预算数增加1.08万元，增长6.65%，主要原因是人员变化。</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住房保障支出21.58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1.81</w:t>
      </w:r>
      <w:r>
        <w:rPr>
          <w:rFonts w:ascii="方正仿宋_GBK" w:eastAsia="方正仿宋_GBK" w:hAnsi="方正仿宋_GBK" w:cs="方正仿宋_GBK"/>
          <w:sz w:val="32"/>
          <w:szCs w:val="32"/>
          <w:shd w:val="clear" w:color="auto" w:fill="FFFFFF"/>
        </w:rPr>
        <w:t>%，较年初预算数减少10.67万元，下降33.09%，主要原因是人员变化。</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F50018" w:rsidRDefault="00136A01">
      <w:pPr>
        <w:pStyle w:val="Char"/>
        <w:autoSpaceDE w:val="0"/>
        <w:spacing w:before="0" w:beforeAutospacing="0"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938.71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585.62</w:t>
      </w:r>
      <w:r>
        <w:rPr>
          <w:rFonts w:ascii="方正仿宋_GBK" w:eastAsia="方正仿宋_GBK" w:hAnsi="方正仿宋_GBK" w:cs="方正仿宋_GBK"/>
          <w:sz w:val="32"/>
          <w:szCs w:val="32"/>
          <w:shd w:val="clear" w:color="auto" w:fill="FFFFFF"/>
        </w:rPr>
        <w:t>万元，较上年决算数减少60.84万元，下降9.41%，主要原因是</w:t>
      </w:r>
      <w:r>
        <w:rPr>
          <w:rFonts w:ascii="方正仿宋_GBK" w:eastAsia="方正仿宋_GBK" w:hAnsi="方正仿宋_GBK" w:cs="方正仿宋_GBK"/>
          <w:sz w:val="32"/>
          <w:szCs w:val="32"/>
        </w:rPr>
        <w:t>人员变动退休、调进调出</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sz w:val="32"/>
          <w:szCs w:val="32"/>
        </w:rPr>
        <w:t>基本工资、津贴补贴、奖金、社会保障缴费、医疗费、住房公积金等</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353.09</w:t>
      </w:r>
      <w:r>
        <w:rPr>
          <w:rFonts w:ascii="方正仿宋_GBK" w:eastAsia="方正仿宋_GBK" w:hAnsi="方正仿宋_GBK" w:cs="方正仿宋_GBK"/>
          <w:sz w:val="32"/>
          <w:szCs w:val="32"/>
          <w:shd w:val="clear" w:color="auto" w:fill="FFFFFF"/>
        </w:rPr>
        <w:t>万元，较上年决算数增加74.49万元，增长26.74%，主要原因是</w:t>
      </w:r>
      <w:r>
        <w:rPr>
          <w:rFonts w:ascii="方正仿宋_GBK" w:eastAsia="方正仿宋_GBK" w:hAnsi="方正仿宋_GBK" w:cs="方正仿宋_GBK" w:hint="eastAsia"/>
          <w:sz w:val="32"/>
          <w:szCs w:val="32"/>
          <w:shd w:val="clear" w:color="auto" w:fill="FFFFFF"/>
        </w:rPr>
        <w:t>办公费增加。</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sz w:val="32"/>
          <w:szCs w:val="32"/>
        </w:rPr>
        <w:t>办公费、印刷费、电费、邮电费、培</w:t>
      </w:r>
      <w:r>
        <w:rPr>
          <w:rFonts w:ascii="方正仿宋_GBK" w:eastAsia="方正仿宋_GBK" w:hAnsi="方正仿宋_GBK" w:cs="方正仿宋_GBK"/>
          <w:sz w:val="32"/>
          <w:szCs w:val="32"/>
        </w:rPr>
        <w:lastRenderedPageBreak/>
        <w:t>训费、维修（护）费、公务接待费、劳务费、公务用车运行维护费、办公设备购置等。</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本部门2023年度无国有资本经营预算财政拨款支出。</w:t>
      </w:r>
    </w:p>
    <w:p w:rsidR="00F50018" w:rsidRDefault="00136A01">
      <w:pPr>
        <w:pStyle w:val="a7"/>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（一）“三公”经费支出总体情况说明</w:t>
      </w:r>
    </w:p>
    <w:p w:rsidR="00F50018" w:rsidRDefault="00136A01">
      <w:pPr>
        <w:pStyle w:val="Char"/>
        <w:autoSpaceDE w:val="0"/>
        <w:spacing w:before="0" w:beforeAutospacing="0"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33.73</w:t>
      </w:r>
      <w:r>
        <w:rPr>
          <w:rFonts w:ascii="方正仿宋_GBK" w:eastAsia="方正仿宋_GBK" w:hAnsi="方正仿宋_GBK" w:cs="方正仿宋_GBK"/>
          <w:sz w:val="32"/>
          <w:szCs w:val="32"/>
          <w:shd w:val="clear" w:color="auto" w:fill="FFFFFF"/>
        </w:rPr>
        <w:t>万元，较年初预算数增加13.73万元，增长68.65%，主要原因是</w:t>
      </w:r>
      <w:r>
        <w:rPr>
          <w:rFonts w:ascii="方正仿宋_GBK" w:eastAsia="方正仿宋_GBK" w:hAnsi="方正仿宋_GBK" w:cs="方正仿宋_GBK"/>
          <w:sz w:val="32"/>
          <w:szCs w:val="32"/>
        </w:rPr>
        <w:t>年末预算增加</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shd w:val="clear" w:color="auto" w:fill="FFFFFF"/>
        </w:rPr>
        <w:t>较上年支出数减少0.04万元，下降0.12%，主要原因是</w:t>
      </w:r>
      <w:r>
        <w:rPr>
          <w:rFonts w:ascii="方正仿宋_GBK" w:eastAsia="方正仿宋_GBK" w:hAnsi="方正仿宋_GBK" w:cs="方正仿宋_GBK"/>
          <w:sz w:val="32"/>
          <w:szCs w:val="32"/>
        </w:rPr>
        <w:t>一是认真贯彻落实中央八项规定精神和厉行节约要求，按照只减不增的要求从严控制</w:t>
      </w:r>
      <w:r>
        <w:rPr>
          <w:rFonts w:ascii="方正仿宋_GBK" w:eastAsia="方正仿宋_GBK" w:hAnsi="方正仿宋_GBK" w:cs="方正仿宋_GBK"/>
          <w:sz w:val="32"/>
          <w:szCs w:val="32"/>
          <w:shd w:val="clear" w:color="auto" w:fill="FFFFFF"/>
        </w:rPr>
        <w:t>“三公”</w:t>
      </w:r>
      <w:r>
        <w:rPr>
          <w:rFonts w:ascii="方正仿宋_GBK" w:eastAsia="方正仿宋_GBK" w:hAnsi="方正仿宋_GBK" w:cs="方正仿宋_GBK"/>
          <w:sz w:val="32"/>
          <w:szCs w:val="32"/>
        </w:rPr>
        <w:t>经费，全年实际支出较预算和决算均有所下降，二是严格落实公车使用规定，严禁公车私用，公车运行维护成本下降，三是强化公务接待支出管理，严格遵守公务接待开支范围和开支标准，严格控制陪餐人数，对</w:t>
      </w:r>
      <w:r>
        <w:rPr>
          <w:rFonts w:ascii="方正仿宋_GBK" w:eastAsia="方正仿宋_GBK" w:hAnsi="方正仿宋_GBK" w:cs="方正仿宋_GBK"/>
          <w:sz w:val="32"/>
          <w:szCs w:val="32"/>
        </w:rPr>
        <w:lastRenderedPageBreak/>
        <w:t>应由接待对象承担的费用一律由接待对象自行支付，公务接待费有所下降。</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ED4AE6" w:rsidRPr="002528F8" w:rsidRDefault="00ED4AE6" w:rsidP="00ED4AE6">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F50018" w:rsidRDefault="00ED4AE6" w:rsidP="00ED4AE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15.28</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rPr>
        <w:t>市内因公出行、财政业务检查等工作所需车辆的燃料费、维修费、过桥过路费、保险费等。</w:t>
      </w:r>
      <w:r>
        <w:rPr>
          <w:rFonts w:ascii="方正仿宋_GBK" w:eastAsia="方正仿宋_GBK" w:hAnsi="方正仿宋_GBK" w:cs="方正仿宋_GBK"/>
          <w:sz w:val="32"/>
          <w:szCs w:val="32"/>
          <w:shd w:val="clear" w:color="auto" w:fill="FFFFFF"/>
        </w:rPr>
        <w:t>费用支出较年初预算数增加0.28万元，增长1.87%，主要原因是年末预算追加。较上年支出数减少0.01万元，下降0.07%，主要原因是严格落实公车，严禁公车私用。 </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18.45</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rPr>
        <w:t>主要用于按规定开支的各类公务接待支出和接受相关部门检查指导工作发生的接待支出</w:t>
      </w:r>
      <w:r>
        <w:rPr>
          <w:rFonts w:ascii="方正仿宋_GBK" w:eastAsia="方正仿宋_GBK" w:hAnsi="方正仿宋_GBK" w:cs="方正仿宋_GBK"/>
          <w:sz w:val="32"/>
          <w:szCs w:val="32"/>
          <w:shd w:val="clear" w:color="auto" w:fill="FFFFFF"/>
        </w:rPr>
        <w:t>。费用支出较年初预算数增加13.45万元，增长269.00%，主要原因是</w:t>
      </w:r>
      <w:r>
        <w:rPr>
          <w:rFonts w:ascii="方正仿宋_GBK" w:eastAsia="方正仿宋_GBK" w:hAnsi="方正仿宋_GBK" w:cs="方正仿宋_GBK"/>
          <w:sz w:val="32"/>
          <w:szCs w:val="32"/>
        </w:rPr>
        <w:t>年末预算追加。</w:t>
      </w:r>
      <w:r>
        <w:rPr>
          <w:rFonts w:ascii="方正仿宋_GBK" w:eastAsia="方正仿宋_GBK" w:hAnsi="方正仿宋_GBK" w:cs="方正仿宋_GBK"/>
          <w:sz w:val="32"/>
          <w:szCs w:val="32"/>
          <w:shd w:val="clear" w:color="auto" w:fill="FFFFFF"/>
        </w:rPr>
        <w:t>较上年支出数减少0.03万元，下降</w:t>
      </w:r>
      <w:r>
        <w:rPr>
          <w:rFonts w:ascii="方正仿宋_GBK" w:eastAsia="方正仿宋_GBK" w:hAnsi="方正仿宋_GBK" w:cs="方正仿宋_GBK"/>
          <w:sz w:val="32"/>
          <w:szCs w:val="32"/>
          <w:shd w:val="clear" w:color="auto" w:fill="FFFFFF"/>
        </w:rPr>
        <w:lastRenderedPageBreak/>
        <w:t>0.16%，主要原因是</w:t>
      </w:r>
      <w:r>
        <w:rPr>
          <w:rFonts w:ascii="方正仿宋_GBK" w:eastAsia="方正仿宋_GBK" w:hAnsi="方正仿宋_GBK" w:cs="方正仿宋_GBK"/>
          <w:sz w:val="32"/>
          <w:szCs w:val="32"/>
        </w:rPr>
        <w:t>强化公务接待支出管理，严格遵守公务接待开支范围和开支标准，严格控制陪餐人数，对应由接待对象承担的费用一律由接待对象自行开支。</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239</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1973</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93.51</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5.09</w:t>
      </w:r>
      <w:r>
        <w:rPr>
          <w:rFonts w:ascii="方正仿宋_GBK" w:eastAsia="方正仿宋_GBK" w:hAnsi="方正仿宋_GBK" w:cs="方正仿宋_GBK"/>
          <w:sz w:val="32"/>
          <w:szCs w:val="32"/>
          <w:shd w:val="clear" w:color="auto" w:fill="FFFFFF"/>
        </w:rPr>
        <w:t>万元。</w:t>
      </w:r>
    </w:p>
    <w:p w:rsidR="00F50018" w:rsidRDefault="00136A01">
      <w:pPr>
        <w:pStyle w:val="a7"/>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（一）财政拨款会议费和培训费情况说明</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0.77</w:t>
      </w:r>
      <w:r>
        <w:rPr>
          <w:rFonts w:ascii="方正仿宋_GBK" w:eastAsia="方正仿宋_GBK" w:hAnsi="方正仿宋_GBK" w:cs="方正仿宋_GBK"/>
          <w:sz w:val="32"/>
          <w:szCs w:val="32"/>
          <w:shd w:val="clear" w:color="auto" w:fill="FFFFFF"/>
        </w:rPr>
        <w:t>万元，较上年决算数增加0.69万元，增长862.50%，主要原因是会议增加导致会务服务费增多。本年度培训费支出</w:t>
      </w:r>
      <w:r>
        <w:rPr>
          <w:rFonts w:ascii="方正仿宋_GBK" w:eastAsia="方正仿宋_GBK" w:hAnsi="方正仿宋_GBK" w:cs="方正仿宋_GBK"/>
          <w:sz w:val="32"/>
          <w:szCs w:val="32"/>
        </w:rPr>
        <w:t>1.77</w:t>
      </w:r>
      <w:r>
        <w:rPr>
          <w:rFonts w:ascii="方正仿宋_GBK" w:eastAsia="方正仿宋_GBK" w:hAnsi="方正仿宋_GBK" w:cs="方正仿宋_GBK"/>
          <w:sz w:val="32"/>
          <w:szCs w:val="32"/>
          <w:shd w:val="clear" w:color="auto" w:fill="FFFFFF"/>
        </w:rPr>
        <w:t>万元，较上年决算数增加0.56万元，增长46.28%，主要原因是新进人员参加初任公务员培训。</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353.09</w:t>
      </w:r>
      <w:r>
        <w:rPr>
          <w:rFonts w:ascii="方正仿宋_GBK" w:eastAsia="方正仿宋_GBK" w:hAnsi="方正仿宋_GBK" w:cs="方正仿宋_GBK"/>
          <w:sz w:val="32"/>
          <w:szCs w:val="32"/>
          <w:shd w:val="clear" w:color="auto" w:fill="FFFFFF"/>
        </w:rPr>
        <w:t>万元，机关运行经费主要用于开支</w:t>
      </w:r>
      <w:r>
        <w:rPr>
          <w:rFonts w:ascii="方正仿宋_GBK" w:eastAsia="方正仿宋_GBK" w:hAnsi="方正仿宋_GBK" w:cs="方正仿宋_GBK"/>
          <w:sz w:val="32"/>
          <w:szCs w:val="32"/>
        </w:rPr>
        <w:t>办公费、印刷费、维修（护）费、劳务费、办公设备购置等。</w:t>
      </w:r>
      <w:r>
        <w:rPr>
          <w:rFonts w:ascii="方正仿宋_GBK" w:eastAsia="方正仿宋_GBK" w:hAnsi="方正仿宋_GBK" w:cs="方正仿宋_GBK"/>
          <w:sz w:val="32"/>
          <w:szCs w:val="32"/>
          <w:shd w:val="clear" w:color="auto" w:fill="FFFFFF"/>
        </w:rPr>
        <w:t>机关运行经费较上年支出数增加74.49万元，增长26.74%，主要原因是办公费增加。</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F50018" w:rsidRDefault="00136A01">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截至2023年12月31日，本部门共有车辆</w:t>
      </w:r>
      <w:r>
        <w:rPr>
          <w:rFonts w:ascii="方正仿宋_GBK" w:eastAsia="方正仿宋_GBK" w:hAnsi="方正仿宋_GBK" w:cs="方正仿宋_GBK"/>
          <w:sz w:val="32"/>
          <w:szCs w:val="32"/>
        </w:rPr>
        <w:t>3</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F50018" w:rsidRPr="00ED4AE6" w:rsidRDefault="00136A01">
      <w:pPr>
        <w:pStyle w:val="a7"/>
        <w:snapToGrid w:val="0"/>
        <w:spacing w:before="0" w:beforeAutospacing="0" w:after="0" w:afterAutospacing="0" w:line="600" w:lineRule="exact"/>
        <w:ind w:firstLineChars="400" w:firstLine="128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w:t>
      </w:r>
      <w:r w:rsidRPr="00ED4AE6">
        <w:rPr>
          <w:rFonts w:ascii="方正仿宋_GBK" w:eastAsia="方正仿宋_GBK" w:hAnsi="方正仿宋_GBK" w:cs="方正仿宋_GBK"/>
          <w:sz w:val="32"/>
          <w:szCs w:val="32"/>
          <w:shd w:val="clear" w:color="auto" w:fill="FFFFFF"/>
        </w:rPr>
        <w:t>出总额的</w:t>
      </w:r>
      <w:r w:rsidRPr="00ED4AE6">
        <w:rPr>
          <w:rFonts w:ascii="方正仿宋_GBK" w:eastAsia="方正仿宋_GBK" w:hAnsi="方正仿宋_GBK" w:cs="方正仿宋_GBK"/>
          <w:sz w:val="32"/>
          <w:szCs w:val="32"/>
        </w:rPr>
        <w:t>0</w:t>
      </w:r>
      <w:r w:rsidRPr="00ED4AE6">
        <w:rPr>
          <w:rFonts w:ascii="方正仿宋_GBK" w:eastAsia="方正仿宋_GBK" w:hAnsi="方正仿宋_GBK" w:cs="方正仿宋_GBK"/>
          <w:sz w:val="32"/>
          <w:szCs w:val="32"/>
          <w:shd w:val="clear" w:color="auto" w:fill="FFFFFF"/>
        </w:rPr>
        <w:t xml:space="preserve"> %。2023年度我单位未发生政府采购事项，无相关经费支出。</w:t>
      </w:r>
    </w:p>
    <w:p w:rsidR="00F50018" w:rsidRDefault="00136A01">
      <w:pPr>
        <w:pStyle w:val="a7"/>
        <w:numPr>
          <w:ilvl w:val="0"/>
          <w:numId w:val="1"/>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F50018" w:rsidRDefault="00136A01">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根据预算绩效管理要求，我单位对7个二级项目开展了绩效自评，涉及财政拨款项目支出资金256.28万元。</w:t>
      </w:r>
    </w:p>
    <w:p w:rsidR="00F50018" w:rsidRDefault="00F50018">
      <w:pPr>
        <w:pStyle w:val="Char"/>
        <w:autoSpaceDE w:val="0"/>
        <w:spacing w:before="0" w:beforeAutospacing="0" w:line="600" w:lineRule="exact"/>
        <w:rPr>
          <w:rFonts w:ascii="方正仿宋_GBK" w:eastAsia="方正仿宋_GBK" w:hAnsi="方正仿宋_GBK" w:cs="方正仿宋_GBK"/>
          <w:sz w:val="32"/>
          <w:szCs w:val="32"/>
          <w:shd w:val="clear" w:color="auto" w:fill="FFFFFF"/>
          <w:lang w:bidi="ar"/>
        </w:rPr>
      </w:pPr>
    </w:p>
    <w:p w:rsidR="00F50018" w:rsidRDefault="00F50018">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F50018" w:rsidRDefault="00136A01">
      <w:pPr>
        <w:pStyle w:val="1"/>
        <w:autoSpaceDE w:val="0"/>
        <w:ind w:firstLine="640"/>
        <w:jc w:val="center"/>
        <w:rPr>
          <w:rFonts w:ascii="楷体" w:eastAsia="楷体" w:hAnsi="楷体" w:cs="楷体"/>
          <w:b/>
          <w:bCs/>
          <w:sz w:val="32"/>
          <w:szCs w:val="32"/>
          <w:shd w:val="clear" w:color="auto" w:fill="FFFFFF"/>
          <w:lang w:bidi="ar"/>
        </w:rPr>
      </w:pPr>
      <w:r>
        <w:rPr>
          <w:rFonts w:ascii="方正仿宋_GBK" w:eastAsia="方正仿宋_GBK" w:hAnsi="方正仿宋_GBK" w:cs="方正仿宋_GBK" w:hint="eastAsia"/>
          <w:noProof/>
          <w:sz w:val="32"/>
          <w:szCs w:val="32"/>
          <w:shd w:val="clear" w:color="auto" w:fill="FFFFFF"/>
        </w:rPr>
        <w:lastRenderedPageBreak/>
        <w:drawing>
          <wp:inline distT="0" distB="0" distL="114300" distR="114300">
            <wp:extent cx="5274310" cy="3406775"/>
            <wp:effectExtent l="0" t="0" r="13970" b="6985"/>
            <wp:docPr id="2" name="图片 2" descr="2de18bccd4204c836187a5198532a6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e18bccd4204c836187a5198532a6e4"/>
                    <pic:cNvPicPr>
                      <a:picLocks noChangeAspect="1"/>
                    </pic:cNvPicPr>
                  </pic:nvPicPr>
                  <pic:blipFill>
                    <a:blip r:embed="rId8"/>
                    <a:stretch>
                      <a:fillRect/>
                    </a:stretch>
                  </pic:blipFill>
                  <pic:spPr>
                    <a:xfrm>
                      <a:off x="0" y="0"/>
                      <a:ext cx="5274310" cy="3406775"/>
                    </a:xfrm>
                    <a:prstGeom prst="rect">
                      <a:avLst/>
                    </a:prstGeom>
                  </pic:spPr>
                </pic:pic>
              </a:graphicData>
            </a:graphic>
          </wp:inline>
        </w:drawing>
      </w:r>
    </w:p>
    <w:p w:rsidR="00F50018" w:rsidRDefault="00F50018">
      <w:pPr>
        <w:pStyle w:val="1"/>
        <w:autoSpaceDE w:val="0"/>
        <w:ind w:firstLine="643"/>
        <w:rPr>
          <w:rFonts w:ascii="楷体" w:eastAsia="楷体" w:hAnsi="楷体" w:cs="楷体"/>
          <w:b/>
          <w:bCs/>
          <w:sz w:val="32"/>
          <w:szCs w:val="32"/>
          <w:shd w:val="clear" w:color="auto" w:fill="FFFFFF"/>
          <w:lang w:bidi="ar"/>
        </w:rPr>
      </w:pP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noProof/>
          <w:sz w:val="32"/>
          <w:szCs w:val="32"/>
          <w:shd w:val="clear" w:color="auto" w:fill="FFFFFF"/>
        </w:rPr>
        <w:drawing>
          <wp:inline distT="0" distB="0" distL="114300" distR="114300">
            <wp:extent cx="5274945" cy="4141470"/>
            <wp:effectExtent l="0" t="0" r="13335" b="3810"/>
            <wp:docPr id="3" name="图片 3" descr="d44b59ab85590dde4cc933fbdf7bd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44b59ab85590dde4cc933fbdf7bd344"/>
                    <pic:cNvPicPr>
                      <a:picLocks noChangeAspect="1"/>
                    </pic:cNvPicPr>
                  </pic:nvPicPr>
                  <pic:blipFill>
                    <a:blip r:embed="rId9"/>
                    <a:stretch>
                      <a:fillRect/>
                    </a:stretch>
                  </pic:blipFill>
                  <pic:spPr>
                    <a:xfrm>
                      <a:off x="0" y="0"/>
                      <a:ext cx="5274945" cy="4141470"/>
                    </a:xfrm>
                    <a:prstGeom prst="rect">
                      <a:avLst/>
                    </a:prstGeom>
                  </pic:spPr>
                </pic:pic>
              </a:graphicData>
            </a:graphic>
          </wp:inline>
        </w:drawing>
      </w:r>
    </w:p>
    <w:p w:rsidR="00F50018" w:rsidRDefault="00F50018">
      <w:pPr>
        <w:pStyle w:val="1"/>
        <w:autoSpaceDE w:val="0"/>
        <w:ind w:firstLineChars="0" w:firstLine="0"/>
        <w:rPr>
          <w:rFonts w:ascii="楷体" w:eastAsia="楷体" w:hAnsi="楷体" w:cs="楷体"/>
          <w:b/>
          <w:bCs/>
          <w:sz w:val="32"/>
          <w:szCs w:val="32"/>
          <w:shd w:val="clear" w:color="auto" w:fill="FFFFFF"/>
          <w:lang w:bidi="ar"/>
        </w:rPr>
      </w:pP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（二）单位绩效评价情况</w:t>
      </w:r>
    </w:p>
    <w:p w:rsidR="00F50018" w:rsidRDefault="00136A01">
      <w:pPr>
        <w:pStyle w:val="1"/>
        <w:autoSpaceDE w:val="0"/>
        <w:ind w:firstLine="640"/>
        <w:rPr>
          <w:rFonts w:ascii="楷体" w:eastAsia="楷体" w:hAnsi="楷体" w:cs="楷体"/>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lastRenderedPageBreak/>
        <w:t>我单位未组织开展绩效评价。</w:t>
      </w:r>
    </w:p>
    <w:p w:rsidR="00F50018" w:rsidRDefault="00136A0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F50018" w:rsidRDefault="00136A01">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县财政局未委托第三方对我单位开展绩效评价。</w:t>
      </w:r>
    </w:p>
    <w:p w:rsidR="00F50018" w:rsidRDefault="00136A01">
      <w:pPr>
        <w:pStyle w:val="a7"/>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六、专业名词解释</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bookmarkStart w:id="0" w:name="_GoBack"/>
      <w:bookmarkEnd w:id="0"/>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w:t>
      </w:r>
      <w:r>
        <w:rPr>
          <w:rFonts w:ascii="方正仿宋_GBK" w:eastAsia="方正仿宋_GBK" w:hAnsi="方正仿宋_GBK" w:cs="方正仿宋_GBK"/>
          <w:sz w:val="32"/>
          <w:szCs w:val="32"/>
          <w:shd w:val="clear" w:color="auto" w:fill="FFFFFF"/>
        </w:rPr>
        <w:lastRenderedPageBreak/>
        <w:t>不足以安排当年支出的情况下，使用以前年度积累的非财政拨款结余弥补本年度收支缺口的资金。</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方正仿宋_GBK" w:eastAsia="方正仿宋_GBK" w:hAnsi="方正仿宋_GBK" w:cs="方正仿宋_GBK"/>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F50018" w:rsidRDefault="00136A01">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F50018" w:rsidRDefault="00136A01">
      <w:pPr>
        <w:pStyle w:val="a7"/>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lastRenderedPageBreak/>
        <w:t xml:space="preserve">  </w:t>
      </w:r>
      <w:r>
        <w:rPr>
          <w:rStyle w:val="a8"/>
          <w:rFonts w:ascii="黑体" w:eastAsia="黑体" w:hAnsi="黑体" w:cs="黑体"/>
          <w:sz w:val="32"/>
          <w:szCs w:val="32"/>
          <w:shd w:val="clear" w:color="auto" w:fill="FFFFFF"/>
        </w:rPr>
        <w:t>七、决算公开联系方式及信息反馈渠道</w:t>
      </w:r>
    </w:p>
    <w:p w:rsidR="00F50018" w:rsidRDefault="00136A01">
      <w:pPr>
        <w:pStyle w:val="1"/>
        <w:autoSpaceDE w:val="0"/>
        <w:ind w:firstLineChars="0" w:firstLine="0"/>
        <w:rPr>
          <w:rStyle w:val="a8"/>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szCs w:val="32"/>
          <w:shd w:val="clear" w:color="auto" w:fill="FFFFFF"/>
        </w:rPr>
        <w:t>本单位决算公开信息反馈和联系方式：贺老师023-74516510</w:t>
      </w:r>
    </w:p>
    <w:p w:rsidR="00F50018" w:rsidRDefault="00F50018">
      <w:pPr>
        <w:pStyle w:val="1"/>
        <w:autoSpaceDE w:val="0"/>
        <w:ind w:firstLineChars="0" w:firstLine="0"/>
        <w:rPr>
          <w:rStyle w:val="a8"/>
          <w:rFonts w:ascii="方正仿宋_GBK" w:eastAsia="方正仿宋_GBK" w:hAnsi="方正仿宋_GBK" w:cs="方正仿宋_GBK"/>
          <w:sz w:val="32"/>
          <w:szCs w:val="32"/>
          <w:shd w:val="clear" w:color="auto" w:fill="FFFF00"/>
        </w:rPr>
      </w:pPr>
    </w:p>
    <w:p w:rsidR="00F50018" w:rsidRDefault="00F50018">
      <w:pPr>
        <w:pStyle w:val="1"/>
        <w:autoSpaceDE w:val="0"/>
        <w:ind w:firstLineChars="0" w:firstLine="0"/>
        <w:rPr>
          <w:rStyle w:val="a8"/>
          <w:rFonts w:ascii="方正仿宋_GBK" w:eastAsia="方正仿宋_GBK" w:hAnsi="方正仿宋_GBK" w:cs="方正仿宋_GBK"/>
          <w:sz w:val="32"/>
          <w:szCs w:val="32"/>
          <w:shd w:val="clear" w:color="auto" w:fill="FFFF00"/>
        </w:rPr>
      </w:pPr>
    </w:p>
    <w:p w:rsidR="00F50018" w:rsidRDefault="00F50018">
      <w:pPr>
        <w:pStyle w:val="1"/>
        <w:autoSpaceDE w:val="0"/>
        <w:ind w:firstLineChars="0" w:firstLine="0"/>
        <w:rPr>
          <w:rStyle w:val="a8"/>
          <w:rFonts w:ascii="方正仿宋_GBK" w:eastAsia="方正仿宋_GBK" w:hAnsi="方正仿宋_GBK" w:cs="方正仿宋_GBK"/>
          <w:sz w:val="32"/>
          <w:szCs w:val="32"/>
          <w:shd w:val="clear" w:color="auto" w:fill="FFFF00"/>
        </w:rPr>
        <w:sectPr w:rsidR="00F50018">
          <w:footerReference w:type="default" r:id="rId10"/>
          <w:pgSz w:w="11915" w:h="16840"/>
          <w:pgMar w:top="1440" w:right="1800" w:bottom="1440" w:left="1800" w:header="851" w:footer="992" w:gutter="0"/>
          <w:pgNumType w:fmt="numberInDash"/>
          <w:cols w:space="720"/>
          <w:docGrid w:type="lines" w:linePitch="312"/>
        </w:sectPr>
      </w:pPr>
    </w:p>
    <w:p w:rsidR="00F50018" w:rsidRDefault="00F50018">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F50018">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F50018" w:rsidRDefault="00136A01">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F50018">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F50018" w:rsidRDefault="00F50018">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公开01表</w:t>
            </w:r>
          </w:p>
        </w:tc>
      </w:tr>
      <w:tr w:rsidR="00F50018">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F50018" w:rsidRDefault="00136A01">
            <w:pPr>
              <w:textAlignment w:val="bottom"/>
              <w:rPr>
                <w:rFonts w:cs="宋体" w:hint="default"/>
                <w:color w:val="000000"/>
              </w:rPr>
            </w:pPr>
            <w:r>
              <w:rPr>
                <w:rFonts w:cs="宋体"/>
              </w:rPr>
              <w:t>公开单位：垫江县财政局（本级）</w:t>
            </w:r>
          </w:p>
        </w:tc>
        <w:tc>
          <w:tcPr>
            <w:tcW w:w="4358" w:type="dxa"/>
            <w:tcBorders>
              <w:top w:val="nil"/>
              <w:left w:val="nil"/>
              <w:bottom w:val="nil"/>
              <w:right w:val="nil"/>
            </w:tcBorders>
            <w:shd w:val="clear" w:color="auto" w:fill="auto"/>
            <w:tcMar>
              <w:top w:w="15" w:type="dxa"/>
              <w:left w:w="15" w:type="dxa"/>
              <w:right w:w="15" w:type="dxa"/>
            </w:tcMar>
            <w:vAlign w:val="bottom"/>
          </w:tcPr>
          <w:p w:rsidR="00F50018" w:rsidRDefault="00F50018">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单位：</w:t>
            </w:r>
            <w:r>
              <w:rPr>
                <w:rFonts w:cs="宋体"/>
              </w:rPr>
              <w:t>万元</w:t>
            </w:r>
          </w:p>
        </w:tc>
      </w:tr>
      <w:tr w:rsidR="00F50018">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支出</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决算数</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1,167.32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967.95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1.48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183.98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17.32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21.58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1,167.32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1,192.31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44.26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19.27 </w:t>
            </w:r>
          </w:p>
        </w:tc>
      </w:tr>
      <w:tr w:rsidR="00F50018">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1,211.59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0"/>
                <w:szCs w:val="20"/>
              </w:rPr>
            </w:pPr>
            <w:r>
              <w:rPr>
                <w:rFonts w:cs="宋体"/>
                <w:color w:val="000000"/>
                <w:sz w:val="21"/>
                <w:szCs w:val="21"/>
                <w:lang w:bidi="ar"/>
              </w:rPr>
              <w:t xml:space="preserve">1,211.59 </w:t>
            </w:r>
          </w:p>
        </w:tc>
      </w:tr>
    </w:tbl>
    <w:p w:rsidR="00F50018" w:rsidRDefault="00136A01">
      <w:pPr>
        <w:rPr>
          <w:rFonts w:cs="宋体" w:hint="default"/>
          <w:sz w:val="21"/>
          <w:szCs w:val="21"/>
          <w:lang w:bidi="ar"/>
        </w:rPr>
      </w:pPr>
      <w:r>
        <w:rPr>
          <w:rFonts w:cs="宋体"/>
          <w:sz w:val="21"/>
          <w:szCs w:val="21"/>
          <w:lang w:bidi="ar"/>
        </w:rPr>
        <w:t>备注：1.本表反映单位本年度的总收支和年末结转结余情况。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F50018" w:rsidRDefault="00136A01">
      <w:pPr>
        <w:rPr>
          <w:rFonts w:cs="宋体" w:hint="default"/>
          <w:sz w:val="21"/>
          <w:szCs w:val="21"/>
          <w:lang w:bidi="ar"/>
        </w:rPr>
      </w:pPr>
      <w:r>
        <w:rPr>
          <w:rFonts w:cs="宋体"/>
          <w:sz w:val="21"/>
          <w:szCs w:val="21"/>
          <w:lang w:bidi="ar"/>
        </w:rPr>
        <w:br w:type="page"/>
      </w:r>
    </w:p>
    <w:p w:rsidR="00F50018" w:rsidRDefault="00F50018">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F50018">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F50018" w:rsidRDefault="00136A01">
            <w:pPr>
              <w:jc w:val="center"/>
              <w:textAlignment w:val="bottom"/>
              <w:rPr>
                <w:rFonts w:cs="宋体" w:hint="default"/>
                <w:b/>
                <w:color w:val="000000"/>
                <w:sz w:val="40"/>
                <w:szCs w:val="40"/>
              </w:rPr>
            </w:pPr>
            <w:r>
              <w:rPr>
                <w:rFonts w:cs="宋体"/>
                <w:b/>
                <w:color w:val="000000"/>
                <w:sz w:val="44"/>
                <w:szCs w:val="44"/>
                <w:lang w:bidi="ar"/>
              </w:rPr>
              <w:t>收入决算表</w:t>
            </w:r>
          </w:p>
        </w:tc>
      </w:tr>
      <w:tr w:rsidR="00F50018">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F50018" w:rsidRDefault="00136A01">
            <w:pPr>
              <w:rPr>
                <w:rFonts w:ascii="Arial" w:hAnsi="Arial" w:cs="Arial" w:hint="default"/>
                <w:color w:val="000000"/>
                <w:sz w:val="22"/>
                <w:szCs w:val="22"/>
              </w:rPr>
            </w:pPr>
            <w:r>
              <w:rPr>
                <w:rFonts w:cs="宋体"/>
              </w:rPr>
              <w:t>公开单位：垫江县财政局（本级）</w:t>
            </w:r>
          </w:p>
        </w:tc>
        <w:tc>
          <w:tcPr>
            <w:tcW w:w="2412"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公开02表</w:t>
            </w:r>
          </w:p>
        </w:tc>
      </w:tr>
      <w:tr w:rsidR="00F50018">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单位：</w:t>
            </w:r>
            <w:r>
              <w:rPr>
                <w:rFonts w:cs="宋体"/>
              </w:rPr>
              <w:t>万元</w:t>
            </w:r>
          </w:p>
        </w:tc>
      </w:tr>
      <w:tr w:rsidR="00F50018">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F50018" w:rsidRDefault="00136A01">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0018" w:rsidRDefault="00136A01">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其他收入</w:t>
            </w:r>
          </w:p>
        </w:tc>
      </w:tr>
      <w:tr w:rsidR="00F50018">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1,167.32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1,167.32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942.74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942.74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20106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财政事务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942.74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942.74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710.96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710.96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财政国库业务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107.90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107.90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财政监察</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其他财政事务支出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13.88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13.88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1.48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1.48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1.48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1.48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2050803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1.48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1.48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184.20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184.20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0.18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0.18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0.18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0.18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163.59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163.59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38.80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38.80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19.43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19.43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105.36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105.36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20808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20.44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20.44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死亡抚恤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20.44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20.44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17.32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17.32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17.32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17.32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17.32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17.32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21.58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21.58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21.58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21.58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21.58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21.58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F50018" w:rsidRDefault="00136A01">
      <w:pPr>
        <w:ind w:left="630" w:hangingChars="300" w:hanging="630"/>
        <w:rPr>
          <w:rFonts w:cs="宋体" w:hint="default"/>
          <w:sz w:val="21"/>
          <w:szCs w:val="21"/>
          <w:lang w:bidi="ar"/>
        </w:rPr>
      </w:pPr>
      <w:r>
        <w:rPr>
          <w:rFonts w:cs="宋体"/>
          <w:sz w:val="21"/>
          <w:szCs w:val="21"/>
          <w:lang w:bidi="ar"/>
        </w:rPr>
        <w:t>备注：1.本表反映单位本年度取得的各项收入情况。</w:t>
      </w:r>
      <w:r>
        <w:rPr>
          <w:rFonts w:cs="宋体"/>
          <w:sz w:val="21"/>
          <w:szCs w:val="21"/>
          <w:lang w:bidi="ar"/>
        </w:rPr>
        <w:br/>
        <w:t>2.本套报表金额单位转换时可能存在尾数误差。</w:t>
      </w:r>
      <w:r>
        <w:rPr>
          <w:rFonts w:cs="宋体"/>
          <w:sz w:val="21"/>
          <w:szCs w:val="21"/>
          <w:lang w:bidi="ar"/>
        </w:rPr>
        <w:br/>
      </w:r>
      <w:r>
        <w:rPr>
          <w:rFonts w:cs="宋体"/>
          <w:sz w:val="21"/>
          <w:szCs w:val="21"/>
          <w:lang w:bidi="ar"/>
        </w:rPr>
        <w:br/>
      </w:r>
    </w:p>
    <w:p w:rsidR="00F50018" w:rsidRDefault="00136A01">
      <w:pPr>
        <w:rPr>
          <w:rFonts w:cs="宋体" w:hint="default"/>
          <w:sz w:val="21"/>
          <w:szCs w:val="21"/>
          <w:lang w:bidi="ar"/>
        </w:rPr>
      </w:pPr>
      <w:r>
        <w:rPr>
          <w:rFonts w:cs="宋体"/>
          <w:sz w:val="21"/>
          <w:szCs w:val="21"/>
          <w:lang w:bidi="ar"/>
        </w:rPr>
        <w:br w:type="page"/>
      </w:r>
    </w:p>
    <w:p w:rsidR="00F50018" w:rsidRDefault="00F50018">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F50018">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F50018" w:rsidRDefault="00136A01">
            <w:pPr>
              <w:jc w:val="center"/>
              <w:textAlignment w:val="bottom"/>
              <w:rPr>
                <w:rFonts w:cs="宋体" w:hint="default"/>
                <w:b/>
                <w:color w:val="000000"/>
                <w:sz w:val="40"/>
                <w:szCs w:val="40"/>
              </w:rPr>
            </w:pPr>
            <w:r>
              <w:rPr>
                <w:rFonts w:cs="宋体"/>
                <w:b/>
                <w:color w:val="000000"/>
                <w:sz w:val="44"/>
                <w:szCs w:val="44"/>
                <w:lang w:bidi="ar"/>
              </w:rPr>
              <w:t>支出决算表</w:t>
            </w:r>
          </w:p>
        </w:tc>
      </w:tr>
      <w:tr w:rsidR="00F50018">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F50018" w:rsidRDefault="00136A01">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 xml:space="preserve">垫江县财政局（本级） </w:t>
            </w:r>
          </w:p>
        </w:tc>
        <w:tc>
          <w:tcPr>
            <w:tcW w:w="2760"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公开03表</w:t>
            </w:r>
          </w:p>
        </w:tc>
      </w:tr>
      <w:tr w:rsidR="00F50018">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单位：</w:t>
            </w:r>
            <w:r>
              <w:rPr>
                <w:rFonts w:cs="宋体"/>
              </w:rPr>
              <w:t>万元</w:t>
            </w:r>
          </w:p>
        </w:tc>
      </w:tr>
      <w:tr w:rsidR="00F50018">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0018" w:rsidRDefault="00136A01">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F50018">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1,192.31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938.71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253.60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967.95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714.53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253.42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20106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财政事务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967.95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714.53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253.42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714.53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714.53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财政国库业务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128.69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128.69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财政监察</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其他财政事务支出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14.74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14.74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1.48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1.48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1.48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1.48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2050803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1.48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1.48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183.98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183.81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0.18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0.18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0.18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0.18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0.18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163.37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163.37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38.65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38.65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19.36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19.36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105.36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105.36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20808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20.44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20.44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死亡抚恤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20.44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20.44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17.32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17.32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17.32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17.32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17.32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17.32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21.58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21.58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21.58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b/>
                <w:color w:val="000000"/>
                <w:sz w:val="21"/>
                <w:szCs w:val="21"/>
                <w:lang w:bidi="ar"/>
              </w:rPr>
              <w:t xml:space="preserve">21.58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F5001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21.58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21.58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F50018" w:rsidRDefault="00136A01">
      <w:pPr>
        <w:rPr>
          <w:rFonts w:cs="宋体" w:hint="default"/>
          <w:sz w:val="21"/>
          <w:szCs w:val="21"/>
        </w:rPr>
      </w:pPr>
      <w:r>
        <w:rPr>
          <w:rFonts w:cs="宋体"/>
          <w:sz w:val="21"/>
          <w:szCs w:val="21"/>
          <w:lang w:bidi="ar"/>
        </w:rPr>
        <w:t>备注：1.本表反映单位本年度各项支出情况。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F50018" w:rsidRDefault="00136A01">
      <w:pPr>
        <w:rPr>
          <w:rFonts w:cs="宋体" w:hint="default"/>
          <w:sz w:val="21"/>
          <w:szCs w:val="21"/>
          <w:lang w:bidi="ar"/>
        </w:rPr>
      </w:pPr>
      <w:r>
        <w:rPr>
          <w:rFonts w:cs="宋体"/>
          <w:sz w:val="21"/>
          <w:szCs w:val="21"/>
          <w:lang w:bidi="ar"/>
        </w:rPr>
        <w:br w:type="page"/>
      </w:r>
    </w:p>
    <w:p w:rsidR="00F50018" w:rsidRDefault="00F50018">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F50018">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F50018" w:rsidRDefault="00136A01">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F50018">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F50018" w:rsidRDefault="00136A01">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垫江县财政局（本级）</w:t>
            </w:r>
          </w:p>
        </w:tc>
        <w:tc>
          <w:tcPr>
            <w:tcW w:w="3752"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公开04表</w:t>
            </w:r>
          </w:p>
        </w:tc>
      </w:tr>
      <w:tr w:rsidR="00F50018">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单位：</w:t>
            </w:r>
            <w:r>
              <w:rPr>
                <w:rFonts w:cs="宋体"/>
              </w:rPr>
              <w:t>万元</w:t>
            </w:r>
          </w:p>
        </w:tc>
      </w:tr>
      <w:tr w:rsidR="00F50018">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支     出</w:t>
            </w:r>
          </w:p>
        </w:tc>
      </w:tr>
      <w:tr w:rsidR="00F50018">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决算数</w:t>
            </w:r>
          </w:p>
        </w:tc>
      </w:tr>
      <w:tr w:rsidR="00F50018">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1,167.32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967.95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967.95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1.48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1.48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183.98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183.98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17.32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17.32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21.58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21.58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1,167.32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1,192.31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1,192.31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44.26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19.27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19.27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44.26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r>
      <w:tr w:rsidR="00F5001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1,211.59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0"/>
                <w:szCs w:val="20"/>
              </w:rPr>
            </w:pPr>
            <w:r>
              <w:rPr>
                <w:rFonts w:cs="宋体"/>
                <w:color w:val="000000"/>
                <w:sz w:val="21"/>
                <w:szCs w:val="21"/>
                <w:lang w:bidi="ar"/>
              </w:rPr>
              <w:t xml:space="preserve">1,211.59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0"/>
                <w:szCs w:val="20"/>
              </w:rPr>
            </w:pPr>
            <w:r>
              <w:rPr>
                <w:rFonts w:cs="宋体"/>
                <w:color w:val="000000"/>
                <w:sz w:val="21"/>
                <w:szCs w:val="21"/>
                <w:lang w:bidi="ar"/>
              </w:rPr>
              <w:t xml:space="preserve">1,211.59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F50018" w:rsidRDefault="00136A01">
      <w:pPr>
        <w:rPr>
          <w:rFonts w:cs="宋体" w:hint="default"/>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F50018" w:rsidRDefault="00136A01">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F50018">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F50018" w:rsidRDefault="00136A01">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F50018">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F50018" w:rsidRDefault="00136A01">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垫江县财政局（本级）</w:t>
            </w:r>
          </w:p>
        </w:tc>
        <w:tc>
          <w:tcPr>
            <w:tcW w:w="4817"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公开05表</w:t>
            </w:r>
          </w:p>
        </w:tc>
      </w:tr>
      <w:tr w:rsidR="00F50018">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单位：</w:t>
            </w:r>
            <w:r>
              <w:rPr>
                <w:rFonts w:cs="宋体"/>
              </w:rPr>
              <w:t>万元</w:t>
            </w:r>
          </w:p>
        </w:tc>
      </w:tr>
      <w:tr w:rsidR="00F50018">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本年支出</w:t>
            </w:r>
          </w:p>
        </w:tc>
      </w:tr>
      <w:tr w:rsidR="00F50018">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项目支出</w:t>
            </w:r>
          </w:p>
        </w:tc>
      </w:tr>
      <w:tr w:rsidR="00F50018">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1,192.31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938.71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253.60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967.95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714.53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253.42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20106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财政事务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967.95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714.53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253.42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714.53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714.53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100.00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100.00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财政国库业务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128.69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128.69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财政监察</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10.00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10.00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2010699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其他财政事务支出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14.74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14.74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教育支出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1.48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1.48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1.48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1.48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2050803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培训支出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1.48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1.48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183.98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183.81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0.18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0.18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0.18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0.18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0.18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163.37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163.37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38.65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38.65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19.36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19.36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105.36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105.36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20808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20.44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20.44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2080801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死亡抚恤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20.44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20.44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17.32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17.32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17.32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17.32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17.32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17.32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21.58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21.58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21.58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color w:val="000000"/>
                <w:sz w:val="21"/>
                <w:szCs w:val="21"/>
                <w:lang w:bidi="ar"/>
              </w:rPr>
              <w:t xml:space="preserve">21.58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F5001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21.58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21.58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F50018" w:rsidRDefault="00136A01">
      <w:pPr>
        <w:rPr>
          <w:rFonts w:cs="宋体" w:hint="default"/>
          <w:sz w:val="21"/>
          <w:szCs w:val="21"/>
        </w:rPr>
      </w:pPr>
      <w:r>
        <w:rPr>
          <w:rFonts w:cs="宋体"/>
          <w:sz w:val="21"/>
          <w:szCs w:val="21"/>
          <w:lang w:bidi="ar"/>
        </w:rPr>
        <w:t>备注：1.本表反映单位本年度一般公共预算财政拨款支出情况。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F50018" w:rsidRDefault="00136A01">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F50018">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F50018" w:rsidRDefault="00136A01">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F50018">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F50018" w:rsidRDefault="00136A01">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垫江县财政局（本级）</w:t>
            </w:r>
          </w:p>
        </w:tc>
        <w:tc>
          <w:tcPr>
            <w:tcW w:w="2829"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公开06表</w:t>
            </w:r>
          </w:p>
        </w:tc>
      </w:tr>
      <w:tr w:rsidR="00F50018">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单位：</w:t>
            </w:r>
            <w:r>
              <w:rPr>
                <w:rFonts w:cs="宋体"/>
              </w:rPr>
              <w:t>万元</w:t>
            </w:r>
          </w:p>
        </w:tc>
      </w:tr>
      <w:tr w:rsidR="00F50018">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公用经费</w:t>
            </w:r>
          </w:p>
        </w:tc>
      </w:tr>
      <w:tr w:rsidR="00F50018">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金额</w:t>
            </w:r>
          </w:p>
        </w:tc>
      </w:tr>
      <w:tr w:rsidR="00F50018">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449.43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343.35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9.74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92.26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33.69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62.17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11.14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9.74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158.15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0.35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1.71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38.65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16.49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19.36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39.83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17.32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2.59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4.53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35.66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21.58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19.52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7.21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15.89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0.67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136.20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0.77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1.77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18.45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0.38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20.44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91.59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30.45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13.07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60.00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11.10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1.25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15.28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16.23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49.45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r>
      <w:tr w:rsidR="00F5001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color w:val="000000"/>
                <w:sz w:val="22"/>
                <w:szCs w:val="22"/>
              </w:rPr>
            </w:pPr>
          </w:p>
        </w:tc>
      </w:tr>
      <w:tr w:rsidR="00F50018">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585.62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color w:val="000000"/>
                <w:sz w:val="22"/>
                <w:szCs w:val="22"/>
              </w:rPr>
            </w:pPr>
            <w:r>
              <w:rPr>
                <w:rFonts w:cs="宋体"/>
                <w:color w:val="000000"/>
                <w:sz w:val="21"/>
                <w:szCs w:val="21"/>
                <w:lang w:bidi="ar"/>
              </w:rPr>
              <w:t xml:space="preserve">353.09 </w:t>
            </w:r>
          </w:p>
        </w:tc>
      </w:tr>
    </w:tbl>
    <w:p w:rsidR="00F50018" w:rsidRDefault="00136A01">
      <w:pPr>
        <w:rPr>
          <w:rFonts w:cs="宋体" w:hint="default"/>
          <w:sz w:val="21"/>
          <w:szCs w:val="21"/>
        </w:rPr>
      </w:pPr>
      <w:r>
        <w:rPr>
          <w:rFonts w:cs="宋体"/>
          <w:sz w:val="21"/>
          <w:szCs w:val="21"/>
          <w:lang w:bidi="ar"/>
        </w:rPr>
        <w:t>备注：1.本表反映单位本年度一般公共预算财政拨款基本支出明细情况。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F50018" w:rsidRDefault="00136A01">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F50018">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F50018" w:rsidRDefault="00136A01">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F50018">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F50018" w:rsidRDefault="00136A01">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垫江县财政局（本级）</w:t>
            </w:r>
          </w:p>
        </w:tc>
        <w:tc>
          <w:tcPr>
            <w:tcW w:w="247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公开07表</w:t>
            </w:r>
          </w:p>
        </w:tc>
      </w:tr>
      <w:tr w:rsidR="00F50018">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单位：</w:t>
            </w:r>
            <w:r>
              <w:rPr>
                <w:rFonts w:cs="宋体"/>
              </w:rPr>
              <w:t>万元</w:t>
            </w:r>
          </w:p>
        </w:tc>
      </w:tr>
      <w:tr w:rsidR="00F50018">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F50018">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F50018" w:rsidRDefault="00136A01">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F50018" w:rsidRDefault="00136A01">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F50018">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F50018" w:rsidRDefault="00136A01">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F50018">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F50018" w:rsidRDefault="00136A01">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垫江县财政局（本级）</w:t>
            </w:r>
          </w:p>
        </w:tc>
        <w:tc>
          <w:tcPr>
            <w:tcW w:w="4736"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公开08表</w:t>
            </w:r>
          </w:p>
        </w:tc>
      </w:tr>
      <w:tr w:rsidR="00F50018">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单位：</w:t>
            </w:r>
            <w:r>
              <w:rPr>
                <w:rFonts w:cs="宋体"/>
              </w:rPr>
              <w:t>万元</w:t>
            </w:r>
          </w:p>
        </w:tc>
      </w:tr>
      <w:tr w:rsidR="00F50018">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0018" w:rsidRDefault="00136A01">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F50018" w:rsidRDefault="00136A01">
            <w:pPr>
              <w:jc w:val="center"/>
              <w:textAlignment w:val="bottom"/>
              <w:rPr>
                <w:rFonts w:cs="宋体" w:hint="default"/>
                <w:b/>
                <w:color w:val="000000"/>
                <w:sz w:val="22"/>
                <w:szCs w:val="22"/>
              </w:rPr>
            </w:pPr>
            <w:r>
              <w:rPr>
                <w:rFonts w:cs="宋体"/>
                <w:b/>
                <w:color w:val="000000"/>
                <w:sz w:val="22"/>
                <w:szCs w:val="22"/>
                <w:lang w:bidi="ar"/>
              </w:rPr>
              <w:t>本年支出</w:t>
            </w:r>
          </w:p>
        </w:tc>
      </w:tr>
      <w:tr w:rsidR="00F50018">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项目支出</w:t>
            </w:r>
          </w:p>
        </w:tc>
      </w:tr>
      <w:tr w:rsidR="00F50018">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jc w:val="center"/>
              <w:rPr>
                <w:rFonts w:cs="宋体" w:hint="default"/>
                <w:b/>
                <w:color w:val="000000"/>
                <w:sz w:val="22"/>
                <w:szCs w:val="22"/>
              </w:rPr>
            </w:pPr>
          </w:p>
        </w:tc>
      </w:tr>
      <w:tr w:rsidR="00F50018">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F50018">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F50018" w:rsidRDefault="00136A01">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F50018" w:rsidRDefault="00136A01">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F50018">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F50018" w:rsidRDefault="00136A01">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F50018">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F50018" w:rsidRDefault="00F50018">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F50018" w:rsidRDefault="00F50018">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公开09表</w:t>
            </w:r>
          </w:p>
        </w:tc>
      </w:tr>
      <w:tr w:rsidR="00F50018">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F50018" w:rsidRDefault="00136A01">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垫江县财政局（本级）</w:t>
            </w:r>
          </w:p>
        </w:tc>
        <w:tc>
          <w:tcPr>
            <w:tcW w:w="3822" w:type="dxa"/>
            <w:tcBorders>
              <w:top w:val="nil"/>
              <w:left w:val="nil"/>
              <w:bottom w:val="nil"/>
              <w:right w:val="nil"/>
            </w:tcBorders>
            <w:shd w:val="clear" w:color="auto" w:fill="auto"/>
            <w:tcMar>
              <w:top w:w="15" w:type="dxa"/>
              <w:left w:w="15" w:type="dxa"/>
              <w:right w:w="15" w:type="dxa"/>
            </w:tcMar>
            <w:vAlign w:val="bottom"/>
          </w:tcPr>
          <w:p w:rsidR="00F50018" w:rsidRDefault="00F50018">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F50018" w:rsidRDefault="00F50018">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F50018" w:rsidRDefault="00F50018">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F50018" w:rsidRDefault="00136A01">
            <w:pPr>
              <w:jc w:val="right"/>
              <w:textAlignment w:val="bottom"/>
              <w:rPr>
                <w:rFonts w:cs="宋体" w:hint="default"/>
                <w:color w:val="000000"/>
              </w:rPr>
            </w:pPr>
            <w:r>
              <w:rPr>
                <w:rFonts w:cs="宋体"/>
                <w:color w:val="000000"/>
                <w:lang w:bidi="ar"/>
              </w:rPr>
              <w:t>单位：</w:t>
            </w:r>
            <w:r>
              <w:rPr>
                <w:rFonts w:cs="宋体"/>
              </w:rPr>
              <w:t>万元</w:t>
            </w:r>
          </w:p>
        </w:tc>
      </w:tr>
      <w:tr w:rsidR="00F50018">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F50018" w:rsidRDefault="00136A01">
            <w:pPr>
              <w:jc w:val="center"/>
              <w:textAlignment w:val="center"/>
              <w:rPr>
                <w:rFonts w:cs="宋体" w:hint="default"/>
                <w:b/>
                <w:color w:val="000000"/>
                <w:sz w:val="22"/>
                <w:szCs w:val="22"/>
              </w:rPr>
            </w:pPr>
            <w:r>
              <w:rPr>
                <w:rFonts w:cs="宋体"/>
                <w:b/>
                <w:color w:val="000000"/>
                <w:sz w:val="22"/>
                <w:szCs w:val="22"/>
                <w:lang w:bidi="ar"/>
              </w:rPr>
              <w:t>决算数</w:t>
            </w:r>
          </w:p>
        </w:tc>
      </w:tr>
      <w:tr w:rsidR="00F5001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353.09 </w:t>
            </w:r>
          </w:p>
        </w:tc>
      </w:tr>
      <w:tr w:rsidR="00F5001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33.73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33.73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353.09 </w:t>
            </w:r>
          </w:p>
        </w:tc>
      </w:tr>
      <w:tr w:rsidR="00F5001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15.28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15.28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r>
      <w:tr w:rsidR="00F5001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 </w:t>
            </w:r>
          </w:p>
        </w:tc>
      </w:tr>
      <w:tr w:rsidR="00F5001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15.28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15.28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18.45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18.45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18.45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 </w:t>
            </w:r>
          </w:p>
        </w:tc>
      </w:tr>
      <w:tr w:rsidR="00F5001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 </w:t>
            </w:r>
          </w:p>
        </w:tc>
      </w:tr>
      <w:tr w:rsidR="00F5001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r>
      <w:tr w:rsidR="00F5001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239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1,973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F5001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0.77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jc w:val="right"/>
              <w:rPr>
                <w:rFonts w:ascii="Arial" w:hAnsi="Arial" w:cs="Arial" w:hint="default"/>
                <w:color w:val="000000"/>
                <w:sz w:val="20"/>
                <w:szCs w:val="20"/>
              </w:rPr>
            </w:pPr>
          </w:p>
        </w:tc>
      </w:tr>
      <w:tr w:rsidR="00F5001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F50018" w:rsidRDefault="00136A01">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50018" w:rsidRDefault="00136A0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F50018" w:rsidRDefault="00136A0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1.77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F50018" w:rsidRDefault="00F5001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F50018" w:rsidRDefault="00F50018">
            <w:pPr>
              <w:jc w:val="right"/>
              <w:rPr>
                <w:rFonts w:ascii="Arial" w:hAnsi="Arial" w:cs="Arial" w:hint="default"/>
                <w:color w:val="000000"/>
                <w:sz w:val="20"/>
                <w:szCs w:val="20"/>
              </w:rPr>
            </w:pPr>
          </w:p>
        </w:tc>
      </w:tr>
    </w:tbl>
    <w:p w:rsidR="00F50018" w:rsidRDefault="00136A01">
      <w:pPr>
        <w:rPr>
          <w:rFonts w:cs="宋体"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F50018" w:rsidRDefault="00F50018">
      <w:pPr>
        <w:rPr>
          <w:rFonts w:cs="宋体" w:hint="default"/>
          <w:color w:val="000000"/>
          <w:sz w:val="21"/>
          <w:szCs w:val="21"/>
          <w:lang w:bidi="ar"/>
        </w:rPr>
      </w:pPr>
    </w:p>
    <w:p w:rsidR="00F50018" w:rsidRDefault="00F50018">
      <w:pPr>
        <w:rPr>
          <w:rFonts w:cs="宋体" w:hint="default"/>
          <w:color w:val="000000"/>
          <w:sz w:val="21"/>
          <w:szCs w:val="21"/>
          <w:lang w:bidi="ar"/>
        </w:rPr>
      </w:pPr>
    </w:p>
    <w:p w:rsidR="00F50018" w:rsidRDefault="00F50018">
      <w:pPr>
        <w:rPr>
          <w:rFonts w:cs="宋体" w:hint="default"/>
          <w:color w:val="000000"/>
          <w:sz w:val="21"/>
          <w:szCs w:val="21"/>
          <w:lang w:bidi="ar"/>
        </w:rPr>
      </w:pPr>
    </w:p>
    <w:p w:rsidR="00F50018" w:rsidRDefault="00F50018">
      <w:pPr>
        <w:rPr>
          <w:rFonts w:cs="宋体" w:hint="default"/>
          <w:color w:val="000000"/>
          <w:sz w:val="21"/>
          <w:szCs w:val="21"/>
          <w:lang w:bidi="ar"/>
        </w:rPr>
      </w:pPr>
    </w:p>
    <w:p w:rsidR="00F50018" w:rsidRDefault="00F50018">
      <w:pPr>
        <w:rPr>
          <w:rFonts w:cs="宋体" w:hint="default"/>
          <w:color w:val="000000"/>
          <w:sz w:val="21"/>
          <w:szCs w:val="21"/>
          <w:lang w:bidi="ar"/>
        </w:rPr>
      </w:pPr>
    </w:p>
    <w:p w:rsidR="00F50018" w:rsidRDefault="00F50018">
      <w:pPr>
        <w:rPr>
          <w:rFonts w:cs="宋体" w:hint="default"/>
          <w:color w:val="000000"/>
          <w:sz w:val="21"/>
          <w:szCs w:val="21"/>
          <w:lang w:bidi="ar"/>
        </w:rPr>
      </w:pPr>
    </w:p>
    <w:p w:rsidR="00F50018" w:rsidRDefault="00F50018">
      <w:pPr>
        <w:rPr>
          <w:rFonts w:cs="宋体" w:hint="default"/>
          <w:color w:val="000000"/>
          <w:sz w:val="21"/>
          <w:szCs w:val="21"/>
          <w:lang w:bidi="ar"/>
        </w:rPr>
      </w:pPr>
    </w:p>
    <w:p w:rsidR="00F50018" w:rsidRDefault="00F50018">
      <w:pPr>
        <w:rPr>
          <w:rFonts w:cs="宋体" w:hint="default"/>
          <w:color w:val="000000"/>
          <w:sz w:val="21"/>
          <w:szCs w:val="21"/>
          <w:lang w:bidi="ar"/>
        </w:rPr>
      </w:pPr>
    </w:p>
    <w:p w:rsidR="00F50018" w:rsidRDefault="00F50018">
      <w:pPr>
        <w:rPr>
          <w:rFonts w:cs="宋体" w:hint="default"/>
          <w:color w:val="000000"/>
          <w:sz w:val="21"/>
          <w:szCs w:val="21"/>
          <w:lang w:bidi="ar"/>
        </w:rPr>
      </w:pPr>
    </w:p>
    <w:p w:rsidR="00F50018" w:rsidRDefault="00F50018">
      <w:pPr>
        <w:pStyle w:val="1"/>
        <w:autoSpaceDE w:val="0"/>
        <w:ind w:firstLineChars="0" w:firstLine="0"/>
        <w:rPr>
          <w:rFonts w:cs="宋体"/>
          <w:sz w:val="21"/>
          <w:szCs w:val="21"/>
        </w:rPr>
      </w:pPr>
    </w:p>
    <w:sectPr w:rsidR="00F50018">
      <w:headerReference w:type="default" r:id="rId11"/>
      <w:footerReference w:type="default" r:id="rId12"/>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D8" w:rsidRDefault="00D830D8">
      <w:pPr>
        <w:rPr>
          <w:rFonts w:hint="default"/>
        </w:rPr>
      </w:pPr>
      <w:r>
        <w:separator/>
      </w:r>
    </w:p>
  </w:endnote>
  <w:endnote w:type="continuationSeparator" w:id="0">
    <w:p w:rsidR="00D830D8" w:rsidRDefault="00D830D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01" w:rsidRDefault="00136A01">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6A01" w:rsidRDefault="00136A01">
                          <w:pPr>
                            <w:pStyle w:val="a4"/>
                            <w:rPr>
                              <w:rFonts w:hint="default"/>
                            </w:rPr>
                          </w:pPr>
                          <w:r>
                            <w:fldChar w:fldCharType="begin"/>
                          </w:r>
                          <w:r>
                            <w:instrText xml:space="preserve"> PAGE  \* MERGEFORMAT </w:instrText>
                          </w:r>
                          <w:r>
                            <w:fldChar w:fldCharType="separate"/>
                          </w:r>
                          <w:r w:rsidR="00ED4AE6">
                            <w:rPr>
                              <w:rFonts w:hint="default"/>
                              <w:noProof/>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36A01" w:rsidRDefault="00136A01">
                    <w:pPr>
                      <w:pStyle w:val="a4"/>
                      <w:rPr>
                        <w:rFonts w:hint="default"/>
                      </w:rPr>
                    </w:pPr>
                    <w:r>
                      <w:fldChar w:fldCharType="begin"/>
                    </w:r>
                    <w:r>
                      <w:instrText xml:space="preserve"> PAGE  \* MERGEFORMAT </w:instrText>
                    </w:r>
                    <w:r>
                      <w:fldChar w:fldCharType="separate"/>
                    </w:r>
                    <w:r w:rsidR="00ED4AE6">
                      <w:rPr>
                        <w:rFonts w:hint="default"/>
                        <w:noProof/>
                      </w:rPr>
                      <w:t>- 13 -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01" w:rsidRDefault="00136A01">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6A01" w:rsidRDefault="00136A01">
                          <w:pPr>
                            <w:pStyle w:val="a4"/>
                            <w:rPr>
                              <w:rFonts w:hint="default"/>
                            </w:rPr>
                          </w:pPr>
                          <w:r>
                            <w:t xml:space="preserve"> </w:t>
                          </w:r>
                          <w:r>
                            <w:fldChar w:fldCharType="begin"/>
                          </w:r>
                          <w:r>
                            <w:instrText>PAGE   \* MERGEFORMAT</w:instrText>
                          </w:r>
                          <w:r>
                            <w:fldChar w:fldCharType="separate"/>
                          </w:r>
                          <w:r w:rsidR="00ED4AE6" w:rsidRPr="00ED4AE6">
                            <w:rPr>
                              <w:rFonts w:hint="default"/>
                              <w:noProof/>
                              <w:lang w:val="zh-CN"/>
                            </w:rPr>
                            <w:t>-</w:t>
                          </w:r>
                          <w:r w:rsidR="00ED4AE6">
                            <w:rPr>
                              <w:rFonts w:hint="default"/>
                              <w:noProof/>
                            </w:rPr>
                            <w:t xml:space="preserve"> 16 -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136A01" w:rsidRDefault="00136A01">
                    <w:pPr>
                      <w:pStyle w:val="a4"/>
                      <w:rPr>
                        <w:rFonts w:hint="default"/>
                      </w:rPr>
                    </w:pPr>
                    <w:r>
                      <w:t xml:space="preserve"> </w:t>
                    </w:r>
                    <w:r>
                      <w:fldChar w:fldCharType="begin"/>
                    </w:r>
                    <w:r>
                      <w:instrText>PAGE   \* MERGEFORMAT</w:instrText>
                    </w:r>
                    <w:r>
                      <w:fldChar w:fldCharType="separate"/>
                    </w:r>
                    <w:r w:rsidR="00ED4AE6" w:rsidRPr="00ED4AE6">
                      <w:rPr>
                        <w:rFonts w:hint="default"/>
                        <w:noProof/>
                        <w:lang w:val="zh-CN"/>
                      </w:rPr>
                      <w:t>-</w:t>
                    </w:r>
                    <w:r w:rsidR="00ED4AE6">
                      <w:rPr>
                        <w:rFonts w:hint="default"/>
                        <w:noProof/>
                      </w:rPr>
                      <w:t xml:space="preserve"> 16 -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136A01" w:rsidRDefault="00136A01">
                          <w:pPr>
                            <w:pStyle w:val="a4"/>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136A01" w:rsidRDefault="00136A01">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D8" w:rsidRDefault="00D830D8">
      <w:pPr>
        <w:rPr>
          <w:rFonts w:hint="default"/>
        </w:rPr>
      </w:pPr>
      <w:r>
        <w:separator/>
      </w:r>
    </w:p>
  </w:footnote>
  <w:footnote w:type="continuationSeparator" w:id="0">
    <w:p w:rsidR="00D830D8" w:rsidRDefault="00D830D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01" w:rsidRDefault="00136A01">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36A01"/>
    <w:rsid w:val="00550ABE"/>
    <w:rsid w:val="007B419D"/>
    <w:rsid w:val="009B67B8"/>
    <w:rsid w:val="00B03CCD"/>
    <w:rsid w:val="00D830D8"/>
    <w:rsid w:val="00ED4AE6"/>
    <w:rsid w:val="00F50018"/>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4E4F4A"/>
    <w:rsid w:val="0B9335CE"/>
    <w:rsid w:val="0BF2311A"/>
    <w:rsid w:val="0C7927C4"/>
    <w:rsid w:val="0C9B098C"/>
    <w:rsid w:val="0D673E11"/>
    <w:rsid w:val="0DDA54E4"/>
    <w:rsid w:val="0E3A5F83"/>
    <w:rsid w:val="0E48696E"/>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94FB8"/>
    <w:rsid w:val="13AF1D43"/>
    <w:rsid w:val="13CE1647"/>
    <w:rsid w:val="13FD55AB"/>
    <w:rsid w:val="14200702"/>
    <w:rsid w:val="163A6CEE"/>
    <w:rsid w:val="173708E3"/>
    <w:rsid w:val="17C374FC"/>
    <w:rsid w:val="182E4AB6"/>
    <w:rsid w:val="189079DC"/>
    <w:rsid w:val="189B0D0B"/>
    <w:rsid w:val="18B43F7C"/>
    <w:rsid w:val="194A1770"/>
    <w:rsid w:val="19B906A4"/>
    <w:rsid w:val="19F85F20"/>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9038B2"/>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8B0741"/>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E24193"/>
    <w:rsid w:val="4004000C"/>
    <w:rsid w:val="411B6CE5"/>
    <w:rsid w:val="412070D7"/>
    <w:rsid w:val="41314E40"/>
    <w:rsid w:val="41E0734B"/>
    <w:rsid w:val="4217432A"/>
    <w:rsid w:val="426C1EA8"/>
    <w:rsid w:val="42736402"/>
    <w:rsid w:val="42E86A87"/>
    <w:rsid w:val="43307B09"/>
    <w:rsid w:val="439A3EB9"/>
    <w:rsid w:val="43BB152F"/>
    <w:rsid w:val="44381684"/>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4211B"/>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8492D"/>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F0EA05"/>
  <w15:docId w15:val="{AAFC0D95-F18E-45B5-9C3F-B1F3C670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before="61"/>
      <w:ind w:left="117"/>
    </w:pPr>
    <w:rPr>
      <w:szCs w:val="30"/>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link w:val="a6"/>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6">
    <w:name w:val="页眉 字符"/>
    <w:basedOn w:val="a1"/>
    <w:link w:val="a5"/>
    <w:uiPriority w:val="99"/>
    <w:rsid w:val="00ED4AE6"/>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2186</Words>
  <Characters>12464</Characters>
  <Application>Microsoft Office Word</Application>
  <DocSecurity>0</DocSecurity>
  <Lines>103</Lines>
  <Paragraphs>29</Paragraphs>
  <ScaleCrop>false</ScaleCrop>
  <Company>微软中国</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垫江县财政局（本级）2023年度决算公开说明</dc:title>
  <dc:creator>Administrator</dc:creator>
  <cp:lastModifiedBy>吴幽</cp:lastModifiedBy>
  <cp:revision>3</cp:revision>
  <dcterms:created xsi:type="dcterms:W3CDTF">2024-07-11T02:00:00Z</dcterms:created>
  <dcterms:modified xsi:type="dcterms:W3CDTF">2024-09-09T02:57:00Z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