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垫江县东部新区管理委员会（本级）</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594" w:lineRule="exact"/>
        <w:ind w:firstLine="640" w:firstLineChars="200"/>
        <w:jc w:val="both"/>
        <w:rPr>
          <w:rFonts w:hint="default" w:ascii="Times New Roman" w:hAnsi="Times New Roman" w:eastAsia="方正仿宋_GBK" w:cs="方正仿宋_GBK"/>
          <w:kern w:val="2"/>
          <w:sz w:val="32"/>
          <w:szCs w:val="32"/>
        </w:rPr>
      </w:pPr>
      <w:r>
        <w:rPr>
          <w:rFonts w:ascii="Times New Roman" w:hAnsi="Times New Roman" w:eastAsia="方正仿宋_GBK" w:cs="方正仿宋_GBK"/>
          <w:kern w:val="2"/>
          <w:sz w:val="32"/>
          <w:szCs w:val="32"/>
        </w:rPr>
        <w:t>1.贯彻执行国家有关法律法规和政策，执行县政府有关决定和指示，研究制定并发布东部新区管理制度。2.负责编制和实施东部新区经济社会发展规划和专项规划；统筹规划东部新区的产业布局和发展计划；负责统筹推进东部新区城市品质提升工作；负责协调东部新区重大投资项目建设。3.负责东部新区招商引资和企业服务工作。4.负责组织编制东部新区国土空间总体规划及专项规划；负责根据东部新区总体规划编制近期建设规划和城市设计；负责统筹推进东部新区城市人居环境建设项目、公共建筑项目、基础设施及配套设施项目的规划、建设和管理工作。5.负责拟订东部新区用地计划，协助相关部门做好东部新区征地拆迁、土地集约利用和用途管控工作。6.负责东部新区机关、所属单位的</w:t>
      </w:r>
      <w:r>
        <w:rPr>
          <w:rFonts w:ascii="方正仿宋_GBK" w:hAnsi="方正仿宋_GBK" w:eastAsia="方正仿宋_GBK" w:cs="方正仿宋_GBK"/>
          <w:kern w:val="2"/>
          <w:sz w:val="32"/>
          <w:szCs w:val="32"/>
        </w:rPr>
        <w:t>财政预算、决算、财政收支管理和国有资产监督管理及审计，统筹安排财政专</w:t>
      </w:r>
      <w:r>
        <w:rPr>
          <w:rFonts w:ascii="Times New Roman" w:hAnsi="Times New Roman" w:eastAsia="方正仿宋_GBK" w:cs="方正仿宋_GBK"/>
          <w:kern w:val="2"/>
          <w:sz w:val="32"/>
          <w:szCs w:val="32"/>
        </w:rPr>
        <w:t>项资金；负责东部新区主要经济指标的综合统计和专项统计工作。7.按规定落实安全生产监管和生态环境保护职责；按规定负责节能减排、应急管理等工作。8.根据授权和委托，负责行使东部新区相关行政审批等管理事项和权限，组织开展相关执法工作。9.负责监督、协调及协助管理县级有关部门在东部新区的派出机构的工作。10.负责行使县政府按规定授予的其他职权。11.完成县政府交办的其他事项。</w:t>
      </w:r>
    </w:p>
    <w:p>
      <w:pPr>
        <w:pStyle w:val="6"/>
        <w:shd w:val="clear" w:color="auto" w:fill="FFFFFF"/>
        <w:ind w:firstLine="420"/>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（二）机构设置</w:t>
      </w:r>
    </w:p>
    <w:p>
      <w:pPr>
        <w:pStyle w:val="12"/>
        <w:autoSpaceDE w:val="0"/>
        <w:spacing w:before="0" w:beforeAutospacing="0" w:afterAutospacing="0" w:line="594" w:lineRule="atLeast"/>
        <w:ind w:firstLine="640" w:firstLineChars="200"/>
        <w:jc w:val="both"/>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本单位设6个内设机构：综合部（党群工作部）、财务部、招商部、规划发展部、建设管理部、运营管理部。</w:t>
      </w:r>
    </w:p>
    <w:p>
      <w:pPr>
        <w:pStyle w:val="12"/>
        <w:autoSpaceDE w:val="0"/>
        <w:spacing w:before="0" w:beforeAutospacing="0" w:afterAutospacing="0" w:line="594" w:lineRule="atLeast"/>
        <w:ind w:firstLine="640" w:firstLineChars="200"/>
        <w:jc w:val="both"/>
        <w:rPr>
          <w:rFonts w:ascii="Times New Roman" w:hAnsi="Times New Roman" w:eastAsia="方正仿宋_GBK" w:cs="方正仿宋_GBK"/>
          <w:kern w:val="2"/>
          <w:sz w:val="32"/>
          <w:szCs w:val="32"/>
        </w:rPr>
      </w:pPr>
      <w:r>
        <w:rPr>
          <w:rFonts w:hint="eastAsia" w:ascii="Times New Roman" w:hAnsi="Times New Roman" w:eastAsia="方正仿宋_GBK" w:cs="方正仿宋_GBK"/>
          <w:sz w:val="32"/>
          <w:szCs w:val="32"/>
          <w:shd w:val="clear" w:color="auto" w:fill="FFFFFF"/>
        </w:rPr>
        <w:t>本单位行政编制12名。东部新区党工委书记由县领导兼任，设专职副书记2名；东部新区管委会设主任1名，副主任3名。内设机构领导职数6名。</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2023年度收入总计101304.55万元，支出总计</w:t>
      </w:r>
      <w:r>
        <w:rPr>
          <w:rFonts w:ascii="方正仿宋_GBK" w:hAnsi="方正仿宋_GBK" w:eastAsia="方正仿宋_GBK" w:cs="方正仿宋_GBK"/>
          <w:sz w:val="32"/>
          <w:szCs w:val="32"/>
        </w:rPr>
        <w:t>101304.55</w:t>
      </w:r>
      <w:r>
        <w:rPr>
          <w:rFonts w:ascii="方正仿宋_GBK" w:hAnsi="方正仿宋_GBK" w:eastAsia="方正仿宋_GBK" w:cs="方正仿宋_GBK"/>
          <w:sz w:val="32"/>
          <w:szCs w:val="32"/>
          <w:shd w:val="clear" w:color="auto" w:fill="FFFFFF"/>
        </w:rPr>
        <w:t>万元。收支较上年决算数增加100919.80万元，增长26229.97%，主要原因是本年度较上年新增棚户区改造政府购买款、PPP项目可行性缺口补助等项目经费，追加项目预算且新进人员增加人员经费。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2023年度收入合计101234.55万元，较上年决算数增加100850.27万元，增长26243.95%，主要原因是本年度较上年新增项目经费，且新进人员增加人员经费。其中：财政拨款收入</w:t>
      </w:r>
      <w:r>
        <w:rPr>
          <w:rFonts w:ascii="方正仿宋_GBK" w:hAnsi="方正仿宋_GBK" w:eastAsia="方正仿宋_GBK" w:cs="方正仿宋_GBK"/>
          <w:sz w:val="32"/>
          <w:szCs w:val="32"/>
        </w:rPr>
        <w:t>101234.55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101304.55</w:t>
      </w:r>
      <w:r>
        <w:rPr>
          <w:rFonts w:ascii="方正仿宋_GBK" w:hAnsi="方正仿宋_GBK" w:eastAsia="方正仿宋_GBK" w:cs="方正仿宋_GBK"/>
          <w:sz w:val="32"/>
          <w:szCs w:val="32"/>
          <w:shd w:val="clear" w:color="auto" w:fill="FFFFFF"/>
        </w:rPr>
        <w:t>万元，较上年决算数增加100919.80万元，增长26229.97%，主要原因是本年度较上年新增棚户区改造政府购买款、PPP项目可行性缺口补助等项目经费，追加项目预算且新进人员增加人员经费。其中：基本支出</w:t>
      </w:r>
      <w:r>
        <w:rPr>
          <w:rFonts w:ascii="方正仿宋_GBK" w:hAnsi="方正仿宋_GBK" w:eastAsia="方正仿宋_GBK" w:cs="方正仿宋_GBK"/>
          <w:sz w:val="32"/>
          <w:szCs w:val="32"/>
        </w:rPr>
        <w:t>320.43</w:t>
      </w:r>
      <w:r>
        <w:rPr>
          <w:rFonts w:ascii="方正仿宋_GBK" w:hAnsi="方正仿宋_GBK" w:eastAsia="方正仿宋_GBK" w:cs="方正仿宋_GBK"/>
          <w:sz w:val="32"/>
          <w:szCs w:val="32"/>
          <w:shd w:val="clear" w:color="auto" w:fill="FFFFFF"/>
        </w:rPr>
        <w:t>万元，占0.32%；项目支出</w:t>
      </w:r>
      <w:r>
        <w:rPr>
          <w:rFonts w:ascii="方正仿宋_GBK" w:hAnsi="方正仿宋_GBK" w:eastAsia="方正仿宋_GBK" w:cs="方正仿宋_GBK"/>
          <w:sz w:val="32"/>
          <w:szCs w:val="32"/>
        </w:rPr>
        <w:t>100984.12</w:t>
      </w:r>
      <w:r>
        <w:rPr>
          <w:rFonts w:ascii="方正仿宋_GBK" w:hAnsi="方正仿宋_GBK" w:eastAsia="方正仿宋_GBK" w:cs="方正仿宋_GBK"/>
          <w:sz w:val="32"/>
          <w:szCs w:val="32"/>
          <w:shd w:val="clear" w:color="auto" w:fill="FFFFFF"/>
        </w:rPr>
        <w:t>万元，占99.68%；经营支出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default" w:ascii="方正仿宋_GBK" w:hAnsi="方正仿宋_GBK" w:eastAsia="方正仿宋_GBK" w:cs="方正仿宋_GBK"/>
          <w:sz w:val="32"/>
          <w:szCs w:val="32"/>
          <w:shd w:val="clear" w:color="auto" w:fill="FFFFFF"/>
        </w:rPr>
        <w:t>原因是本年度及上年度均无结转结余。</w:t>
      </w:r>
    </w:p>
    <w:p>
      <w:pPr>
        <w:pStyle w:val="12"/>
        <w:autoSpaceDE w:val="0"/>
        <w:spacing w:before="0" w:beforeAutospacing="0" w:afterAutospacing="0" w:line="594" w:lineRule="atLeast"/>
        <w:ind w:firstLine="640" w:firstLineChars="200"/>
        <w:jc w:val="both"/>
        <w:rPr>
          <w:rFonts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101304.55万元。与2022年相比，财政拨款收、支总计各增加100919.90万元，增长26236.81%。主要原因是本年度较上年新增棚户区改造政府购买款、PPP项目可行性缺口补助等项目经费，追加项目预算且新进人员增加人员经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30034.55</w:t>
      </w:r>
      <w:r>
        <w:rPr>
          <w:rFonts w:ascii="方正仿宋_GBK" w:hAnsi="方正仿宋_GBK" w:eastAsia="方正仿宋_GBK" w:cs="方正仿宋_GBK"/>
          <w:sz w:val="32"/>
          <w:szCs w:val="32"/>
          <w:shd w:val="clear" w:color="auto" w:fill="FFFFFF"/>
        </w:rPr>
        <w:t>万元，较上年决算数增加29710.27万元，增长9161.92%。主要原因是本年度较上年新增项目经费，且新进人员增加人员经费。较年初预算数增加24577.86万元，增长450.42%。主要原因是本年新增棚户区改造政府购买款、PPP项目可行性缺口补助等项目，追加项目预算。此外，年初财政拨款结转和结余</w:t>
      </w:r>
      <w:r>
        <w:rPr>
          <w:rFonts w:ascii="方正仿宋_GBK" w:hAnsi="方正仿宋_GBK" w:eastAsia="方正仿宋_GBK" w:cs="方正仿宋_GBK"/>
          <w:sz w:val="32"/>
          <w:szCs w:val="32"/>
        </w:rPr>
        <w:t>70.00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30104.55</w:t>
      </w:r>
      <w:r>
        <w:rPr>
          <w:rFonts w:ascii="方正仿宋_GBK" w:hAnsi="方正仿宋_GBK" w:eastAsia="方正仿宋_GBK" w:cs="方正仿宋_GBK"/>
          <w:sz w:val="32"/>
          <w:szCs w:val="32"/>
          <w:shd w:val="clear" w:color="auto" w:fill="FFFFFF"/>
        </w:rPr>
        <w:t>万元，较上年决算数增加29779.90万元，增长9172.92%。主要原因是本年度较上年新增项目支出，且新进人员增加人员费用支出。较年初预算数增加24647.86万元，增长451.70%。主要原因是本年度较上年新增棚户区改造政府购买款、PPP项目可行性缺口补助等项目，追加项目经费支出增加。</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w:t>
      </w:r>
      <w:r>
        <w:rPr>
          <w:rFonts w:hint="default" w:ascii="方正仿宋_GBK" w:hAnsi="方正仿宋_GBK" w:eastAsia="方正仿宋_GBK" w:cs="方正仿宋_GBK"/>
          <w:sz w:val="32"/>
          <w:szCs w:val="32"/>
          <w:shd w:val="clear" w:color="auto" w:fill="FFFFFF"/>
        </w:rPr>
        <w:t>原因是本年度及上年度均无结转结余。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256.78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%，较年初预算数增加67.38万元，增长35.58%，主要原因是本年度新进人员增加人员经费，且较上年相比有正常的业务开展。</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rPr>
        <w:t>主要原因是严格按照预算执行</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2200.00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7.31</w:t>
      </w:r>
      <w:r>
        <w:rPr>
          <w:rFonts w:ascii="方正仿宋_GBK" w:hAnsi="方正仿宋_GBK" w:eastAsia="方正仿宋_GBK" w:cs="方正仿宋_GBK"/>
          <w:sz w:val="32"/>
          <w:szCs w:val="32"/>
          <w:shd w:val="clear" w:color="auto" w:fill="FFFFFF"/>
        </w:rPr>
        <w:t>%，较年初预算数增加2200.00万元，增长100.00%，主要原因是增加东部新区体制补助资金。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70.00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0.23</w:t>
      </w:r>
      <w:r>
        <w:rPr>
          <w:rFonts w:ascii="方正仿宋_GBK" w:hAnsi="方正仿宋_GBK" w:eastAsia="方正仿宋_GBK" w:cs="方正仿宋_GBK"/>
          <w:sz w:val="32"/>
          <w:szCs w:val="32"/>
          <w:shd w:val="clear" w:color="auto" w:fill="FFFFFF"/>
        </w:rPr>
        <w:t>%，较年初预算数增加70.00万元，增长100.00%，主要原因是划转的存量资金用于禹王宫活化利用提档升级。</w:t>
      </w:r>
    </w:p>
    <w:p>
      <w:pPr>
        <w:pStyle w:val="12"/>
        <w:autoSpaceDE w:val="0"/>
        <w:spacing w:before="0" w:beforeAutospacing="0" w:afterAutospacing="0" w:line="594" w:lineRule="atLeas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0.12</w:t>
      </w:r>
      <w:r>
        <w:rPr>
          <w:rFonts w:ascii="方正仿宋_GBK" w:hAnsi="方正仿宋_GBK" w:eastAsia="方正仿宋_GBK" w:cs="方正仿宋_GBK"/>
          <w:sz w:val="32"/>
          <w:szCs w:val="32"/>
          <w:shd w:val="clear" w:color="auto" w:fill="FFFFFF"/>
        </w:rPr>
        <w:t>%，较年初预算数增加5.12万元，增长16.56%，主要原因是</w:t>
      </w:r>
      <w:r>
        <w:rPr>
          <w:rFonts w:hint="eastAsia" w:ascii="方正仿宋_GBK" w:hAnsi="方正仿宋_GBK" w:eastAsia="方正仿宋_GBK" w:cs="方正仿宋_GBK"/>
          <w:sz w:val="32"/>
          <w:szCs w:val="32"/>
          <w:shd w:val="clear" w:color="auto" w:fill="FFFFFF"/>
        </w:rPr>
        <w:t>本年度新进人员增加人员经费，</w:t>
      </w:r>
      <w:r>
        <w:rPr>
          <w:rFonts w:hint="eastAsia" w:ascii="Times New Roman" w:hAnsi="Times New Roman" w:eastAsia="方正仿宋_GBK" w:cs="方正仿宋_GBK"/>
          <w:sz w:val="32"/>
          <w:szCs w:val="32"/>
          <w:shd w:val="clear" w:color="auto" w:fill="FFFFFF"/>
        </w:rPr>
        <w:t>社平工资调整导致职工社保基数改变。</w:t>
      </w:r>
    </w:p>
    <w:p>
      <w:pPr>
        <w:pStyle w:val="12"/>
        <w:autoSpaceDE w:val="0"/>
        <w:spacing w:before="0" w:beforeAutospacing="0" w:afterAutospacing="0" w:line="594" w:lineRule="atLeas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13.91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%，较年初预算数增加5.50万元，增长65.40%，主要原因是</w:t>
      </w:r>
      <w:r>
        <w:rPr>
          <w:rFonts w:hint="eastAsia" w:ascii="方正仿宋_GBK" w:hAnsi="方正仿宋_GBK" w:eastAsia="方正仿宋_GBK" w:cs="方正仿宋_GBK"/>
          <w:sz w:val="32"/>
          <w:szCs w:val="32"/>
          <w:shd w:val="clear" w:color="auto" w:fill="FFFFFF"/>
        </w:rPr>
        <w:t>本年度新进人员增加人员经费，</w:t>
      </w:r>
      <w:r>
        <w:rPr>
          <w:rFonts w:hint="eastAsia" w:ascii="Times New Roman" w:hAnsi="Times New Roman" w:eastAsia="方正仿宋_GBK" w:cs="方正仿宋_GBK"/>
          <w:sz w:val="32"/>
          <w:szCs w:val="32"/>
          <w:shd w:val="clear" w:color="auto" w:fill="FFFFFF"/>
        </w:rPr>
        <w:t>社平工资调整导致职工社保基数改变。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（7）城乡社区支出</w:t>
      </w:r>
      <w:r>
        <w:rPr>
          <w:rFonts w:ascii="方正仿宋_GBK" w:hAnsi="方正仿宋_GBK" w:eastAsia="方正仿宋_GBK" w:cs="方正仿宋_GBK"/>
          <w:sz w:val="32"/>
          <w:szCs w:val="32"/>
        </w:rPr>
        <w:t>21609.86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71.78</w:t>
      </w:r>
      <w:r>
        <w:rPr>
          <w:rFonts w:ascii="方正仿宋_GBK" w:hAnsi="方正仿宋_GBK" w:eastAsia="方正仿宋_GBK" w:cs="方正仿宋_GBK"/>
          <w:sz w:val="32"/>
          <w:szCs w:val="32"/>
          <w:shd w:val="clear" w:color="auto" w:fill="FFFFFF"/>
        </w:rPr>
        <w:t>%，较年初预算数增加16399.86万元，增长314.78%，主要原因是新增东部片区新型城镇化PPP项目可行性缺口补助支付、体制补助资金、东部新区公共停车位经营项目资本金项目支出。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（8）农林水支出</w:t>
      </w:r>
      <w:r>
        <w:rPr>
          <w:rFonts w:ascii="方正仿宋_GBK" w:hAnsi="方正仿宋_GBK" w:eastAsia="方正仿宋_GBK" w:cs="方正仿宋_GBK"/>
          <w:sz w:val="32"/>
          <w:szCs w:val="32"/>
        </w:rPr>
        <w:t>5900.00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19.60</w:t>
      </w:r>
      <w:r>
        <w:rPr>
          <w:rFonts w:ascii="方正仿宋_GBK" w:hAnsi="方正仿宋_GBK" w:eastAsia="方正仿宋_GBK" w:cs="方正仿宋_GBK"/>
          <w:sz w:val="32"/>
          <w:szCs w:val="32"/>
          <w:shd w:val="clear" w:color="auto" w:fill="FFFFFF"/>
        </w:rPr>
        <w:t>%，较年初预算数增加5900.00万元，增长100.00%，主要原因是东部片区新型城镇化PPP项目可行性缺口补助支付。</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住房保障支出17.26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%，较年初预算数无增减。</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320.43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245.13</w:t>
      </w:r>
      <w:r>
        <w:rPr>
          <w:rFonts w:ascii="方正仿宋_GBK" w:hAnsi="方正仿宋_GBK" w:eastAsia="方正仿宋_GBK" w:cs="方正仿宋_GBK"/>
          <w:sz w:val="32"/>
          <w:szCs w:val="32"/>
          <w:shd w:val="clear" w:color="auto" w:fill="FFFFFF"/>
        </w:rPr>
        <w:t>万元，较上年决算数增加119.83万元，增长95.63%，主要原因是本年度新进人员增加人员经费，</w:t>
      </w:r>
      <w:r>
        <w:rPr>
          <w:rFonts w:ascii="Times New Roman" w:hAnsi="Times New Roman" w:eastAsia="方正仿宋_GBK" w:cs="方正仿宋_GBK"/>
          <w:sz w:val="32"/>
          <w:szCs w:val="32"/>
          <w:shd w:val="clear" w:color="auto" w:fill="FFFFFF"/>
        </w:rPr>
        <w:t>社平工资调整导致职工社保基数改变</w:t>
      </w:r>
      <w:r>
        <w:rPr>
          <w:rFonts w:ascii="方正仿宋_GBK" w:hAnsi="方正仿宋_GBK" w:eastAsia="方正仿宋_GBK" w:cs="方正仿宋_GBK"/>
          <w:sz w:val="32"/>
          <w:szCs w:val="32"/>
          <w:shd w:val="clear" w:color="auto" w:fill="FFFFFF"/>
        </w:rPr>
        <w:t>。人员经费用途主要包括</w:t>
      </w:r>
      <w:r>
        <w:rPr>
          <w:rFonts w:ascii="Times New Roman" w:hAnsi="Times New Roman" w:eastAsia="方正仿宋_GBK" w:cs="方正仿宋_GBK"/>
          <w:kern w:val="2"/>
          <w:sz w:val="32"/>
          <w:szCs w:val="32"/>
        </w:rPr>
        <w:t>支付基本工资、绩效工资、社保、公积金、伙食补助等。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75.30</w:t>
      </w:r>
      <w:r>
        <w:rPr>
          <w:rFonts w:ascii="方正仿宋_GBK" w:hAnsi="方正仿宋_GBK" w:eastAsia="方正仿宋_GBK" w:cs="方正仿宋_GBK"/>
          <w:sz w:val="32"/>
          <w:szCs w:val="32"/>
          <w:shd w:val="clear" w:color="auto" w:fill="FFFFFF"/>
        </w:rPr>
        <w:t>万元，较上年决算数增加59.74万元，增长383.93%，主要原因是</w:t>
      </w:r>
      <w:r>
        <w:rPr>
          <w:rFonts w:hint="default" w:ascii="方正仿宋_GBK" w:hAnsi="方正仿宋_GBK" w:eastAsia="方正仿宋_GBK" w:cs="方正仿宋_GBK"/>
          <w:sz w:val="32"/>
          <w:szCs w:val="32"/>
          <w:shd w:val="clear" w:color="auto" w:fill="FFFFFF"/>
        </w:rPr>
        <w:t>2022年本单位为新成立单位，未发生公用经费支出，本年有正常的业务开展</w:t>
      </w:r>
      <w:r>
        <w:rPr>
          <w:rFonts w:ascii="方正仿宋_GBK" w:hAnsi="方正仿宋_GBK" w:eastAsia="方正仿宋_GBK" w:cs="方正仿宋_GBK"/>
          <w:sz w:val="32"/>
          <w:szCs w:val="32"/>
          <w:shd w:val="clear" w:color="auto" w:fill="FFFFFF"/>
        </w:rPr>
        <w:t>。公用经费用途主要包括支付差</w:t>
      </w:r>
      <w:r>
        <w:rPr>
          <w:rFonts w:ascii="Times New Roman" w:hAnsi="Times New Roman" w:eastAsia="方正仿宋_GBK" w:cs="方正仿宋_GBK"/>
          <w:kern w:val="2"/>
          <w:sz w:val="32"/>
          <w:szCs w:val="32"/>
        </w:rPr>
        <w:t>旅费、办公费、印刷费、会议费、邮电费、劳务费、工会经费、三公经费等。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71200.00</w:t>
      </w:r>
      <w:r>
        <w:rPr>
          <w:rFonts w:ascii="方正仿宋_GBK" w:hAnsi="方正仿宋_GBK" w:eastAsia="方正仿宋_GBK" w:cs="方正仿宋_GBK"/>
          <w:sz w:val="32"/>
          <w:szCs w:val="32"/>
          <w:shd w:val="clear" w:color="auto" w:fill="FFFFFF"/>
        </w:rPr>
        <w:t>万元，较上年决算数增加71140.00万元，增长118566.67%，主要原因是划转的存量资金用于牡丹湖基础设施建设项目，棚户区改造项目，城东片区一期、二期、三期项目改造政府购买服务，文化路片区棚改项目政府购买服务，龙滩水库政府购买服务，三合片区路网工程建设项目政府购买服务，重庆市垫江县东部片区建设发展有限公司PPP项目2021年、2022年政府可行性缺口补助。本年支出</w:t>
      </w:r>
      <w:r>
        <w:rPr>
          <w:rFonts w:ascii="方正仿宋_GBK" w:hAnsi="方正仿宋_GBK" w:eastAsia="方正仿宋_GBK" w:cs="方正仿宋_GBK"/>
          <w:sz w:val="32"/>
          <w:szCs w:val="32"/>
        </w:rPr>
        <w:t>71200.00</w:t>
      </w:r>
      <w:r>
        <w:rPr>
          <w:rFonts w:ascii="方正仿宋_GBK" w:hAnsi="方正仿宋_GBK" w:eastAsia="方正仿宋_GBK" w:cs="方正仿宋_GBK"/>
          <w:sz w:val="32"/>
          <w:szCs w:val="32"/>
          <w:shd w:val="clear" w:color="auto" w:fill="FFFFFF"/>
        </w:rPr>
        <w:t>万元，较上年决算数增加71140.00万元，增长118566.67%，主要原因是划转的存量资金用于牡丹湖基础设施建设项目，棚户区改造项目，城东片区一期、二期、三期项目改造政府购买服务，文化路片区棚改项目政府购买服务，龙滩水库政府购买服务，三合片区路网工程建设项目政府购买服务，重庆市垫江县东部片区建设发展有限公司PPP项目2021年、2022年政府可行性缺口补助。</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9.69</w:t>
      </w:r>
      <w:r>
        <w:rPr>
          <w:rFonts w:ascii="方正仿宋_GBK" w:hAnsi="方正仿宋_GBK" w:eastAsia="方正仿宋_GBK" w:cs="方正仿宋_GBK"/>
          <w:sz w:val="32"/>
          <w:szCs w:val="32"/>
          <w:shd w:val="clear" w:color="auto" w:fill="FFFFFF"/>
        </w:rPr>
        <w:t>万元，较年初预算数减少8.31万元，下降46.17%，主要原因是大力压减三公经费，节约资金。较上年支出数增加9.69万元，增长100.00%，主要原因是2022年本单位为新成立单位，未发生公用经费支出，本年有正常的业务开展。</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12"/>
        <w:autoSpaceDE w:val="0"/>
        <w:spacing w:before="0" w:beforeAutospacing="0" w:afterAutospacing="0" w:line="594" w:lineRule="atLeas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9.69</w:t>
      </w:r>
      <w:r>
        <w:rPr>
          <w:rFonts w:ascii="方正仿宋_GBK" w:hAnsi="方正仿宋_GBK" w:eastAsia="方正仿宋_GBK" w:cs="方正仿宋_GBK"/>
          <w:sz w:val="32"/>
          <w:szCs w:val="32"/>
          <w:shd w:val="clear" w:color="auto" w:fill="FFFFFF"/>
        </w:rPr>
        <w:t>万元，主要用于接待</w:t>
      </w:r>
      <w:r>
        <w:rPr>
          <w:rFonts w:ascii="Times New Roman" w:hAnsi="Times New Roman" w:eastAsia="方正仿宋_GBK" w:cs="方正仿宋_GBK"/>
          <w:sz w:val="32"/>
          <w:szCs w:val="32"/>
          <w:shd w:val="clear" w:color="auto" w:fill="FFFFFF"/>
        </w:rPr>
        <w:t>外来企业、单位等商业主体到新区投资考察，接待其他地区部门单位到新区考察学习，接待大型招商引资与土地宣传推介活动参会企业等。</w:t>
      </w:r>
      <w:r>
        <w:rPr>
          <w:rFonts w:ascii="方正仿宋_GBK" w:hAnsi="方正仿宋_GBK" w:eastAsia="方正仿宋_GBK" w:cs="方正仿宋_GBK"/>
          <w:sz w:val="32"/>
          <w:szCs w:val="32"/>
          <w:shd w:val="clear" w:color="auto" w:fill="FFFFFF"/>
        </w:rPr>
        <w:t>费用支出较年初预算数减少8.31万元，下降46.17%，主要原因是大力压减三公经费，节约资金。较上年支出数增加9.69万元，增长100.00%，主要原因是2022年本单位为新成立单位，未发生公用经费支出，本年度有正常的业务开展。</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99.95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2.29</w:t>
      </w:r>
      <w:r>
        <w:rPr>
          <w:rFonts w:ascii="方正仿宋_GBK" w:hAnsi="方正仿宋_GBK" w:eastAsia="方正仿宋_GBK" w:cs="方正仿宋_GBK"/>
          <w:sz w:val="32"/>
          <w:szCs w:val="32"/>
          <w:shd w:val="clear" w:color="auto" w:fill="FFFFFF"/>
        </w:rPr>
        <w:t>万元，较上年决算数增加2.29万元，增长100.00%，主要原因是2023年本单位为新增单位未发生会议费支出，2023年有正常的会议业务开展。本年度培训费支出</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万元，较上年决算数增加0.69万元，增长100.00%，主要原因是2023年本单位为新增单位未发生培训费支出，2023年有正常的会议业务开展。</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75.30</w:t>
      </w:r>
      <w:r>
        <w:rPr>
          <w:rFonts w:ascii="方正仿宋_GBK" w:hAnsi="方正仿宋_GBK" w:eastAsia="方正仿宋_GBK" w:cs="方正仿宋_GBK"/>
          <w:sz w:val="32"/>
          <w:szCs w:val="32"/>
          <w:shd w:val="clear" w:color="auto" w:fill="FFFFFF"/>
        </w:rPr>
        <w:t>万元，机关运行经费主要用于开支</w:t>
      </w:r>
      <w:r>
        <w:rPr>
          <w:rFonts w:ascii="Times New Roman" w:hAnsi="Times New Roman" w:eastAsia="方正仿宋_GBK" w:cs="方正仿宋_GBK"/>
          <w:kern w:val="2"/>
          <w:sz w:val="32"/>
          <w:szCs w:val="32"/>
        </w:rPr>
        <w:t>水电气、办公用纸、电脑维修维护等。</w:t>
      </w:r>
      <w:r>
        <w:rPr>
          <w:rFonts w:ascii="方正仿宋_GBK" w:hAnsi="方正仿宋_GBK" w:eastAsia="方正仿宋_GBK" w:cs="方正仿宋_GBK"/>
          <w:sz w:val="32"/>
          <w:szCs w:val="32"/>
          <w:shd w:val="clear" w:color="auto" w:fill="FFFFFF"/>
        </w:rPr>
        <w:t>机关运行经费较上年支出数增加59.74万元，增长383.93%，主要原因是2022年本单位为新增单位未发生机关运行经费支出，2023年有正常的业务开展，故运行经费增加。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6"/>
        <w:spacing w:before="0"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根据预算绩效管理要求，我单位对11个二级项目开展了绩效自评，涉及财政拨款项目支出资金100984.12万元。下面两个表为垫江县棚户区改造项目政府购买服务和垫江县三合片区路网基础设施建设项目政府购买服务两个二级项目2023年度绩效自评表。</w:t>
      </w:r>
    </w:p>
    <w:tbl>
      <w:tblPr>
        <w:tblStyle w:val="7"/>
        <w:tblW w:w="5000" w:type="pct"/>
        <w:tblInd w:w="0" w:type="dxa"/>
        <w:tblLayout w:type="autofit"/>
        <w:tblCellMar>
          <w:top w:w="0" w:type="dxa"/>
          <w:left w:w="108" w:type="dxa"/>
          <w:bottom w:w="0" w:type="dxa"/>
          <w:right w:w="108" w:type="dxa"/>
        </w:tblCellMar>
      </w:tblPr>
      <w:tblGrid>
        <w:gridCol w:w="1231"/>
        <w:gridCol w:w="1051"/>
        <w:gridCol w:w="1046"/>
        <w:gridCol w:w="723"/>
        <w:gridCol w:w="619"/>
        <w:gridCol w:w="720"/>
        <w:gridCol w:w="687"/>
        <w:gridCol w:w="720"/>
        <w:gridCol w:w="506"/>
        <w:gridCol w:w="650"/>
        <w:gridCol w:w="578"/>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垫江县棚户区改造项目政府购买服务</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50023124T000003800935</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李娟</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74630799</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68"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2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470,000,000.00 </w:t>
            </w:r>
          </w:p>
        </w:tc>
        <w:tc>
          <w:tcPr>
            <w:tcW w:w="17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64"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470,000,000.00 </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68"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2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470,000,000.00 </w:t>
            </w:r>
          </w:p>
        </w:tc>
        <w:tc>
          <w:tcPr>
            <w:tcW w:w="17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64"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470,000,000.00 </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68"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2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7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64"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1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2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1329"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完成文化路片区棚改项目、城东片区一期B区（城中村）项目、城东片区二期棚户区改造项目建设</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完成文化路片区棚改项目、城东片区一期B区（城中村）项目、城东片区二期棚户区改造项目建设</w:t>
            </w:r>
          </w:p>
        </w:tc>
        <w:tc>
          <w:tcPr>
            <w:tcW w:w="2264" w:type="pct"/>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完成项目建设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按质量要求完成项目建设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合格</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按项目计划时间完成项目建设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完成项目投资</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470000000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470000000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垫江县三合片区路网基础设施建设项目政府购买服务</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50023124T000003813487</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李娟</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91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74630799</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4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9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4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168"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2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85,000,000.00 </w:t>
            </w:r>
          </w:p>
        </w:tc>
        <w:tc>
          <w:tcPr>
            <w:tcW w:w="17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64"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85,000,000.00 </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168"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2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85,000,000.00 </w:t>
            </w:r>
          </w:p>
        </w:tc>
        <w:tc>
          <w:tcPr>
            <w:tcW w:w="17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64"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85,000,000.00 </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168"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236"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72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78"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264"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0.00 </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13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22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1329"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完成三合片区路网改造项目建设</w:t>
            </w:r>
          </w:p>
        </w:tc>
        <w:tc>
          <w:tcPr>
            <w:tcW w:w="1406"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完成三合片区路网改造项目建设</w:t>
            </w:r>
          </w:p>
        </w:tc>
        <w:tc>
          <w:tcPr>
            <w:tcW w:w="2264" w:type="pct"/>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完成项目建设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按质量要求完成项目建设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合格</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按项目计划时间完成项目建设</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完成</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群众满意度</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群众</w:t>
            </w:r>
            <w:bookmarkStart w:id="0" w:name="_GoBack"/>
            <w:bookmarkEnd w:id="0"/>
            <w:r>
              <w:rPr>
                <w:rFonts w:cs="宋体"/>
                <w:color w:val="000000"/>
                <w:sz w:val="22"/>
                <w:szCs w:val="22"/>
                <w:lang w:bidi="ar"/>
              </w:rPr>
              <w:t>满意度</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完成项目投资</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85000000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85000000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1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2"/>
        <w:spacing w:before="0" w:beforeAutospacing="0"/>
        <w:jc w:val="both"/>
      </w:pPr>
    </w:p>
    <w:tbl>
      <w:tblPr>
        <w:tblStyle w:val="7"/>
        <w:tblW w:w="5000" w:type="pct"/>
        <w:tblInd w:w="0" w:type="dxa"/>
        <w:tblLayout w:type="autofit"/>
        <w:tblCellMar>
          <w:top w:w="0" w:type="dxa"/>
          <w:left w:w="108" w:type="dxa"/>
          <w:bottom w:w="0" w:type="dxa"/>
          <w:right w:w="108" w:type="dxa"/>
        </w:tblCellMar>
      </w:tblPr>
      <w:tblGrid>
        <w:gridCol w:w="1646"/>
        <w:gridCol w:w="774"/>
        <w:gridCol w:w="774"/>
        <w:gridCol w:w="772"/>
        <w:gridCol w:w="613"/>
        <w:gridCol w:w="690"/>
        <w:gridCol w:w="732"/>
        <w:gridCol w:w="690"/>
        <w:gridCol w:w="534"/>
        <w:gridCol w:w="693"/>
        <w:gridCol w:w="613"/>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东部新区城市管理和运行维护费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50023123T000003108340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8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210-垫江县东部新区管理委员会</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005-经建科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 xml:space="preserve">李娟 </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74630799</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0" w:type="dxa"/>
            <w:left w:w="108" w:type="dxa"/>
            <w:bottom w:w="0" w:type="dxa"/>
            <w:right w:w="108" w:type="dxa"/>
          </w:tblCellMar>
        </w:tblPrEx>
        <w:trPr>
          <w:trHeight w:val="500" w:hRule="atLeast"/>
        </w:trPr>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22"/>
                <w:szCs w:val="22"/>
              </w:rPr>
            </w:pP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7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03"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403"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1,478,167.09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1,478,167.09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03"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403"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1,478,167.09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1,478,167.09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color w:val="000000"/>
                <w:sz w:val="22"/>
                <w:szCs w:val="22"/>
              </w:rPr>
            </w:pPr>
            <w:r>
              <w:rPr>
                <w:rFonts w:cs="宋体"/>
                <w:color w:val="000000"/>
                <w:sz w:val="22"/>
                <w:szCs w:val="22"/>
                <w:lang w:bidi="ar"/>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03" w:type="pct"/>
            <w:tcBorders>
              <w:top w:val="single" w:color="000000" w:sz="4" w:space="0"/>
              <w:left w:val="nil"/>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403"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2,000,000.00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22"/>
                <w:szCs w:val="22"/>
              </w:rPr>
            </w:pPr>
            <w:r>
              <w:rPr>
                <w:rFonts w:cs="宋体"/>
                <w:color w:val="000000"/>
                <w:sz w:val="22"/>
                <w:szCs w:val="22"/>
                <w:lang w:bidi="ar"/>
              </w:rPr>
              <w:t xml:space="preserve">1,478,167.09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pPr>
              <w:rPr>
                <w:rFonts w:hint="default" w:cs="宋体"/>
                <w:color w:val="000000"/>
                <w:sz w:val="22"/>
                <w:szCs w:val="22"/>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 xml:space="preserve">1,478,167.09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color w:val="000000"/>
                <w:sz w:val="22"/>
                <w:szCs w:val="22"/>
              </w:rPr>
            </w:pPr>
            <w:r>
              <w:rPr>
                <w:rFonts w:cs="宋体"/>
                <w:color w:val="000000"/>
                <w:sz w:val="22"/>
                <w:szCs w:val="22"/>
                <w:lang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color w:val="000000"/>
                <w:sz w:val="22"/>
                <w:szCs w:val="22"/>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0" w:type="dxa"/>
            <w:left w:w="108" w:type="dxa"/>
            <w:bottom w:w="0" w:type="dxa"/>
            <w:right w:w="108" w:type="dxa"/>
          </w:tblCellMar>
        </w:tblPrEx>
        <w:trPr>
          <w:trHeight w:val="5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保证东部新区项目管理工作有效开展，为机关日常运转提供必要保障。</w:t>
            </w:r>
          </w:p>
        </w:tc>
        <w:tc>
          <w:tcPr>
            <w:tcW w:w="1587"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全额完成</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督促项目公司完工项目数量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完工率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完工进度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督促项目公司累计完成PPP项目投资额</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亿元</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62.76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62.76</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促进东部新区打造效率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保障管委会高效开展PPP工作效率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r>
        <w:tblPrEx>
          <w:tblCellMar>
            <w:top w:w="0" w:type="dxa"/>
            <w:left w:w="108" w:type="dxa"/>
            <w:bottom w:w="0" w:type="dxa"/>
            <w:right w:w="108" w:type="dxa"/>
          </w:tblCellMar>
        </w:tblPrEx>
        <w:trPr>
          <w:trHeight w:val="500" w:hRule="atLeast"/>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城市管理运行维护成本</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color w:val="000000"/>
                <w:sz w:val="22"/>
                <w:szCs w:val="22"/>
              </w:rPr>
            </w:pPr>
          </w:p>
        </w:tc>
      </w:tr>
    </w:tbl>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对东部新区城市管理和运行维护费开展了绩效评价，涉及财政拨款项目资金147.82万元，评价得分100分，评价等次为优，绩效评价发现了项目绩效管理意识不强、资金使用有待进一步加强规划等主要问题，提出加强绩效管理意识，规范绩效管理工作，确保资金合理有效运用等下一步工作建议。</w:t>
      </w:r>
    </w:p>
    <w:p>
      <w:pPr>
        <w:pStyle w:val="11"/>
        <w:autoSpaceDE w:val="0"/>
        <w:ind w:firstLine="0" w:firstLineChars="0"/>
        <w:rPr>
          <w:rFonts w:ascii="方正仿宋_GBK" w:hAnsi="方正仿宋_GBK" w:eastAsia="方正仿宋_GBK" w:cs="方正仿宋_GBK"/>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eastAsia="方正仿宋_GBK"/>
        </w:rPr>
      </w:pPr>
      <w:r>
        <w:rPr>
          <w:rFonts w:hint="eastAsia" w:ascii="方正仿宋_GBK" w:hAnsi="方正仿宋_GBK" w:eastAsia="方正仿宋_GBK" w:cs="方正仿宋_GBK"/>
          <w:sz w:val="32"/>
          <w:szCs w:val="32"/>
          <w:shd w:val="clear" w:color="auto" w:fill="FFFFFF"/>
          <w:lang w:bidi="ar"/>
        </w:rPr>
        <w:t>市财政局委托第三方对我单位东部片区基础设施建设项目桂阳路道路工程开展了绩效评价，涉及财政拨款项目资金0.00万元，评价得分92.78分，评价等次为优，绩效评价发现了项目绩效管理意识不强、规划许可证、施工许可证先建后补，工程建设程序不合规、项目建设工期超期，进度把控不严格、结算及决算办理进程较慢，无法明确项目建设成本等主要问题，提出加强绩效管理意识，规范绩效管理工作、完善基本建设手续，确保建设程序合规、严格把控项目建设进度，保障项目按计划完工等下一步工作建议。</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本单位决算公开信息反馈和联系方式：023-74630799。</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公开单位：垫江县东部新区管理委员会（本级）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30,034.55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256.78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71,200.00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13.91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92,809.86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5,900.00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101,234.55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101,304.55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101,304.55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101,304.55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公开单位：垫江县东部新区管理委员会（本级）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101,234.55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101,234.55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254.92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254.92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254.92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254.92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92,809.86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92,809.86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7,943.80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7,943.80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7,943.80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7,943.80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13,666.06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13,666.06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13,666.06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13,666.06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城市建设支出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棚户区改造支出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47,000.00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47,000.00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垫江县东部新区管理委员会（本级）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101,304.55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320.43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100,984.12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256.78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254.92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254.92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254.92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254.92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254.92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文物保护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92,809.86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92,809.86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7,943.80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7,943.80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7,943.80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7,943.80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13,666.06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13,666.06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13,666.06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13,666.06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城市建设支出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棚户区改造支出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47,000.00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47,000.00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垫江县东部新区管理委员会（本级）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30,034.55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256.78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256.78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71,200.00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13.91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92,809.86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21,609.86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71,200.00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5,900.00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101,234.55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101,304.55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30,104.55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71,200.00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101,304.55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101,304.55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30,104.55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71,200.00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垫江县东部新区管理委员会（本级）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30,104.55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320.43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29,784.12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256.78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254.92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254.92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254.92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254.92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254.92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技术研究与开发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其他技术研究与开发支出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文物保护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11.22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21,609.86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21,609.86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7,943.80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7,943.80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7,943.80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7,943.80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13,666.06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13,666.06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13,666.06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13,666.06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5,900.00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5,900.00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垫江县东部新区管理委员会（本级）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245.13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75.30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垫江县东部新区管理委员会（本级）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71,200.00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71,200.00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71,200.00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71,200.00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71,200.00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2120803</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城市建设支出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24,200.00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24,200.00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2120810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棚户区改造支出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47,000.00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47,000.00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47,000.00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垫江县东部新区管理委员会（本级）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垫江县东部新区管理委员会（本级）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75.30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9.69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9.69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75.30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9.69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9.69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9.69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97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970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2.29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80678BC2-ACF4-47C4-A3F0-05329A3E8C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B810014B-E13E-4808-B8D2-E73E383823BD}"/>
  </w:font>
  <w:font w:name="方正仿宋_GBK">
    <w:panose1 w:val="03000509000000000000"/>
    <w:charset w:val="86"/>
    <w:family w:val="script"/>
    <w:pitch w:val="default"/>
    <w:sig w:usb0="00000001" w:usb1="080E0000" w:usb2="00000000" w:usb3="00000000" w:csb0="00040000" w:csb1="00000000"/>
    <w:embedRegular r:id="rId3" w:fontKey="{14A9DE0C-8027-4743-A6B4-3E92D3399253}"/>
  </w:font>
  <w:font w:name="楷体">
    <w:panose1 w:val="02010609060101010101"/>
    <w:charset w:val="86"/>
    <w:family w:val="modern"/>
    <w:pitch w:val="default"/>
    <w:sig w:usb0="800002BF" w:usb1="38CF7CFA" w:usb2="00000016" w:usb3="00000000" w:csb0="00040001" w:csb1="00000000"/>
    <w:embedRegular r:id="rId4" w:fontKey="{751E8EEA-5848-4A92-B2C6-443DE1A403E8}"/>
  </w:font>
  <w:font w:name="微软雅黑">
    <w:panose1 w:val="020B0503020204020204"/>
    <w:charset w:val="86"/>
    <w:family w:val="swiss"/>
    <w:pitch w:val="default"/>
    <w:sig w:usb0="80000287" w:usb1="280F3C52" w:usb2="00000016" w:usb3="00000000" w:csb0="0004001F" w:csb1="00000000"/>
    <w:embedRegular r:id="rId5" w:fontKey="{18B3C784-C60B-40AD-A6A1-31B0ADE25DF4}"/>
  </w:font>
  <w:font w:name="Arial">
    <w:panose1 w:val="020B0604020202020204"/>
    <w:charset w:val="00"/>
    <w:family w:val="swiss"/>
    <w:pitch w:val="default"/>
    <w:sig w:usb0="E0002AFF" w:usb1="C0007843" w:usb2="00000009" w:usb3="00000000" w:csb0="400001FF" w:csb1="FFFF0000"/>
    <w:embedRegular r:id="rId6" w:fontKey="{2C96E4E7-2DDB-4E8F-82AE-96D64293A8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Dk2YTRjMDE4MDIyNWFjZDk0ZmZhOTk2YzI0ZmEifQ=="/>
  </w:docVars>
  <w:rsids>
    <w:rsidRoot w:val="00B03CCD"/>
    <w:rsid w:val="00550ABE"/>
    <w:rsid w:val="005B2A68"/>
    <w:rsid w:val="006D6C52"/>
    <w:rsid w:val="007B419D"/>
    <w:rsid w:val="008D2344"/>
    <w:rsid w:val="009B67B8"/>
    <w:rsid w:val="00A50093"/>
    <w:rsid w:val="00B03CCD"/>
    <w:rsid w:val="00E63950"/>
    <w:rsid w:val="00F73F90"/>
    <w:rsid w:val="00F94591"/>
    <w:rsid w:val="01474EBF"/>
    <w:rsid w:val="01F3521E"/>
    <w:rsid w:val="03A35B85"/>
    <w:rsid w:val="03B87EA0"/>
    <w:rsid w:val="03E3214F"/>
    <w:rsid w:val="04310AF7"/>
    <w:rsid w:val="044C50BA"/>
    <w:rsid w:val="05BC6D49"/>
    <w:rsid w:val="06194FF1"/>
    <w:rsid w:val="06A2550B"/>
    <w:rsid w:val="06A94327"/>
    <w:rsid w:val="06F80EE2"/>
    <w:rsid w:val="07001CCA"/>
    <w:rsid w:val="073D781C"/>
    <w:rsid w:val="075678DB"/>
    <w:rsid w:val="079D7CC7"/>
    <w:rsid w:val="08051BCA"/>
    <w:rsid w:val="080D2BAF"/>
    <w:rsid w:val="082B118B"/>
    <w:rsid w:val="086C12F4"/>
    <w:rsid w:val="08705944"/>
    <w:rsid w:val="08BA052C"/>
    <w:rsid w:val="08DB07BA"/>
    <w:rsid w:val="0969353F"/>
    <w:rsid w:val="097827A8"/>
    <w:rsid w:val="098305D0"/>
    <w:rsid w:val="0A3317EA"/>
    <w:rsid w:val="0A5C4B69"/>
    <w:rsid w:val="0A86124A"/>
    <w:rsid w:val="0A926DBD"/>
    <w:rsid w:val="0AB54CC0"/>
    <w:rsid w:val="0B9335CE"/>
    <w:rsid w:val="0BF2311A"/>
    <w:rsid w:val="0C7927C4"/>
    <w:rsid w:val="0C8C169B"/>
    <w:rsid w:val="0C9B098C"/>
    <w:rsid w:val="0D3146C6"/>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7E6398"/>
    <w:rsid w:val="13871C70"/>
    <w:rsid w:val="13A71CB4"/>
    <w:rsid w:val="13AF1D43"/>
    <w:rsid w:val="13CE1647"/>
    <w:rsid w:val="13FD55AB"/>
    <w:rsid w:val="14200702"/>
    <w:rsid w:val="154E56E5"/>
    <w:rsid w:val="163A6CEE"/>
    <w:rsid w:val="16BC0757"/>
    <w:rsid w:val="173708E3"/>
    <w:rsid w:val="17C374FC"/>
    <w:rsid w:val="182E4AB6"/>
    <w:rsid w:val="189079DC"/>
    <w:rsid w:val="189B0D0B"/>
    <w:rsid w:val="18B43F7C"/>
    <w:rsid w:val="194A1770"/>
    <w:rsid w:val="19B906A4"/>
    <w:rsid w:val="1A9D01FD"/>
    <w:rsid w:val="1ABB05A1"/>
    <w:rsid w:val="1B6F15B6"/>
    <w:rsid w:val="1BAA2EDC"/>
    <w:rsid w:val="1BC27C80"/>
    <w:rsid w:val="1C3276CE"/>
    <w:rsid w:val="1CA55E64"/>
    <w:rsid w:val="1D014A01"/>
    <w:rsid w:val="1D022362"/>
    <w:rsid w:val="1D1B04B0"/>
    <w:rsid w:val="1DA52501"/>
    <w:rsid w:val="1DBD6767"/>
    <w:rsid w:val="1DC36943"/>
    <w:rsid w:val="1DC52125"/>
    <w:rsid w:val="1DD06606"/>
    <w:rsid w:val="1DD26311"/>
    <w:rsid w:val="1E374ACB"/>
    <w:rsid w:val="1ECF0A66"/>
    <w:rsid w:val="1EF67CA4"/>
    <w:rsid w:val="1F020D3A"/>
    <w:rsid w:val="1F2C5189"/>
    <w:rsid w:val="1F4B0B02"/>
    <w:rsid w:val="1FBB35CD"/>
    <w:rsid w:val="1FCD26AF"/>
    <w:rsid w:val="20642787"/>
    <w:rsid w:val="21556F04"/>
    <w:rsid w:val="22400238"/>
    <w:rsid w:val="22403BD3"/>
    <w:rsid w:val="22615740"/>
    <w:rsid w:val="2320620F"/>
    <w:rsid w:val="24B92327"/>
    <w:rsid w:val="24C14514"/>
    <w:rsid w:val="2533755C"/>
    <w:rsid w:val="25791755"/>
    <w:rsid w:val="259C3E2E"/>
    <w:rsid w:val="25F50EFF"/>
    <w:rsid w:val="26396DF4"/>
    <w:rsid w:val="27167136"/>
    <w:rsid w:val="272951AE"/>
    <w:rsid w:val="272B24F1"/>
    <w:rsid w:val="27B23302"/>
    <w:rsid w:val="29310A5F"/>
    <w:rsid w:val="29C37A35"/>
    <w:rsid w:val="2A076083"/>
    <w:rsid w:val="2A73162E"/>
    <w:rsid w:val="2B167953"/>
    <w:rsid w:val="2B200583"/>
    <w:rsid w:val="2B8209DE"/>
    <w:rsid w:val="2C636760"/>
    <w:rsid w:val="2C6762A3"/>
    <w:rsid w:val="2DEB5D7B"/>
    <w:rsid w:val="2F132A8C"/>
    <w:rsid w:val="2F203FA1"/>
    <w:rsid w:val="2FCA4B37"/>
    <w:rsid w:val="2FE029D7"/>
    <w:rsid w:val="2FF06E00"/>
    <w:rsid w:val="30586FEC"/>
    <w:rsid w:val="30A0405D"/>
    <w:rsid w:val="31091A9E"/>
    <w:rsid w:val="311A7942"/>
    <w:rsid w:val="315F0B22"/>
    <w:rsid w:val="31C02BF2"/>
    <w:rsid w:val="31D84415"/>
    <w:rsid w:val="31F43D7D"/>
    <w:rsid w:val="31F83DEE"/>
    <w:rsid w:val="32285F6F"/>
    <w:rsid w:val="32770556"/>
    <w:rsid w:val="329C0913"/>
    <w:rsid w:val="32AA0460"/>
    <w:rsid w:val="3337290D"/>
    <w:rsid w:val="33E31118"/>
    <w:rsid w:val="33EF7674"/>
    <w:rsid w:val="342D7BC6"/>
    <w:rsid w:val="352930DB"/>
    <w:rsid w:val="35573069"/>
    <w:rsid w:val="355F6038"/>
    <w:rsid w:val="358C217E"/>
    <w:rsid w:val="35B42FB1"/>
    <w:rsid w:val="36C9128A"/>
    <w:rsid w:val="3746653E"/>
    <w:rsid w:val="37841E99"/>
    <w:rsid w:val="37BF1123"/>
    <w:rsid w:val="383C3F15"/>
    <w:rsid w:val="38B34521"/>
    <w:rsid w:val="38BE4696"/>
    <w:rsid w:val="3939115E"/>
    <w:rsid w:val="39B82A39"/>
    <w:rsid w:val="39C42CA8"/>
    <w:rsid w:val="39DC4FD6"/>
    <w:rsid w:val="39F03D7A"/>
    <w:rsid w:val="39F33306"/>
    <w:rsid w:val="3A2C1C67"/>
    <w:rsid w:val="3ADD7F09"/>
    <w:rsid w:val="3B1705E5"/>
    <w:rsid w:val="3B18334B"/>
    <w:rsid w:val="3B36794F"/>
    <w:rsid w:val="3B6F6EE0"/>
    <w:rsid w:val="3B734410"/>
    <w:rsid w:val="3C065A27"/>
    <w:rsid w:val="3C566AD6"/>
    <w:rsid w:val="3C594871"/>
    <w:rsid w:val="3C6A5B02"/>
    <w:rsid w:val="3D2757A1"/>
    <w:rsid w:val="3D3D4FC4"/>
    <w:rsid w:val="3DDF3AB1"/>
    <w:rsid w:val="3E1D0952"/>
    <w:rsid w:val="3E42660A"/>
    <w:rsid w:val="3E7555B1"/>
    <w:rsid w:val="3E787ED9"/>
    <w:rsid w:val="3EDB2E79"/>
    <w:rsid w:val="3F032E93"/>
    <w:rsid w:val="3F0527E5"/>
    <w:rsid w:val="3F694D83"/>
    <w:rsid w:val="3F885DCC"/>
    <w:rsid w:val="3FCD675E"/>
    <w:rsid w:val="4004000C"/>
    <w:rsid w:val="40916D18"/>
    <w:rsid w:val="411B6CE5"/>
    <w:rsid w:val="412070D7"/>
    <w:rsid w:val="41314E40"/>
    <w:rsid w:val="41E0734B"/>
    <w:rsid w:val="426C1EA8"/>
    <w:rsid w:val="42736402"/>
    <w:rsid w:val="42E86A87"/>
    <w:rsid w:val="43307B09"/>
    <w:rsid w:val="439A3EB9"/>
    <w:rsid w:val="43BB152F"/>
    <w:rsid w:val="43FD1538"/>
    <w:rsid w:val="44A5355D"/>
    <w:rsid w:val="44C37687"/>
    <w:rsid w:val="45CB699A"/>
    <w:rsid w:val="465B470D"/>
    <w:rsid w:val="469D6AD4"/>
    <w:rsid w:val="46F63D49"/>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E41A24"/>
    <w:rsid w:val="4DAC4ACA"/>
    <w:rsid w:val="4DAF47C1"/>
    <w:rsid w:val="4DBE01D2"/>
    <w:rsid w:val="4DE96243"/>
    <w:rsid w:val="4E2D4E63"/>
    <w:rsid w:val="4F0C6BA3"/>
    <w:rsid w:val="4F186D58"/>
    <w:rsid w:val="4FC30906"/>
    <w:rsid w:val="504416D0"/>
    <w:rsid w:val="50454A79"/>
    <w:rsid w:val="50F06B6E"/>
    <w:rsid w:val="51D21804"/>
    <w:rsid w:val="52234D33"/>
    <w:rsid w:val="522F6E0C"/>
    <w:rsid w:val="52463BA1"/>
    <w:rsid w:val="525979C0"/>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350A0B"/>
    <w:rsid w:val="56530F5D"/>
    <w:rsid w:val="567700D3"/>
    <w:rsid w:val="56FF7E9E"/>
    <w:rsid w:val="578867FC"/>
    <w:rsid w:val="57B02148"/>
    <w:rsid w:val="5824376F"/>
    <w:rsid w:val="5842572D"/>
    <w:rsid w:val="5A3B59D6"/>
    <w:rsid w:val="5AD134D8"/>
    <w:rsid w:val="5C263CE4"/>
    <w:rsid w:val="5C5D2777"/>
    <w:rsid w:val="5CF66BF3"/>
    <w:rsid w:val="5D290C69"/>
    <w:rsid w:val="5D955EC5"/>
    <w:rsid w:val="5F2D4A41"/>
    <w:rsid w:val="60C74F6C"/>
    <w:rsid w:val="61025A59"/>
    <w:rsid w:val="613D5BBC"/>
    <w:rsid w:val="61536C39"/>
    <w:rsid w:val="62406E64"/>
    <w:rsid w:val="62944DD7"/>
    <w:rsid w:val="6319381F"/>
    <w:rsid w:val="63383273"/>
    <w:rsid w:val="634C6CD2"/>
    <w:rsid w:val="63C25DC5"/>
    <w:rsid w:val="63C62057"/>
    <w:rsid w:val="64571EF5"/>
    <w:rsid w:val="64FB113D"/>
    <w:rsid w:val="65317AD4"/>
    <w:rsid w:val="656152C6"/>
    <w:rsid w:val="6587477F"/>
    <w:rsid w:val="658C3A08"/>
    <w:rsid w:val="659845C2"/>
    <w:rsid w:val="65C031CA"/>
    <w:rsid w:val="65CE6852"/>
    <w:rsid w:val="66267C04"/>
    <w:rsid w:val="663F505A"/>
    <w:rsid w:val="66EE5541"/>
    <w:rsid w:val="67924660"/>
    <w:rsid w:val="67C72E45"/>
    <w:rsid w:val="68011885"/>
    <w:rsid w:val="68407834"/>
    <w:rsid w:val="6883293E"/>
    <w:rsid w:val="688412AD"/>
    <w:rsid w:val="68EB1B71"/>
    <w:rsid w:val="69A40385"/>
    <w:rsid w:val="6AAD2300"/>
    <w:rsid w:val="6B474EF5"/>
    <w:rsid w:val="6BAC3F30"/>
    <w:rsid w:val="6C0A5AC5"/>
    <w:rsid w:val="6C560CAE"/>
    <w:rsid w:val="6C576495"/>
    <w:rsid w:val="6D903FF5"/>
    <w:rsid w:val="6DA955B8"/>
    <w:rsid w:val="6DE346AB"/>
    <w:rsid w:val="6DE5391A"/>
    <w:rsid w:val="6EFD1324"/>
    <w:rsid w:val="6F5A53AC"/>
    <w:rsid w:val="6FAC003D"/>
    <w:rsid w:val="6FE55E12"/>
    <w:rsid w:val="6FFB2E76"/>
    <w:rsid w:val="6FFC241E"/>
    <w:rsid w:val="705872DD"/>
    <w:rsid w:val="708F6F7F"/>
    <w:rsid w:val="70D94BD3"/>
    <w:rsid w:val="71587EEE"/>
    <w:rsid w:val="718E52E9"/>
    <w:rsid w:val="71C34D91"/>
    <w:rsid w:val="72DB435C"/>
    <w:rsid w:val="72E2613A"/>
    <w:rsid w:val="72F771F4"/>
    <w:rsid w:val="734741BF"/>
    <w:rsid w:val="73934AD2"/>
    <w:rsid w:val="7442567A"/>
    <w:rsid w:val="74B86018"/>
    <w:rsid w:val="750837F0"/>
    <w:rsid w:val="750B0665"/>
    <w:rsid w:val="754758CF"/>
    <w:rsid w:val="764F62AB"/>
    <w:rsid w:val="765C45EC"/>
    <w:rsid w:val="767B149E"/>
    <w:rsid w:val="768A7619"/>
    <w:rsid w:val="76ED1D7C"/>
    <w:rsid w:val="772E1EBA"/>
    <w:rsid w:val="77E30BF3"/>
    <w:rsid w:val="77F16643"/>
    <w:rsid w:val="781926BC"/>
    <w:rsid w:val="796D60A4"/>
    <w:rsid w:val="79A031D5"/>
    <w:rsid w:val="7A1525F7"/>
    <w:rsid w:val="7B0C1172"/>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425" w:lineRule="atLeast"/>
      <w:ind w:firstLine="420"/>
      <w:textAlignment w:val="baseline"/>
    </w:pPr>
    <w:rPr>
      <w:rFonts w:ascii="Calibri" w:hAnsi="Calibri"/>
      <w:color w:val="000000"/>
      <w:sz w:val="21"/>
      <w:szCs w:val="2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2990</Words>
  <Characters>17045</Characters>
  <Lines>142</Lines>
  <Paragraphs>39</Paragraphs>
  <TotalTime>9</TotalTime>
  <ScaleCrop>false</ScaleCrop>
  <LinksUpToDate>false</LinksUpToDate>
  <CharactersWithSpaces>19996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2024-09-10T02:41:31Z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