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垫江县红十字会（本级）</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pPr>
        <w:pStyle w:val="11"/>
        <w:autoSpaceDE w:val="0"/>
        <w:snapToGrid w:val="0"/>
        <w:spacing w:before="0" w:beforeAutospacing="0" w:after="0" w:afterAutospacing="0" w:line="594" w:lineRule="exact"/>
        <w:ind w:firstLine="643" w:firstLineChars="200"/>
        <w:jc w:val="both"/>
        <w:rPr>
          <w:rFonts w:ascii="方正楷体_GBK" w:hAnsi="方正楷体_GBK" w:eastAsia="方正楷体_GBK" w:cs="方正楷体_GBK"/>
          <w:sz w:val="32"/>
          <w:szCs w:val="32"/>
        </w:rPr>
      </w:pPr>
      <w:r>
        <w:rPr>
          <w:rStyle w:val="16"/>
          <w:rFonts w:hint="eastAsia" w:ascii="方正楷体_GBK" w:hAnsi="方正楷体_GBK" w:eastAsia="方正楷体_GBK" w:cs="方正楷体_GBK"/>
          <w:sz w:val="32"/>
          <w:szCs w:val="32"/>
          <w:shd w:val="clear" w:color="auto" w:fill="FFFFFF"/>
        </w:rPr>
        <w:t>（一）职能职责</w:t>
      </w:r>
      <w:bookmarkStart w:id="0" w:name="_GoBack"/>
      <w:bookmarkEnd w:id="0"/>
    </w:p>
    <w:p>
      <w:pPr>
        <w:autoSpaceDE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1.</w:t>
      </w:r>
      <w:r>
        <w:rPr>
          <w:rFonts w:ascii="方正仿宋_GBK" w:hAnsi="方正仿宋_GBK" w:eastAsia="方正仿宋_GBK" w:cs="方正仿宋_GBK"/>
          <w:sz w:val="32"/>
          <w:szCs w:val="32"/>
        </w:rPr>
        <w:t>坚持党的领导。坚决贯彻党的意志和主张，坚定不移走中国特色社会主义群团发展道路，切实增强红十字工作的政治性和红十字组织的先进性、群众性，汇聚全县广大红十字工作者、会员、志愿者推进社会主义现代化建设的强大合力。</w:t>
      </w:r>
    </w:p>
    <w:p>
      <w:pPr>
        <w:autoSpaceDE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2.</w:t>
      </w:r>
      <w:r>
        <w:rPr>
          <w:rFonts w:ascii="方正仿宋_GBK" w:hAnsi="方正仿宋_GBK" w:eastAsia="方正仿宋_GBK" w:cs="方正仿宋_GBK"/>
          <w:sz w:val="32"/>
          <w:szCs w:val="32"/>
        </w:rPr>
        <w:t>加强政治引领和思想引导。切实承担团结广大红十字工作者、会员、志愿者听党话、跟党走的政治任务，弘扬传统美德和人道奉献精神，积极践行社会主义核心价值观。</w:t>
      </w:r>
    </w:p>
    <w:p>
      <w:pPr>
        <w:autoSpaceDE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3.</w:t>
      </w:r>
      <w:r>
        <w:rPr>
          <w:rFonts w:ascii="方正仿宋_GBK" w:hAnsi="方正仿宋_GBK" w:eastAsia="方正仿宋_GBK" w:cs="方正仿宋_GBK"/>
          <w:sz w:val="32"/>
          <w:szCs w:val="32"/>
        </w:rPr>
        <w:t>依法依章程独立自主开展工作。宣传和贯彻落实《中华人民共和国红十字会法》、《中华人民共和国红十字标志使用办法》，按照《中国红十字会章程》和中国红十字会总会、市红十字会的各项要求，指导全县各级红十字会依法开展工作。传播国际红十字运动知识和国际人道法，遵循国际红十字与红新月运动的七项基本原则，依照日内瓦公约及其附加议定书，独立自主开展工作。</w:t>
      </w:r>
    </w:p>
    <w:p>
      <w:pPr>
        <w:autoSpaceDE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4.</w:t>
      </w:r>
      <w:r>
        <w:rPr>
          <w:rFonts w:ascii="方正仿宋_GBK" w:hAnsi="方正仿宋_GBK" w:eastAsia="方正仿宋_GBK" w:cs="方正仿宋_GBK"/>
          <w:sz w:val="32"/>
          <w:szCs w:val="32"/>
        </w:rPr>
        <w:t>围绕中心服务大局。围绕</w:t>
      </w:r>
      <w:r>
        <w:rPr>
          <w:rFonts w:hint="default" w:ascii="Times New Roman" w:hAnsi="Times New Roman" w:eastAsia="方正仿宋_GBK"/>
          <w:sz w:val="32"/>
          <w:szCs w:val="32"/>
        </w:rPr>
        <w:t>“</w:t>
      </w:r>
      <w:r>
        <w:rPr>
          <w:rFonts w:ascii="方正仿宋_GBK" w:hAnsi="方正仿宋_GBK" w:eastAsia="方正仿宋_GBK" w:cs="方正仿宋_GBK"/>
          <w:sz w:val="32"/>
          <w:szCs w:val="32"/>
        </w:rPr>
        <w:t>四个全面</w:t>
      </w:r>
      <w:r>
        <w:rPr>
          <w:rFonts w:hint="default" w:ascii="Times New Roman" w:hAnsi="Times New Roman" w:eastAsia="方正仿宋_GBK"/>
          <w:sz w:val="32"/>
          <w:szCs w:val="32"/>
        </w:rPr>
        <w:t>”</w:t>
      </w:r>
      <w:r>
        <w:rPr>
          <w:rFonts w:ascii="方正仿宋_GBK" w:hAnsi="方正仿宋_GBK" w:eastAsia="方正仿宋_GBK" w:cs="方正仿宋_GBK"/>
          <w:sz w:val="32"/>
          <w:szCs w:val="32"/>
        </w:rPr>
        <w:t>战略布局，积极主动参与党委</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rPr>
        <w:t>政府各项中心工作，在党政所需、群众所盼、红十字会所能的人道领域，充分发挥红十字会作为党和政府人道领域的得力助手作用。</w:t>
      </w:r>
    </w:p>
    <w:p>
      <w:pPr>
        <w:autoSpaceDE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5.</w:t>
      </w:r>
      <w:r>
        <w:rPr>
          <w:rFonts w:ascii="方正仿宋_GBK" w:hAnsi="方正仿宋_GBK" w:eastAsia="方正仿宋_GBK" w:cs="方正仿宋_GBK"/>
          <w:sz w:val="32"/>
          <w:szCs w:val="32"/>
        </w:rPr>
        <w:t>强化红十字会工作主阵地。当好党和政府联系困难群众的桥梁和纽带，在备灾救灾、人道救助、应急救护、无偿献血宣传、造血干细胞捐献、遗体和人体器官捐献、艾滋病预防与关爱、红十字青少年、志愿服务、国际人道救援及交流等领域，充分发挥红十字组织的社会动员能力、管理能力、服务能力。</w:t>
      </w:r>
      <w:r>
        <w:rPr>
          <w:rFonts w:hint="default" w:ascii="Times New Roman" w:hAnsi="Times New Roman" w:eastAsia="方正仿宋_GBK"/>
          <w:sz w:val="32"/>
          <w:szCs w:val="32"/>
        </w:rPr>
        <w:t xml:space="preserve"> </w:t>
      </w:r>
    </w:p>
    <w:p>
      <w:pPr>
        <w:autoSpaceDE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6.</w:t>
      </w:r>
      <w:r>
        <w:rPr>
          <w:rFonts w:ascii="方正仿宋_GBK" w:hAnsi="方正仿宋_GBK" w:eastAsia="方正仿宋_GBK" w:cs="方正仿宋_GBK"/>
          <w:sz w:val="32"/>
          <w:szCs w:val="32"/>
        </w:rPr>
        <w:t>积极参与社会管理。切实发挥社会事务管理服务作用，把适合红十字会组织承担的一些社会管理服务职能按照法定程序交由县红十字会行使，培育和打造红十字会在开展人道救助、反映民生诉求、化解社会矛盾等方面的优势品牌。</w:t>
      </w:r>
    </w:p>
    <w:p>
      <w:pPr>
        <w:autoSpaceDE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7.</w:t>
      </w:r>
      <w:r>
        <w:rPr>
          <w:rFonts w:ascii="方正仿宋_GBK" w:hAnsi="方正仿宋_GBK" w:eastAsia="方正仿宋_GBK" w:cs="方正仿宋_GBK"/>
          <w:sz w:val="32"/>
          <w:szCs w:val="32"/>
        </w:rPr>
        <w:t>研究指导红十字自身改革和建设。加强政策理论研究。加强组织体系建设和干部队伍建设，理顺管理体制，完善内部结构，创新管理模式。开展与国际红十字组织和各国红十字会的友好合作与交流。</w:t>
      </w:r>
    </w:p>
    <w:p>
      <w:pPr>
        <w:autoSpaceDE w:val="0"/>
        <w:snapToGrid w:val="0"/>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8.</w:t>
      </w:r>
      <w:r>
        <w:rPr>
          <w:rFonts w:ascii="方正仿宋_GBK" w:hAnsi="方正仿宋_GBK" w:eastAsia="方正仿宋_GBK" w:cs="方正仿宋_GBK"/>
          <w:sz w:val="32"/>
          <w:szCs w:val="32"/>
        </w:rPr>
        <w:t>完成县委、县政府交办的其他事项。</w:t>
      </w:r>
    </w:p>
    <w:p>
      <w:pPr>
        <w:pStyle w:val="11"/>
        <w:autoSpaceDE w:val="0"/>
        <w:snapToGrid w:val="0"/>
        <w:spacing w:before="0" w:beforeAutospacing="0" w:after="0" w:afterAutospacing="0" w:line="594" w:lineRule="exact"/>
        <w:ind w:firstLine="643" w:firstLineChars="200"/>
        <w:jc w:val="both"/>
        <w:rPr>
          <w:rFonts w:ascii="方正楷体_GBK" w:hAnsi="方正楷体_GBK" w:eastAsia="方正楷体_GBK" w:cs="方正楷体_GBK"/>
          <w:sz w:val="32"/>
          <w:szCs w:val="32"/>
          <w:shd w:val="clear" w:color="auto" w:fill="FFFFFF"/>
        </w:rPr>
      </w:pPr>
      <w:r>
        <w:rPr>
          <w:rStyle w:val="16"/>
          <w:rFonts w:hint="eastAsia" w:ascii="方正楷体_GBK" w:hAnsi="方正楷体_GBK" w:eastAsia="方正楷体_GBK" w:cs="方正楷体_GBK"/>
          <w:sz w:val="32"/>
          <w:szCs w:val="32"/>
          <w:shd w:val="clear" w:color="auto" w:fill="FFFFFF"/>
        </w:rPr>
        <w:t>（二）机构设置</w:t>
      </w:r>
    </w:p>
    <w:p>
      <w:pPr>
        <w:autoSpaceDE w:val="0"/>
        <w:snapToGrid w:val="0"/>
        <w:spacing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rPr>
        <w:t>本单位内设</w:t>
      </w:r>
      <w:r>
        <w:rPr>
          <w:rFonts w:hint="default" w:ascii="Times New Roman" w:hAnsi="Times New Roman" w:eastAsia="方正仿宋_GBK"/>
          <w:sz w:val="32"/>
          <w:szCs w:val="32"/>
        </w:rPr>
        <w:t>2</w:t>
      </w:r>
      <w:r>
        <w:rPr>
          <w:rFonts w:ascii="方正仿宋_GBK" w:hAnsi="方正仿宋_GBK" w:eastAsia="方正仿宋_GBK" w:cs="方正仿宋_GBK"/>
          <w:sz w:val="32"/>
          <w:szCs w:val="32"/>
        </w:rPr>
        <w:t>个科室：办公室和赈济救护科。</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11"/>
        <w:autoSpaceDE w:val="0"/>
        <w:snapToGrid w:val="0"/>
        <w:spacing w:before="0" w:beforeAutospacing="0" w:after="0" w:afterAutospacing="0" w:line="594" w:lineRule="exact"/>
        <w:ind w:firstLine="643" w:firstLineChars="200"/>
        <w:jc w:val="both"/>
        <w:rPr>
          <w:rFonts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2023年度收入总计210.28万元，支出总计</w:t>
      </w:r>
      <w:r>
        <w:rPr>
          <w:rFonts w:ascii="方正仿宋_GBK" w:hAnsi="方正仿宋_GBK" w:eastAsia="方正仿宋_GBK" w:cs="方正仿宋_GBK"/>
          <w:sz w:val="32"/>
          <w:szCs w:val="32"/>
        </w:rPr>
        <w:t>210.28</w:t>
      </w:r>
      <w:r>
        <w:rPr>
          <w:rFonts w:ascii="方正仿宋_GBK" w:hAnsi="方正仿宋_GBK" w:eastAsia="方正仿宋_GBK" w:cs="方正仿宋_GBK"/>
          <w:sz w:val="32"/>
          <w:szCs w:val="32"/>
          <w:shd w:val="clear" w:color="auto" w:fill="FFFFFF"/>
        </w:rPr>
        <w:t>万元。收支较上年决算数减少8.29万元，下降3.79%，主要原因是单位人员变动，财政拨款收、支减少</w:t>
      </w:r>
      <w:r>
        <w:rPr>
          <w:rFonts w:hint="eastAsia"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2023年度收入合计210.28万元，较上年决算数减少1.94万元，下降0.91%，主要原因是人员变动，财政拨款收入减少。其中：财政拨款收入</w:t>
      </w:r>
      <w:r>
        <w:rPr>
          <w:rFonts w:ascii="方正仿宋_GBK" w:hAnsi="方正仿宋_GBK" w:eastAsia="方正仿宋_GBK" w:cs="方正仿宋_GBK"/>
          <w:sz w:val="32"/>
          <w:szCs w:val="32"/>
        </w:rPr>
        <w:t>210.28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210.28</w:t>
      </w:r>
      <w:r>
        <w:rPr>
          <w:rFonts w:ascii="方正仿宋_GBK" w:hAnsi="方正仿宋_GBK" w:eastAsia="方正仿宋_GBK" w:cs="方正仿宋_GBK"/>
          <w:sz w:val="32"/>
          <w:szCs w:val="32"/>
          <w:shd w:val="clear" w:color="auto" w:fill="FFFFFF"/>
        </w:rPr>
        <w:t>万元，较上年决算数减少8.29万元，下降3.79%，主要原因是人员变动。其中：基本支出</w:t>
      </w:r>
      <w:r>
        <w:rPr>
          <w:rFonts w:ascii="方正仿宋_GBK" w:hAnsi="方正仿宋_GBK" w:eastAsia="方正仿宋_GBK" w:cs="方正仿宋_GBK"/>
          <w:sz w:val="32"/>
          <w:szCs w:val="32"/>
        </w:rPr>
        <w:t>200.21</w:t>
      </w:r>
      <w:r>
        <w:rPr>
          <w:rFonts w:ascii="方正仿宋_GBK" w:hAnsi="方正仿宋_GBK" w:eastAsia="方正仿宋_GBK" w:cs="方正仿宋_GBK"/>
          <w:sz w:val="32"/>
          <w:szCs w:val="32"/>
          <w:shd w:val="clear" w:color="auto" w:fill="FFFFFF"/>
        </w:rPr>
        <w:t>万元，占95.21%；项目支出</w:t>
      </w:r>
      <w:r>
        <w:rPr>
          <w:rFonts w:ascii="方正仿宋_GBK" w:hAnsi="方正仿宋_GBK" w:eastAsia="方正仿宋_GBK" w:cs="方正仿宋_GBK"/>
          <w:sz w:val="32"/>
          <w:szCs w:val="32"/>
        </w:rPr>
        <w:t>10.07</w:t>
      </w:r>
      <w:r>
        <w:rPr>
          <w:rFonts w:ascii="方正仿宋_GBK" w:hAnsi="方正仿宋_GBK" w:eastAsia="方正仿宋_GBK" w:cs="方正仿宋_GBK"/>
          <w:sz w:val="32"/>
          <w:szCs w:val="32"/>
          <w:shd w:val="clear" w:color="auto" w:fill="FFFFFF"/>
        </w:rPr>
        <w:t>万元，占4.79%；经营支出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80" w:lineRule="exact"/>
        <w:ind w:firstLine="643" w:firstLineChars="200"/>
        <w:jc w:val="both"/>
        <w:rPr>
          <w:rFonts w:hint="default" w:ascii="Times New Roman" w:hAnsi="Times New Roman" w:eastAsia="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w:t>
      </w:r>
      <w:r>
        <w:rPr>
          <w:rFonts w:hint="default" w:ascii="Times New Roman" w:hAnsi="Times New Roman" w:eastAsia="方正仿宋_GBK"/>
          <w:sz w:val="32"/>
          <w:szCs w:val="32"/>
          <w:shd w:val="clear" w:color="auto" w:fill="FFFFFF"/>
        </w:rPr>
        <w:t>原因是本年度及上年度均</w:t>
      </w:r>
      <w:r>
        <w:rPr>
          <w:rFonts w:ascii="Times New Roman" w:hAnsi="Times New Roman" w:eastAsia="方正仿宋_GBK"/>
          <w:sz w:val="32"/>
          <w:szCs w:val="32"/>
          <w:shd w:val="clear" w:color="auto" w:fill="FFFFFF"/>
        </w:rPr>
        <w:t>无</w:t>
      </w:r>
      <w:r>
        <w:rPr>
          <w:rFonts w:hint="default" w:ascii="Times New Roman" w:hAnsi="Times New Roman" w:eastAsia="方正仿宋_GBK"/>
          <w:sz w:val="32"/>
          <w:szCs w:val="32"/>
          <w:shd w:val="clear" w:color="auto" w:fill="FFFFFF"/>
        </w:rPr>
        <w:t>结转结余。</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2023年度财政拨款收、支总计210.28万元。与2022年相比，财政拨款收、支总计各减少8.29万元，下降3.79%。主要原因是单位人员变动，财政拨款收、支总计减少。</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210.28</w:t>
      </w:r>
      <w:r>
        <w:rPr>
          <w:rFonts w:ascii="方正仿宋_GBK" w:hAnsi="方正仿宋_GBK" w:eastAsia="方正仿宋_GBK" w:cs="方正仿宋_GBK"/>
          <w:sz w:val="32"/>
          <w:szCs w:val="32"/>
          <w:shd w:val="clear" w:color="auto" w:fill="FFFFFF"/>
        </w:rPr>
        <w:t>万元，较上年决算数增加0.03万元，增长0.01%。主要原因是工资变动，财政拨款收入增加。较年初预算数增加23.48万元，增长12.57%。主要原因是工资变动等导致收入增加，追加了预算。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210.28</w:t>
      </w:r>
      <w:r>
        <w:rPr>
          <w:rFonts w:ascii="方正仿宋_GBK" w:hAnsi="方正仿宋_GBK" w:eastAsia="方正仿宋_GBK" w:cs="方正仿宋_GBK"/>
          <w:sz w:val="32"/>
          <w:szCs w:val="32"/>
          <w:shd w:val="clear" w:color="auto" w:fill="FFFFFF"/>
        </w:rPr>
        <w:t>万元，较上年决算数减少6.32万元，下降2.92%。主要原因是人员变动，严格按照财政拨款控制经费支出，厉行节约。较年初预算数增加23.48万元，增长12.57%。主要原因是工资变动等导致支出增加，追加了预算。</w:t>
      </w:r>
    </w:p>
    <w:p>
      <w:pPr>
        <w:pStyle w:val="5"/>
        <w:snapToGrid w:val="0"/>
        <w:spacing w:before="0" w:beforeAutospacing="0" w:after="0" w:afterAutospacing="0" w:line="58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w:t>
      </w:r>
      <w:r>
        <w:rPr>
          <w:rFonts w:hint="default" w:ascii="Times New Roman" w:hAnsi="Times New Roman" w:eastAsia="方正仿宋_GBK"/>
          <w:sz w:val="32"/>
          <w:szCs w:val="32"/>
          <w:shd w:val="clear" w:color="auto" w:fill="FFFFFF"/>
        </w:rPr>
        <w:t>原因是本年度及上年度均</w:t>
      </w:r>
      <w:r>
        <w:rPr>
          <w:rFonts w:ascii="Times New Roman" w:hAnsi="Times New Roman" w:eastAsia="方正仿宋_GBK"/>
          <w:sz w:val="32"/>
          <w:szCs w:val="32"/>
          <w:shd w:val="clear" w:color="auto" w:fill="FFFFFF"/>
        </w:rPr>
        <w:t>无</w:t>
      </w:r>
      <w:r>
        <w:rPr>
          <w:rFonts w:hint="default" w:ascii="Times New Roman" w:hAnsi="Times New Roman" w:eastAsia="方正仿宋_GBK"/>
          <w:sz w:val="32"/>
          <w:szCs w:val="32"/>
          <w:shd w:val="clear" w:color="auto" w:fill="FFFFFF"/>
        </w:rPr>
        <w:t>结转结余。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11"/>
        <w:autoSpaceDE w:val="0"/>
        <w:snapToGrid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%，较年初预算数减少0.34万元，下降68.00%，主要原因是工作需要，调剂用于其他红十字事业发展支出。</w:t>
      </w:r>
    </w:p>
    <w:p>
      <w:pPr>
        <w:pStyle w:val="11"/>
        <w:autoSpaceDE w:val="0"/>
        <w:snapToGrid w:val="0"/>
        <w:spacing w:before="0" w:beforeAutospacing="0" w:after="0" w:afterAutospacing="0" w:line="594" w:lineRule="exact"/>
        <w:ind w:firstLine="640" w:firstLineChars="200"/>
        <w:jc w:val="both"/>
        <w:rPr>
          <w:rFonts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194.65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92.57</w:t>
      </w:r>
      <w:r>
        <w:rPr>
          <w:rFonts w:ascii="方正仿宋_GBK" w:hAnsi="方正仿宋_GBK" w:eastAsia="方正仿宋_GBK" w:cs="方正仿宋_GBK"/>
          <w:sz w:val="32"/>
          <w:szCs w:val="32"/>
          <w:shd w:val="clear" w:color="auto" w:fill="FFFFFF"/>
        </w:rPr>
        <w:t>%，较年初预算数增加26.21万元，增长15.56%，主要原因是人员工资</w:t>
      </w:r>
      <w:r>
        <w:rPr>
          <w:rFonts w:hint="eastAsia" w:ascii="方正仿宋_GBK" w:hAnsi="方正仿宋_GBK" w:eastAsia="方正仿宋_GBK" w:cs="方正仿宋_GBK"/>
          <w:sz w:val="32"/>
          <w:szCs w:val="32"/>
          <w:shd w:val="clear" w:color="auto" w:fill="FFFFFF"/>
        </w:rPr>
        <w:t>变动</w:t>
      </w:r>
      <w:r>
        <w:rPr>
          <w:rFonts w:ascii="方正仿宋_GBK" w:hAnsi="方正仿宋_GBK" w:eastAsia="方正仿宋_GBK" w:cs="方正仿宋_GBK"/>
          <w:sz w:val="32"/>
          <w:szCs w:val="32"/>
          <w:shd w:val="clear" w:color="auto" w:fill="FFFFFF"/>
        </w:rPr>
        <w:t>，社会保障与就业支出主要用于保障职工工资福利待遇、单位基本运转和其他红十字事业发展支出。</w:t>
      </w:r>
    </w:p>
    <w:p>
      <w:pPr>
        <w:pStyle w:val="11"/>
        <w:autoSpaceDE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3.11</w:t>
      </w:r>
      <w:r>
        <w:rPr>
          <w:rFonts w:ascii="方正仿宋_GBK" w:hAnsi="方正仿宋_GBK" w:eastAsia="方正仿宋_GBK" w:cs="方正仿宋_GBK"/>
          <w:sz w:val="32"/>
          <w:szCs w:val="32"/>
          <w:shd w:val="clear" w:color="auto" w:fill="FFFFFF"/>
        </w:rPr>
        <w:t>%，较年初预算数无增减，主要原因是严格按照</w:t>
      </w:r>
      <w:r>
        <w:rPr>
          <w:rFonts w:hint="eastAsia" w:ascii="方正仿宋_GBK" w:hAnsi="方正仿宋_GBK" w:eastAsia="方正仿宋_GBK" w:cs="方正仿宋_GBK"/>
          <w:sz w:val="32"/>
          <w:szCs w:val="32"/>
          <w:shd w:val="clear" w:color="auto" w:fill="FFFFFF"/>
        </w:rPr>
        <w:t>预算</w:t>
      </w:r>
      <w:r>
        <w:rPr>
          <w:rFonts w:ascii="方正仿宋_GBK" w:hAnsi="方正仿宋_GBK" w:eastAsia="方正仿宋_GBK" w:cs="方正仿宋_GBK"/>
          <w:sz w:val="32"/>
          <w:szCs w:val="32"/>
          <w:shd w:val="clear" w:color="auto" w:fill="FFFFFF"/>
        </w:rPr>
        <w:t>执行，所</w:t>
      </w:r>
      <w:r>
        <w:rPr>
          <w:rFonts w:hint="eastAsia" w:ascii="方正仿宋_GBK" w:hAnsi="方正仿宋_GBK" w:eastAsia="方正仿宋_GBK" w:cs="方正仿宋_GBK"/>
          <w:sz w:val="32"/>
          <w:szCs w:val="32"/>
          <w:shd w:val="clear" w:color="auto" w:fill="FFFFFF"/>
        </w:rPr>
        <w:t>以</w:t>
      </w:r>
      <w:r>
        <w:rPr>
          <w:rFonts w:ascii="方正仿宋_GBK" w:hAnsi="方正仿宋_GBK" w:eastAsia="方正仿宋_GBK" w:cs="方正仿宋_GBK"/>
          <w:sz w:val="32"/>
          <w:szCs w:val="32"/>
          <w:shd w:val="clear" w:color="auto" w:fill="FFFFFF"/>
        </w:rPr>
        <w:t>较年初预算无变动。</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住房保障支出8.95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4.25</w:t>
      </w:r>
      <w:r>
        <w:rPr>
          <w:rFonts w:ascii="方正仿宋_GBK" w:hAnsi="方正仿宋_GBK" w:eastAsia="方正仿宋_GBK" w:cs="方正仿宋_GBK"/>
          <w:sz w:val="32"/>
          <w:szCs w:val="32"/>
          <w:shd w:val="clear" w:color="auto" w:fill="FFFFFF"/>
        </w:rPr>
        <w:t>%，较年初预算数减少2.38万元，下降21.01%，主要原因是人员变动。</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11"/>
        <w:autoSpaceDE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200.21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173.91</w:t>
      </w:r>
      <w:r>
        <w:rPr>
          <w:rFonts w:ascii="方正仿宋_GBK" w:hAnsi="方正仿宋_GBK" w:eastAsia="方正仿宋_GBK" w:cs="方正仿宋_GBK"/>
          <w:sz w:val="32"/>
          <w:szCs w:val="32"/>
          <w:shd w:val="clear" w:color="auto" w:fill="FFFFFF"/>
        </w:rPr>
        <w:t>万元，较上年决算数增加2.68万元，增长1.57%，主要原因是主要原因是工资变动。人员经费用途主要包括基本工资、津贴补贴、奖金、社会保障缴费、职业年金缴费、住房公积金、医疗费及其他工资福利支出等。公用经费</w:t>
      </w:r>
      <w:r>
        <w:rPr>
          <w:rFonts w:ascii="方正仿宋_GBK" w:hAnsi="方正仿宋_GBK" w:eastAsia="方正仿宋_GBK" w:cs="方正仿宋_GBK"/>
          <w:sz w:val="32"/>
          <w:szCs w:val="32"/>
        </w:rPr>
        <w:t>26.30</w:t>
      </w:r>
      <w:r>
        <w:rPr>
          <w:rFonts w:ascii="方正仿宋_GBK" w:hAnsi="方正仿宋_GBK" w:eastAsia="方正仿宋_GBK" w:cs="方正仿宋_GBK"/>
          <w:sz w:val="32"/>
          <w:szCs w:val="32"/>
          <w:shd w:val="clear" w:color="auto" w:fill="FFFFFF"/>
        </w:rPr>
        <w:t>万元，较上年决算数减少3.51万元，下降11.77%，主要原因是主要原因是认真贯彻落实中央八项规定精神，严格控制经费支出，厉行节约、压减开支。公用经费用途主要包括办公费、邮电费、差旅费、公务接待费、委托业务费、工会经费、其他交通费用及其他商品和服务支出等。</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万元，较上年决算数减少1.97万元，下降100.00%，主要原因是本单位2023年度无政府性基金预算财政拨款收支。本年支出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万元，较上年决算数减少1.97万元，下降100.00%，主要原因是本单位2023年度无政府性基金预算财政拨款收支。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autoSpaceDE w:val="0"/>
        <w:snapToGrid w:val="0"/>
        <w:spacing w:line="594" w:lineRule="exact"/>
        <w:ind w:firstLine="640" w:firstLineChars="200"/>
        <w:jc w:val="both"/>
        <w:rPr>
          <w:rFonts w:hint="default" w:ascii="Times New Roman" w:hAnsi="Times New Roman" w:eastAsia="方正仿宋_GBK"/>
          <w:sz w:val="32"/>
          <w:szCs w:val="32"/>
        </w:rPr>
      </w:pPr>
      <w:r>
        <w:rPr>
          <w:rFonts w:ascii="方正仿宋_GBK" w:hAnsi="方正仿宋_GBK" w:eastAsia="方正仿宋_GBK" w:cs="方正仿宋_GBK"/>
          <w:sz w:val="32"/>
          <w:szCs w:val="32"/>
        </w:rPr>
        <w:t>本单位</w:t>
      </w:r>
      <w:r>
        <w:rPr>
          <w:rFonts w:hint="default" w:ascii="Times New Roman" w:hAnsi="Times New Roman" w:eastAsia="方正仿宋_GBK"/>
          <w:sz w:val="32"/>
          <w:szCs w:val="32"/>
        </w:rPr>
        <w:t>202</w:t>
      </w:r>
      <w:r>
        <w:rPr>
          <w:rFonts w:ascii="Times New Roman" w:hAnsi="Times New Roman" w:eastAsia="方正仿宋_GBK"/>
          <w:sz w:val="32"/>
          <w:szCs w:val="32"/>
        </w:rPr>
        <w:t>3</w:t>
      </w:r>
      <w:r>
        <w:rPr>
          <w:rFonts w:ascii="方正仿宋_GBK" w:hAnsi="方正仿宋_GBK" w:eastAsia="方正仿宋_GBK" w:cs="方正仿宋_GBK"/>
          <w:sz w:val="32"/>
          <w:szCs w:val="32"/>
        </w:rPr>
        <w:t>年度无国有资本经营预算财政拨款支出。</w:t>
      </w:r>
    </w:p>
    <w:p>
      <w:pPr>
        <w:pStyle w:val="5"/>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较年初预算数减少0.21万元，下降30.00%，主要原因是单位严格执行中央八项规定，厉行节俭，减少“三公”经费支出。较上年支出数减少0.23万元，下降31.94%，主要原因是单位严格执行中央八项规定，厉行节俭，减少“三公”经费支出。</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5"/>
        <w:adjustRightInd w:val="0"/>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主要用于接待上级红十字到我会调研、检查指导工作以及区县红十字会到我会交流工作、接受相关部门检查指导工作、接待爱心企业以及志愿者等发生的接待支出。费用支出较年初预算数减少0.21万元，下降30.00%，主要原因是上级红十字会、其他区县红十字会到我会指导调研次数有所减少。较上年支出数减少0.23万元，下降31.94%，主要原因是从严控制</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三公</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经费，严格遵守公务接待开支范围和开支标准。</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63</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77.70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万元，较上年决算数减少6.36万元，下降99.38%，主要原因是单位减少了大型会议次数，减少了租用大型会场的费用。本年度培训费支出</w:t>
      </w:r>
      <w:r>
        <w:rPr>
          <w:rFonts w:ascii="方正仿宋_GBK" w:hAnsi="方正仿宋_GBK" w:eastAsia="方正仿宋_GBK" w:cs="方正仿宋_GBK"/>
          <w:sz w:val="32"/>
          <w:szCs w:val="32"/>
        </w:rPr>
        <w:t>0.92</w:t>
      </w:r>
      <w:r>
        <w:rPr>
          <w:rFonts w:ascii="方正仿宋_GBK" w:hAnsi="方正仿宋_GBK" w:eastAsia="方正仿宋_GBK" w:cs="方正仿宋_GBK"/>
          <w:sz w:val="32"/>
          <w:szCs w:val="32"/>
          <w:shd w:val="clear" w:color="auto" w:fill="FFFFFF"/>
        </w:rPr>
        <w:t>万元，较上年决算数增加0.70万元，增长318.18%，主要原因是单位增加了外出培训次数。</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26.30</w:t>
      </w:r>
      <w:r>
        <w:rPr>
          <w:rFonts w:ascii="方正仿宋_GBK" w:hAnsi="方正仿宋_GBK" w:eastAsia="方正仿宋_GBK" w:cs="方正仿宋_GBK"/>
          <w:sz w:val="32"/>
          <w:szCs w:val="32"/>
          <w:shd w:val="clear" w:color="auto" w:fill="FFFFFF"/>
        </w:rPr>
        <w:t>万元，机关运行经费主要用于开支办公费、邮电费、差旅费、公务接待费、委托业务费、工会经费、其他交通费用及其他商品和服务支出等。机关运行经费较上年支出数减少3.51万元，下降11.77%，主要原因是厉行节约、压减开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autoSpaceDE w:val="0"/>
        <w:snapToGrid w:val="0"/>
        <w:spacing w:line="594" w:lineRule="exact"/>
        <w:ind w:firstLine="640" w:firstLineChars="200"/>
        <w:jc w:val="both"/>
        <w:rPr>
          <w:rFonts w:hint="default" w:ascii="Cambria" w:hAnsi="Cambria" w:eastAsia="方正仿宋_GBK" w:cs="Cambria"/>
          <w:sz w:val="32"/>
          <w:szCs w:val="32"/>
          <w:shd w:val="clear" w:color="auto" w:fill="FFFFFF"/>
        </w:rPr>
      </w:pPr>
      <w:r>
        <w:rPr>
          <w:rFonts w:hint="default" w:ascii="方正仿宋_GBK" w:hAnsi="方正仿宋_GBK" w:eastAsia="方正仿宋_GBK" w:cs="方正仿宋_GBK"/>
          <w:sz w:val="32"/>
          <w:szCs w:val="32"/>
          <w:shd w:val="clear" w:color="auto" w:fill="FFFFFF"/>
        </w:rPr>
        <w:t>2023年度本</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w:t>
      </w:r>
      <w:r>
        <w:rPr>
          <w:rFonts w:hint="default" w:ascii="Cambria" w:hAnsi="Cambria" w:eastAsia="方正仿宋_GBK" w:cs="Cambria"/>
          <w:sz w:val="32"/>
          <w:szCs w:val="32"/>
          <w:shd w:val="clear" w:color="auto" w:fill="FFFFFF"/>
        </w:rPr>
        <w:t> </w:t>
      </w:r>
    </w:p>
    <w:p>
      <w:pPr>
        <w:autoSpaceDE w:val="0"/>
        <w:snapToGrid w:val="0"/>
        <w:spacing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rPr>
        <w:t>202</w:t>
      </w:r>
      <w:r>
        <w:rPr>
          <w:rFonts w:ascii="Times New Roman" w:hAnsi="Times New Roman" w:eastAsia="方正仿宋_GBK"/>
          <w:sz w:val="32"/>
          <w:szCs w:val="32"/>
        </w:rPr>
        <w:t>3</w:t>
      </w:r>
      <w:r>
        <w:rPr>
          <w:rFonts w:ascii="方正仿宋_GBK" w:hAnsi="方正仿宋_GBK" w:eastAsia="方正仿宋_GBK" w:cs="方正仿宋_GBK"/>
          <w:sz w:val="32"/>
          <w:szCs w:val="32"/>
        </w:rPr>
        <w:t>年度我单位未发生政府采购事项，无相关经费支出。</w:t>
      </w:r>
    </w:p>
    <w:p>
      <w:pPr>
        <w:pStyle w:val="5"/>
        <w:numPr>
          <w:ilvl w:val="0"/>
          <w:numId w:val="1"/>
        </w:numPr>
        <w:shd w:val="clear" w:color="auto" w:fill="FFFFFF"/>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autoSpaceDE w:val="0"/>
        <w:snapToGrid w:val="0"/>
        <w:spacing w:before="0" w:beforeAutospacing="0" w:after="0" w:afterAutospacing="0" w:line="594" w:lineRule="exact"/>
        <w:ind w:firstLine="640" w:firstLineChars="200"/>
        <w:jc w:val="both"/>
        <w:rPr>
          <w:rStyle w:val="16"/>
          <w:rFonts w:eastAsia="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根据预算绩效管理要求，我单位本级对2个二级项目开展了绩效自评，其中，以填报自评表形式开展自评</w:t>
      </w:r>
      <w:r>
        <w:rPr>
          <w:rFonts w:hint="eastAsia" w:eastAsia="方正仿宋_GBK"/>
          <w:b w:val="0"/>
          <w:bCs w:val="0"/>
          <w:sz w:val="32"/>
          <w:szCs w:val="32"/>
          <w:shd w:val="clear" w:color="auto" w:fill="FFFFFF"/>
        </w:rPr>
        <w:t>2</w:t>
      </w:r>
      <w:r>
        <w:rPr>
          <w:rFonts w:hint="eastAsia" w:ascii="方正仿宋_GBK" w:hAnsi="方正仿宋_GBK" w:eastAsia="方正仿宋_GBK" w:cs="方正仿宋_GBK"/>
          <w:b w:val="0"/>
          <w:bCs w:val="0"/>
          <w:sz w:val="32"/>
          <w:szCs w:val="32"/>
          <w:shd w:val="clear" w:color="auto" w:fill="FFFFFF"/>
        </w:rPr>
        <w:t>项，涉及资金10.07万元。</w:t>
      </w:r>
      <w:r>
        <w:rPr>
          <w:rStyle w:val="16"/>
          <w:rFonts w:eastAsia="方正仿宋_GBK"/>
          <w:b w:val="0"/>
          <w:bCs w:val="0"/>
          <w:sz w:val="32"/>
          <w:szCs w:val="32"/>
          <w:shd w:val="clear" w:color="auto" w:fill="FFFFFF"/>
        </w:rPr>
        <w:t xml:space="preserve"> </w:t>
      </w:r>
    </w:p>
    <w:p>
      <w:pPr>
        <w:pStyle w:val="14"/>
        <w:autoSpaceDE w:val="0"/>
        <w:snapToGrid w:val="0"/>
        <w:spacing w:before="0" w:beforeAutospacing="0" w:after="0" w:afterAutospacing="0"/>
        <w:jc w:val="both"/>
        <w:rPr>
          <w:rStyle w:val="16"/>
          <w:rFonts w:eastAsia="方正仿宋_GBK"/>
          <w:b w:val="0"/>
          <w:bCs w:val="0"/>
          <w:sz w:val="32"/>
          <w:szCs w:val="32"/>
          <w:shd w:val="clear" w:color="auto" w:fill="FFFFFF"/>
        </w:rPr>
      </w:pPr>
      <w:r>
        <w:rPr>
          <w:rStyle w:val="16"/>
          <w:rFonts w:hint="eastAsia" w:eastAsia="方正仿宋_GBK"/>
          <w:b w:val="0"/>
          <w:bCs w:val="0"/>
          <w:sz w:val="32"/>
          <w:szCs w:val="32"/>
          <w:shd w:val="clear" w:color="auto" w:fill="FFFFFF"/>
        </w:rPr>
        <w:drawing>
          <wp:inline distT="0" distB="0" distL="114300" distR="114300">
            <wp:extent cx="5269230" cy="4946015"/>
            <wp:effectExtent l="0" t="0" r="7620" b="6985"/>
            <wp:docPr id="8" name="图片 8" descr="项目自评表3_She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项目自评表3_Sheet1"/>
                    <pic:cNvPicPr>
                      <a:picLocks noChangeAspect="1"/>
                    </pic:cNvPicPr>
                  </pic:nvPicPr>
                  <pic:blipFill>
                    <a:blip r:embed="rId7"/>
                    <a:stretch>
                      <a:fillRect/>
                    </a:stretch>
                  </pic:blipFill>
                  <pic:spPr>
                    <a:xfrm>
                      <a:off x="0" y="0"/>
                      <a:ext cx="5269230" cy="4946015"/>
                    </a:xfrm>
                    <a:prstGeom prst="rect">
                      <a:avLst/>
                    </a:prstGeom>
                  </pic:spPr>
                </pic:pic>
              </a:graphicData>
            </a:graphic>
          </wp:inline>
        </w:drawing>
      </w:r>
    </w:p>
    <w:p>
      <w:pPr>
        <w:pStyle w:val="14"/>
        <w:autoSpaceDE w:val="0"/>
        <w:snapToGrid w:val="0"/>
        <w:spacing w:before="0" w:beforeAutospacing="0" w:after="0" w:afterAutospacing="0"/>
        <w:jc w:val="both"/>
        <w:rPr>
          <w:rStyle w:val="16"/>
          <w:rFonts w:eastAsia="方正仿宋_GBK"/>
          <w:b w:val="0"/>
          <w:bCs w:val="0"/>
          <w:sz w:val="32"/>
          <w:szCs w:val="32"/>
          <w:shd w:val="clear" w:color="auto" w:fill="FFFFFF"/>
        </w:rPr>
      </w:pPr>
      <w:r>
        <w:rPr>
          <w:rFonts w:hint="eastAsia" w:ascii="楷体" w:hAnsi="楷体" w:eastAsia="楷体" w:cs="楷体"/>
          <w:sz w:val="32"/>
          <w:szCs w:val="32"/>
          <w:shd w:val="clear" w:color="auto" w:fill="FFFFFF"/>
        </w:rPr>
        <w:drawing>
          <wp:inline distT="0" distB="0" distL="114300" distR="114300">
            <wp:extent cx="5259070" cy="2420620"/>
            <wp:effectExtent l="0" t="0" r="17780" b="1778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8">
                      <a:lum/>
                    </a:blip>
                    <a:stretch>
                      <a:fillRect/>
                    </a:stretch>
                  </pic:blipFill>
                  <pic:spPr>
                    <a:xfrm>
                      <a:off x="0" y="0"/>
                      <a:ext cx="5259070" cy="2420620"/>
                    </a:xfrm>
                    <a:prstGeom prst="rect">
                      <a:avLst/>
                    </a:prstGeom>
                    <a:noFill/>
                    <a:ln>
                      <a:noFill/>
                    </a:ln>
                  </pic:spPr>
                </pic:pic>
              </a:graphicData>
            </a:graphic>
          </wp:inline>
        </w:drawing>
      </w:r>
    </w:p>
    <w:p>
      <w:pPr>
        <w:pStyle w:val="10"/>
        <w:numPr>
          <w:ilvl w:val="0"/>
          <w:numId w:val="2"/>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10"/>
        <w:autoSpaceDE w:val="0"/>
        <w:ind w:firstLine="0" w:firstLineChars="0"/>
        <w:rPr>
          <w:rFonts w:ascii="楷体" w:hAnsi="楷体" w:eastAsia="楷体" w:cs="楷体"/>
          <w:b/>
          <w:bCs/>
          <w:sz w:val="32"/>
          <w:szCs w:val="32"/>
          <w:shd w:val="clear" w:color="auto" w:fill="FFFFFF"/>
        </w:rPr>
      </w:pPr>
      <w:r>
        <w:rPr>
          <w:rFonts w:hint="eastAsia" w:ascii="方正仿宋_GBK" w:hAnsi="方正仿宋_GBK" w:eastAsia="方正仿宋_GBK" w:cs="方正仿宋_GBK"/>
          <w:color w:val="000000"/>
          <w:sz w:val="32"/>
          <w:szCs w:val="32"/>
          <w:shd w:val="clear" w:color="auto" w:fill="FFFFFF"/>
        </w:rPr>
        <w:t xml:space="preserve">    我单位未组织开展绩效评价。</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11"/>
        <w:autoSpaceDE w:val="0"/>
        <w:snapToGrid w:val="0"/>
        <w:spacing w:before="0" w:beforeAutospacing="0" w:after="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snapToGrid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hint="eastAsia" w:ascii="方正仿宋_GBK" w:hAnsi="方正仿宋_GBK" w:eastAsia="方正仿宋_GBK" w:cs="方正仿宋_GBK"/>
          <w:sz w:val="32"/>
          <w:szCs w:val="32"/>
        </w:rPr>
        <w:t>霍</w:t>
      </w:r>
      <w:r>
        <w:rPr>
          <w:rFonts w:ascii="方正仿宋_GBK" w:hAnsi="方正仿宋_GBK" w:eastAsia="方正仿宋_GBK" w:cs="方正仿宋_GBK"/>
          <w:sz w:val="32"/>
          <w:szCs w:val="32"/>
        </w:rPr>
        <w:t>老师</w:t>
      </w:r>
      <w:r>
        <w:rPr>
          <w:rFonts w:ascii="方正仿宋_GBK" w:hAnsi="方正仿宋_GBK" w:eastAsia="方正仿宋_GBK" w:cs="方正仿宋_GBK"/>
          <w:sz w:val="32"/>
          <w:szCs w:val="32"/>
          <w:shd w:val="clear" w:color="auto" w:fill="FFFFFF"/>
        </w:rPr>
        <w:t xml:space="preserve"> </w:t>
      </w:r>
      <w:r>
        <w:rPr>
          <w:rFonts w:ascii="Times New Roman" w:hAnsi="Times New Roman" w:eastAsia="方正仿宋_GBK"/>
          <w:sz w:val="32"/>
          <w:szCs w:val="32"/>
          <w:shd w:val="clear" w:color="auto" w:fill="FFFFFF"/>
        </w:rPr>
        <w:t>023-74689659</w:t>
      </w:r>
    </w:p>
    <w:p>
      <w:pPr>
        <w:pStyle w:val="11"/>
        <w:autoSpaceDE w:val="0"/>
        <w:snapToGrid w:val="0"/>
        <w:spacing w:before="0" w:beforeAutospacing="0" w:after="0" w:afterAutospacing="0" w:line="594"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 xml:space="preserve"> </w:t>
      </w:r>
    </w:p>
    <w:p>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公开单位：垫江县红十字会（本级）</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210.28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194.65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8.95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210.28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210.28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210.28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210.28 </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公开单位：垫江县红十字会（本级）</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210.28 </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210.28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0.16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0.16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194.65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194.65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0.07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0.07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41.02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41.02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14.82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14.82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19.40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19.40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红十字事业</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152.25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152.25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142.25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142.25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2089999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1.31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1.31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6.53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6.53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5.73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5.73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8.95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8.95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8.95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8.95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8.95 </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8.95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 xml:space="preserve">垫江县红十字会（本级）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210.28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200.21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10.07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0.16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194.65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184.58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0.07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0.07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41.02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41.02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14.82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6.80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19.40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红十字事业</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152.25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142.25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142.25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142.25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10.00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1.31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2089999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1.31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6.53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5.73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0.80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 xml:space="preserve">8.95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8.95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垫江县红十字会（本级）</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210.28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0.16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194.65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194.65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6.53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8.95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8.95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210.28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210.28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210.28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210.28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210.28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210.28 </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 xml:space="preserve"> </w:t>
            </w: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垫江县红十字会（本级）</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210.28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200.21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10.07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0.16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0.16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194.65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184.58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0.07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0.07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41.02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41.02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14.82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14.82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6.80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19.40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19.40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红十字事业</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152.25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142.25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142.25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142.25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2081602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1.31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2089999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1.31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1.31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6.53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6.53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6.53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5.73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5.73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其他行政事业单位医疗支出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0.80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0.80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8.95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8.95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8.95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 xml:space="preserve">8.95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8.95 </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8.95 </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 xml:space="preserve"> </w:t>
            </w: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垫江县红十字会（本级）</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154.51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26.30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34.10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21.83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56.24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14.82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1.80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5.73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8.95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1.76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0.25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2.97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19.40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13.30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1.00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0.34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6.34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5.35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173.91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 xml:space="preserve">26.30 </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垫江县红十字会（本级）</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备注：本表反映单位本年度政府性基金预算财政拨款收入支出及结转和结余情况。</w:t>
      </w:r>
    </w:p>
    <w:p>
      <w:pPr>
        <w:ind w:firstLine="630" w:firstLineChars="300"/>
        <w:rPr>
          <w:rFonts w:hint="default" w:cs="宋体"/>
          <w:sz w:val="21"/>
          <w:szCs w:val="21"/>
        </w:rPr>
      </w:pPr>
      <w:r>
        <w:rPr>
          <w:rFonts w:cs="宋体"/>
          <w:sz w:val="21"/>
          <w:szCs w:val="21"/>
        </w:rPr>
        <w:t>本单位无政府性基金收支，故本表无数据。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cs="宋体"/>
              </w:rPr>
              <w:t>公开单位</w:t>
            </w:r>
            <w:r>
              <w:rPr>
                <w:rFonts w:cs="宋体"/>
                <w:color w:val="000000"/>
              </w:rPr>
              <w:t xml:space="preserve">： </w:t>
            </w:r>
            <w:r>
              <w:rPr>
                <w:color w:val="000000"/>
              </w:rPr>
              <w:t>垫江县红十字会（本级）</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 xml:space="preserve"> </w:t>
            </w:r>
          </w:p>
        </w:tc>
      </w:tr>
    </w:tbl>
    <w:p>
      <w:pPr>
        <w:rPr>
          <w:rFonts w:hint="default" w:cs="宋体"/>
          <w:sz w:val="21"/>
          <w:szCs w:val="21"/>
        </w:rPr>
      </w:pPr>
      <w:r>
        <w:rPr>
          <w:rFonts w:cs="宋体"/>
          <w:sz w:val="21"/>
          <w:szCs w:val="21"/>
        </w:rPr>
        <w:t>备注：本表反映单位本年度国有资本经营预算财政拨款支出情况。</w:t>
      </w:r>
    </w:p>
    <w:p>
      <w:pPr>
        <w:ind w:firstLine="630" w:firstLineChars="300"/>
        <w:rPr>
          <w:rFonts w:hint="default" w:cs="宋体"/>
          <w:sz w:val="21"/>
          <w:szCs w:val="21"/>
        </w:rPr>
      </w:pPr>
      <w:r>
        <w:rPr>
          <w:rFonts w:cs="宋体"/>
          <w:sz w:val="21"/>
          <w:szCs w:val="21"/>
        </w:rPr>
        <w:t>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cs="宋体"/>
              </w:rPr>
              <w:t>公开单位</w:t>
            </w:r>
            <w:r>
              <w:rPr>
                <w:rFonts w:cs="宋体"/>
                <w:color w:val="000000"/>
              </w:rPr>
              <w:t xml:space="preserve">： </w:t>
            </w:r>
            <w:r>
              <w:rPr>
                <w:color w:val="000000"/>
              </w:rPr>
              <w:t>垫江县红十字会（本级）</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26.30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0.49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0.49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26.30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0.49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0.49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0.49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8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63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0.04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 xml:space="preserve">0.92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rect id="文本框 1" o:spid="_x0000_s4097" o:spt="1" style="position:absolute;left:0pt;margin-top:0pt;height:144pt;width:144pt;mso-position-horizontal:center;mso-position-horizontal-relative:margin;mso-wrap-style:none;z-index:251661312;mso-width-relative:page;mso-height-relative:page;" filled="f" o:preferrelative="t" stroked="f" coordsize="21600,21600">
          <v:path/>
          <v:fill on="f" focussize="0,0"/>
          <v:stroke on="f"/>
          <v:imagedata o:title=""/>
          <o:lock v:ext="edit"/>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- 11 -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w:rPr>
        <w:rFonts w:hint="default"/>
      </w:rPr>
      <w:pict>
        <v:rect id="文本框 127" o:spid="_x0000_s4098" o:spt="1" style="position:absolute;left:0pt;margin-top:0pt;height:144pt;width:144pt;mso-position-horizontal:center;mso-position-horizontal-relative:margin;mso-wrap-style:none;z-index:251660288;mso-width-relative:page;mso-height-relative:page;" filled="f" o:preferrelative="t" stroked="f" coordsize="21600,21600" o:allowoverlap="f">
          <v:path/>
          <v:fill on="f" focussize="0,0"/>
          <v:stroke on="f"/>
          <v:imagedata o:title=""/>
          <o:lock v:ext="edit"/>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rect>
      </w:pict>
    </w:r>
    <w:r>
      <w:rPr>
        <w:rFonts w:hint="default"/>
      </w:rPr>
      <w:pict>
        <v:rect id="文本框 126" o:spid="_x0000_s4099" o:spt="1" style="position:absolute;left:0pt;margin-top:1160.4pt;height:17.4pt;width:144pt;mso-position-horizontal:center;mso-position-horizontal-relative:margin;mso-position-vertical-relative:page;mso-wrap-style:none;z-index:251659264;mso-width-relative:page;mso-height-relative:page;" filled="f" o:preferrelative="t" stroked="f" coordsize="21600,21600" o:allowoverlap="f">
          <v:path/>
          <v:fill on="f" focussize="0,0"/>
          <v:stroke on="f"/>
          <v:imagedata o:title=""/>
          <o:lock v:ext="edit"/>
          <v:textbox inset="0mm,0mm,0mm,0mm">
            <w:txbxContent>
              <w:p>
                <w:pPr>
                  <w:pStyle w:val="2"/>
                  <w:jc w:val="both"/>
                  <w:rPr>
                    <w:rFonts w:hint="default" w:cs="宋体"/>
                  </w:rPr>
                </w:pPr>
                <w:r>
                  <w:rPr>
                    <w:rFonts w:cs="宋体"/>
                  </w:rPr>
                  <w:t>— 27.1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F2D2A267"/>
    <w:multiLevelType w:val="singleLevel"/>
    <w:tmpl w:val="F2D2A26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hkYzc2Njc0MTQxOGM1NGY0ODMyMzI3MTMxM2ZjMDAifQ=="/>
  </w:docVars>
  <w:rsids>
    <w:rsidRoot w:val="00B03CCD"/>
    <w:rsid w:val="00023473"/>
    <w:rsid w:val="00160556"/>
    <w:rsid w:val="00201F87"/>
    <w:rsid w:val="00232030"/>
    <w:rsid w:val="00264ADF"/>
    <w:rsid w:val="00292327"/>
    <w:rsid w:val="002E758F"/>
    <w:rsid w:val="00336F26"/>
    <w:rsid w:val="00550ABE"/>
    <w:rsid w:val="006439F2"/>
    <w:rsid w:val="00790424"/>
    <w:rsid w:val="007961FE"/>
    <w:rsid w:val="007B419D"/>
    <w:rsid w:val="00927DEC"/>
    <w:rsid w:val="009B67B8"/>
    <w:rsid w:val="00A06C87"/>
    <w:rsid w:val="00A86043"/>
    <w:rsid w:val="00B03CCD"/>
    <w:rsid w:val="00DA042A"/>
    <w:rsid w:val="00DC2B98"/>
    <w:rsid w:val="00EF56AC"/>
    <w:rsid w:val="00F73F90"/>
    <w:rsid w:val="01474EBF"/>
    <w:rsid w:val="01F3521E"/>
    <w:rsid w:val="03561E10"/>
    <w:rsid w:val="03B87EA0"/>
    <w:rsid w:val="03E3214F"/>
    <w:rsid w:val="044C50BA"/>
    <w:rsid w:val="04664A6A"/>
    <w:rsid w:val="04FF13F6"/>
    <w:rsid w:val="05BC6D49"/>
    <w:rsid w:val="06194FF1"/>
    <w:rsid w:val="06A2550B"/>
    <w:rsid w:val="06F80EE2"/>
    <w:rsid w:val="07001CCA"/>
    <w:rsid w:val="074D093D"/>
    <w:rsid w:val="075678DB"/>
    <w:rsid w:val="079D7CC7"/>
    <w:rsid w:val="08051BCA"/>
    <w:rsid w:val="082F37D7"/>
    <w:rsid w:val="086C12F4"/>
    <w:rsid w:val="08705944"/>
    <w:rsid w:val="08BA052C"/>
    <w:rsid w:val="08DB07BA"/>
    <w:rsid w:val="0969353F"/>
    <w:rsid w:val="098305D0"/>
    <w:rsid w:val="0A3317EA"/>
    <w:rsid w:val="0A561D39"/>
    <w:rsid w:val="0A5C4B69"/>
    <w:rsid w:val="0A86124A"/>
    <w:rsid w:val="0AA51D41"/>
    <w:rsid w:val="0AB54CC0"/>
    <w:rsid w:val="0AB822DE"/>
    <w:rsid w:val="0B9335CE"/>
    <w:rsid w:val="0BF2311A"/>
    <w:rsid w:val="0C7927C4"/>
    <w:rsid w:val="0C9B098C"/>
    <w:rsid w:val="0D673E11"/>
    <w:rsid w:val="0DDA54E4"/>
    <w:rsid w:val="0E3A5F83"/>
    <w:rsid w:val="0F081C04"/>
    <w:rsid w:val="0F836721"/>
    <w:rsid w:val="0FA25D96"/>
    <w:rsid w:val="107B59E5"/>
    <w:rsid w:val="10EC0126"/>
    <w:rsid w:val="10F70B9A"/>
    <w:rsid w:val="111445C7"/>
    <w:rsid w:val="114278C6"/>
    <w:rsid w:val="1158083A"/>
    <w:rsid w:val="11643A4B"/>
    <w:rsid w:val="11ED0F98"/>
    <w:rsid w:val="11F03528"/>
    <w:rsid w:val="12C921C4"/>
    <w:rsid w:val="12F75398"/>
    <w:rsid w:val="13871C70"/>
    <w:rsid w:val="13A71CB4"/>
    <w:rsid w:val="13AF1D43"/>
    <w:rsid w:val="13CE1647"/>
    <w:rsid w:val="13FD55AB"/>
    <w:rsid w:val="141D5EBA"/>
    <w:rsid w:val="14200702"/>
    <w:rsid w:val="14551AA9"/>
    <w:rsid w:val="14CD2EE9"/>
    <w:rsid w:val="15B80AE4"/>
    <w:rsid w:val="163A6CEE"/>
    <w:rsid w:val="1684766D"/>
    <w:rsid w:val="16B86D4D"/>
    <w:rsid w:val="16FB15EE"/>
    <w:rsid w:val="173708E3"/>
    <w:rsid w:val="17C374FC"/>
    <w:rsid w:val="17C57E57"/>
    <w:rsid w:val="17F23B58"/>
    <w:rsid w:val="182E4AB6"/>
    <w:rsid w:val="189079DC"/>
    <w:rsid w:val="189B0D0B"/>
    <w:rsid w:val="18B14676"/>
    <w:rsid w:val="18B43F7C"/>
    <w:rsid w:val="194A1770"/>
    <w:rsid w:val="19B906A4"/>
    <w:rsid w:val="1B6F15B6"/>
    <w:rsid w:val="1BAA2EDC"/>
    <w:rsid w:val="1CA55E64"/>
    <w:rsid w:val="1D014A01"/>
    <w:rsid w:val="1D022362"/>
    <w:rsid w:val="1D1B04B0"/>
    <w:rsid w:val="1DA52501"/>
    <w:rsid w:val="1DBD6767"/>
    <w:rsid w:val="1DC52125"/>
    <w:rsid w:val="1DD26311"/>
    <w:rsid w:val="1E374ACB"/>
    <w:rsid w:val="1E825851"/>
    <w:rsid w:val="1ECF0A66"/>
    <w:rsid w:val="1EF67CA4"/>
    <w:rsid w:val="1F020D3A"/>
    <w:rsid w:val="1F2C5189"/>
    <w:rsid w:val="1F4B0B02"/>
    <w:rsid w:val="1FBB35CD"/>
    <w:rsid w:val="1FCD26AF"/>
    <w:rsid w:val="20642787"/>
    <w:rsid w:val="21556F04"/>
    <w:rsid w:val="22403BD3"/>
    <w:rsid w:val="235040EC"/>
    <w:rsid w:val="24B92327"/>
    <w:rsid w:val="24C14514"/>
    <w:rsid w:val="2533755C"/>
    <w:rsid w:val="257767AB"/>
    <w:rsid w:val="25791755"/>
    <w:rsid w:val="26396DF4"/>
    <w:rsid w:val="26A64C5A"/>
    <w:rsid w:val="27167136"/>
    <w:rsid w:val="27541D9D"/>
    <w:rsid w:val="27B23302"/>
    <w:rsid w:val="2870618E"/>
    <w:rsid w:val="29310A5F"/>
    <w:rsid w:val="297949B6"/>
    <w:rsid w:val="29C37A35"/>
    <w:rsid w:val="2A076083"/>
    <w:rsid w:val="2A73162E"/>
    <w:rsid w:val="2B167953"/>
    <w:rsid w:val="2B200583"/>
    <w:rsid w:val="2B8209DE"/>
    <w:rsid w:val="2BA66070"/>
    <w:rsid w:val="2BCC2669"/>
    <w:rsid w:val="2C636760"/>
    <w:rsid w:val="2C6762A3"/>
    <w:rsid w:val="2E0720F3"/>
    <w:rsid w:val="2FCA4B37"/>
    <w:rsid w:val="2FE029D7"/>
    <w:rsid w:val="2FF06E00"/>
    <w:rsid w:val="30586FEC"/>
    <w:rsid w:val="315F0B22"/>
    <w:rsid w:val="31D84415"/>
    <w:rsid w:val="32285F6F"/>
    <w:rsid w:val="325D5F35"/>
    <w:rsid w:val="32770556"/>
    <w:rsid w:val="329C0913"/>
    <w:rsid w:val="32AA0460"/>
    <w:rsid w:val="3337290D"/>
    <w:rsid w:val="33680444"/>
    <w:rsid w:val="33E31118"/>
    <w:rsid w:val="33EF7674"/>
    <w:rsid w:val="342D7BC6"/>
    <w:rsid w:val="352930DB"/>
    <w:rsid w:val="354F3D36"/>
    <w:rsid w:val="35573069"/>
    <w:rsid w:val="355F6038"/>
    <w:rsid w:val="358C217E"/>
    <w:rsid w:val="36C9128A"/>
    <w:rsid w:val="37841E99"/>
    <w:rsid w:val="37BF1123"/>
    <w:rsid w:val="383C3F15"/>
    <w:rsid w:val="387930E4"/>
    <w:rsid w:val="38BE4696"/>
    <w:rsid w:val="3939115E"/>
    <w:rsid w:val="39B82A39"/>
    <w:rsid w:val="39C42CA8"/>
    <w:rsid w:val="39DC4FD6"/>
    <w:rsid w:val="39F03D7A"/>
    <w:rsid w:val="39F33306"/>
    <w:rsid w:val="3A2C1C67"/>
    <w:rsid w:val="3ADD7F09"/>
    <w:rsid w:val="3B1705E5"/>
    <w:rsid w:val="3B18334B"/>
    <w:rsid w:val="3B36794F"/>
    <w:rsid w:val="3B6F6EE0"/>
    <w:rsid w:val="3BAF0D53"/>
    <w:rsid w:val="3C566AD6"/>
    <w:rsid w:val="3C594871"/>
    <w:rsid w:val="3C6A5B02"/>
    <w:rsid w:val="3D095900"/>
    <w:rsid w:val="3D2757A1"/>
    <w:rsid w:val="3D3D4FC4"/>
    <w:rsid w:val="3D8E5B7C"/>
    <w:rsid w:val="3DDF3AB1"/>
    <w:rsid w:val="3E1D0952"/>
    <w:rsid w:val="3E42660A"/>
    <w:rsid w:val="3E7555B1"/>
    <w:rsid w:val="3E787ED9"/>
    <w:rsid w:val="3F032E93"/>
    <w:rsid w:val="3F0527E5"/>
    <w:rsid w:val="3F694D83"/>
    <w:rsid w:val="3F885DCC"/>
    <w:rsid w:val="3FCD675E"/>
    <w:rsid w:val="4004000C"/>
    <w:rsid w:val="401B6606"/>
    <w:rsid w:val="411B6CE5"/>
    <w:rsid w:val="412070D7"/>
    <w:rsid w:val="41314E40"/>
    <w:rsid w:val="41E0734B"/>
    <w:rsid w:val="426C1EA8"/>
    <w:rsid w:val="42736402"/>
    <w:rsid w:val="42E86A87"/>
    <w:rsid w:val="43307B09"/>
    <w:rsid w:val="439A3EB9"/>
    <w:rsid w:val="43BB152F"/>
    <w:rsid w:val="44C37687"/>
    <w:rsid w:val="4595041A"/>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C1087B"/>
    <w:rsid w:val="4E6D3B32"/>
    <w:rsid w:val="4F0C6BA3"/>
    <w:rsid w:val="4F186D58"/>
    <w:rsid w:val="502A01D0"/>
    <w:rsid w:val="50F06B6E"/>
    <w:rsid w:val="50FB4F07"/>
    <w:rsid w:val="51D21804"/>
    <w:rsid w:val="52234D33"/>
    <w:rsid w:val="522F6E0C"/>
    <w:rsid w:val="52463BA1"/>
    <w:rsid w:val="52B0467A"/>
    <w:rsid w:val="52F163D4"/>
    <w:rsid w:val="531A2DB4"/>
    <w:rsid w:val="53C0244D"/>
    <w:rsid w:val="53DD4D4E"/>
    <w:rsid w:val="53E578CE"/>
    <w:rsid w:val="541330F0"/>
    <w:rsid w:val="541A6693"/>
    <w:rsid w:val="54272666"/>
    <w:rsid w:val="543B029D"/>
    <w:rsid w:val="54861779"/>
    <w:rsid w:val="54F60CCB"/>
    <w:rsid w:val="552256E1"/>
    <w:rsid w:val="554E5773"/>
    <w:rsid w:val="555A3CBC"/>
    <w:rsid w:val="5582012B"/>
    <w:rsid w:val="558E4E05"/>
    <w:rsid w:val="55BE2E85"/>
    <w:rsid w:val="56530F5D"/>
    <w:rsid w:val="56596A3A"/>
    <w:rsid w:val="567700D3"/>
    <w:rsid w:val="56FF7E9E"/>
    <w:rsid w:val="578867FC"/>
    <w:rsid w:val="57F72306"/>
    <w:rsid w:val="5842572D"/>
    <w:rsid w:val="5877346B"/>
    <w:rsid w:val="59CF3F80"/>
    <w:rsid w:val="5A3B59D6"/>
    <w:rsid w:val="5AD134D8"/>
    <w:rsid w:val="5C263CE4"/>
    <w:rsid w:val="5C5D2777"/>
    <w:rsid w:val="5CCB1593"/>
    <w:rsid w:val="5CF66BF3"/>
    <w:rsid w:val="5D290C69"/>
    <w:rsid w:val="5E560CB2"/>
    <w:rsid w:val="5F2D4A41"/>
    <w:rsid w:val="60C74F6C"/>
    <w:rsid w:val="61025A59"/>
    <w:rsid w:val="613D5BBC"/>
    <w:rsid w:val="61536C39"/>
    <w:rsid w:val="62944DD7"/>
    <w:rsid w:val="6319381F"/>
    <w:rsid w:val="63C25DC5"/>
    <w:rsid w:val="63C62057"/>
    <w:rsid w:val="63EF3524"/>
    <w:rsid w:val="64571EF5"/>
    <w:rsid w:val="64FB113D"/>
    <w:rsid w:val="656152C6"/>
    <w:rsid w:val="6587477F"/>
    <w:rsid w:val="658C3A08"/>
    <w:rsid w:val="65C031CA"/>
    <w:rsid w:val="65CE6852"/>
    <w:rsid w:val="66267C04"/>
    <w:rsid w:val="663F505A"/>
    <w:rsid w:val="66EE5541"/>
    <w:rsid w:val="67924660"/>
    <w:rsid w:val="68407834"/>
    <w:rsid w:val="6883293E"/>
    <w:rsid w:val="688412AD"/>
    <w:rsid w:val="68CD2DF1"/>
    <w:rsid w:val="68EB1B71"/>
    <w:rsid w:val="6A4F0348"/>
    <w:rsid w:val="6AAD2300"/>
    <w:rsid w:val="6AD104BF"/>
    <w:rsid w:val="6B474EF5"/>
    <w:rsid w:val="6BAC13F6"/>
    <w:rsid w:val="6C0A5AC5"/>
    <w:rsid w:val="6C167A4C"/>
    <w:rsid w:val="6C1E1C61"/>
    <w:rsid w:val="6C560CAE"/>
    <w:rsid w:val="6C576495"/>
    <w:rsid w:val="6D686AB5"/>
    <w:rsid w:val="6D903FF5"/>
    <w:rsid w:val="6DA955B8"/>
    <w:rsid w:val="6DE346AB"/>
    <w:rsid w:val="6DE5391A"/>
    <w:rsid w:val="6E6657FC"/>
    <w:rsid w:val="6EFD1324"/>
    <w:rsid w:val="6F5A53AC"/>
    <w:rsid w:val="6F8043AC"/>
    <w:rsid w:val="6FAC003D"/>
    <w:rsid w:val="6FE55E12"/>
    <w:rsid w:val="6FFB2E76"/>
    <w:rsid w:val="708F6F7F"/>
    <w:rsid w:val="70D94BD3"/>
    <w:rsid w:val="712F3EB5"/>
    <w:rsid w:val="71C34D91"/>
    <w:rsid w:val="724E4A12"/>
    <w:rsid w:val="72DB435C"/>
    <w:rsid w:val="72E2613A"/>
    <w:rsid w:val="72F771F4"/>
    <w:rsid w:val="738930F9"/>
    <w:rsid w:val="73934AD2"/>
    <w:rsid w:val="739C3284"/>
    <w:rsid w:val="74BD3EE6"/>
    <w:rsid w:val="750837F0"/>
    <w:rsid w:val="754758CF"/>
    <w:rsid w:val="764F62AB"/>
    <w:rsid w:val="765C45EC"/>
    <w:rsid w:val="766D15AF"/>
    <w:rsid w:val="768A7619"/>
    <w:rsid w:val="772E14E6"/>
    <w:rsid w:val="772E1EBA"/>
    <w:rsid w:val="7771290F"/>
    <w:rsid w:val="781926BC"/>
    <w:rsid w:val="78277AF1"/>
    <w:rsid w:val="78AC0D2E"/>
    <w:rsid w:val="796D60A4"/>
    <w:rsid w:val="79A031D5"/>
    <w:rsid w:val="7A1525F7"/>
    <w:rsid w:val="7A6D6655"/>
    <w:rsid w:val="7B420052"/>
    <w:rsid w:val="7B690A0F"/>
    <w:rsid w:val="7BD06A28"/>
    <w:rsid w:val="7C3A7C0B"/>
    <w:rsid w:val="7C5248E4"/>
    <w:rsid w:val="7C566698"/>
    <w:rsid w:val="7C5866A3"/>
    <w:rsid w:val="7D7406BB"/>
    <w:rsid w:val="7D875C73"/>
    <w:rsid w:val="7DE94331"/>
    <w:rsid w:val="7EBD7C80"/>
    <w:rsid w:val="7F3B1B6B"/>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basedOn w:val="12"/>
    <w:qFormat/>
    <w:uiPriority w:val="0"/>
    <w:rPr>
      <w:rFonts w:hint="default" w:cs="Times New Roman"/>
    </w:rPr>
  </w:style>
  <w:style w:type="paragraph" w:customStyle="1" w:styleId="12">
    <w:name w:val="msonormal"/>
    <w:basedOn w:val="1"/>
    <w:qFormat/>
    <w:uiPriority w:val="0"/>
    <w:pPr>
      <w:spacing w:before="100" w:beforeAutospacing="1" w:after="100" w:afterAutospacing="1"/>
    </w:pPr>
    <w:rPr>
      <w:rFonts w:cs="宋体"/>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普通(网站) Char Char"/>
    <w:basedOn w:val="12"/>
    <w:qFormat/>
    <w:uiPriority w:val="0"/>
    <w:rPr>
      <w:rFonts w:hint="default" w:ascii="Times New Roman" w:hAnsi="Times New Roman" w:cs="Times New Roman"/>
      <w:b/>
      <w:bCs/>
      <w:color w:val="000000"/>
    </w:rPr>
  </w:style>
  <w:style w:type="character" w:customStyle="1" w:styleId="15">
    <w:name w:val="21"/>
    <w:qFormat/>
    <w:uiPriority w:val="0"/>
    <w:rPr>
      <w:rFonts w:hint="default" w:ascii="Wingdings" w:hAnsi="Wingdings" w:cs="Wingdings"/>
      <w:b/>
      <w:bCs/>
    </w:rPr>
  </w:style>
  <w:style w:type="character" w:customStyle="1" w:styleId="16">
    <w:name w:val="31"/>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2141</Words>
  <Characters>12205</Characters>
  <Lines>101</Lines>
  <Paragraphs>28</Paragraphs>
  <TotalTime>7</TotalTime>
  <ScaleCrop>false</ScaleCrop>
  <LinksUpToDate>false</LinksUpToDate>
  <CharactersWithSpaces>14318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2024-09-12T02:12:16Z</dcterms:modified>
  <dc:title>垫江县红十字会（本级）2023年度决算公开说明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