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b/>
          <w:sz w:val="44"/>
          <w:szCs w:val="44"/>
          <w:shd w:val="clear" w:color="auto" w:fill="FFFFFF"/>
        </w:rPr>
      </w:pPr>
      <w:r>
        <w:rPr>
          <w:rFonts w:ascii="方正小标宋_GBK" w:hAnsi="方正小标宋_GBK" w:eastAsia="方正小标宋_GBK" w:cs="方正小标宋_GBK"/>
          <w:b/>
          <w:sz w:val="44"/>
          <w:szCs w:val="44"/>
        </w:rPr>
        <w:t>垫江县少年宫</w:t>
      </w:r>
      <w:r>
        <w:rPr>
          <w:rFonts w:ascii="方正小标宋_GBK" w:hAnsi="方正小标宋_GBK" w:eastAsia="方正小标宋_GBK" w:cs="方正小标宋_GBK"/>
          <w:b/>
          <w:sz w:val="44"/>
          <w:szCs w:val="44"/>
          <w:shd w:val="clear" w:color="auto" w:fill="FFFFFF"/>
        </w:rPr>
        <w:t>2023年度决算公开说明</w:t>
      </w:r>
    </w:p>
    <w:p>
      <w:pPr>
        <w:pStyle w:val="6"/>
        <w:shd w:val="clear" w:color="auto" w:fill="FFFFFF"/>
        <w:spacing w:after="0" w:afterAutospacing="0" w:line="594" w:lineRule="exact"/>
        <w:jc w:val="both"/>
        <w:rPr>
          <w:rFonts w:hint="default" w:ascii="方正仿宋_GBK" w:hAnsi="黑体" w:eastAsia="方正仿宋_GBK" w:cs="黑体"/>
          <w:sz w:val="32"/>
          <w:szCs w:val="32"/>
        </w:rPr>
      </w:pPr>
      <w:r>
        <w:rPr>
          <w:rStyle w:val="10"/>
          <w:rFonts w:ascii="方正仿宋_GBK" w:hAnsi="黑体" w:eastAsia="方正仿宋_GBK" w:cs="黑体"/>
          <w:sz w:val="32"/>
          <w:szCs w:val="32"/>
          <w:shd w:val="clear" w:color="auto" w:fill="FFFFFF"/>
        </w:rPr>
        <w:t>一、部门基本情况</w:t>
      </w:r>
    </w:p>
    <w:p>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（一）职能职责</w:t>
      </w:r>
    </w:p>
    <w:p>
      <w:pPr>
        <w:pStyle w:val="12"/>
        <w:autoSpaceDE w:val="0"/>
        <w:adjustRightIn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1. 组织开展全县青少年校外教育活动和培训。开展科学技术知识普及教育，体育活动，文化艺术活动，游戏娱乐活动，生活劳动与社会实践活动等；</w:t>
      </w:r>
    </w:p>
    <w:p>
      <w:pPr>
        <w:pStyle w:val="12"/>
        <w:autoSpaceDE w:val="0"/>
        <w:adjustRightIn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2. 开展青少年交流活动；</w:t>
      </w:r>
    </w:p>
    <w:p>
      <w:pPr>
        <w:pStyle w:val="12"/>
        <w:autoSpaceDE w:val="0"/>
        <w:adjustRightIn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3. 加强校外教育文化理论的学习和研究；</w:t>
      </w:r>
    </w:p>
    <w:p>
      <w:pPr>
        <w:pStyle w:val="12"/>
        <w:autoSpaceDE w:val="0"/>
        <w:adjustRightInd w:val="0"/>
        <w:spacing w:before="0" w:beforeAutospacing="0" w:after="0" w:afterAutospacing="0" w:line="594"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4. 积极促进校外活动与学校教育的有效衔接。</w:t>
      </w:r>
    </w:p>
    <w:p>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（二）机构设置</w:t>
      </w:r>
    </w:p>
    <w:p>
      <w:pPr>
        <w:pStyle w:val="6"/>
        <w:shd w:val="clear" w:color="auto" w:fill="FFFFFF"/>
        <w:adjustRightInd w:val="0"/>
        <w:spacing w:before="0" w:beforeAutospacing="0" w:after="0" w:afterAutospacing="0" w:line="594" w:lineRule="exact"/>
        <w:ind w:firstLine="800" w:firstLineChars="250"/>
        <w:jc w:val="both"/>
        <w:rPr>
          <w:rFonts w:hint="default" w:ascii="方正仿宋_GBK" w:hAnsi="Times New Roman" w:eastAsia="方正仿宋_GBK"/>
          <w:color w:val="FF0000"/>
          <w:sz w:val="32"/>
          <w:szCs w:val="32"/>
        </w:rPr>
      </w:pPr>
      <w:r>
        <w:rPr>
          <w:rFonts w:ascii="方正仿宋_GBK" w:hAnsi="Times New Roman" w:eastAsia="方正仿宋_GBK"/>
          <w:color w:val="333333"/>
          <w:sz w:val="32"/>
          <w:szCs w:val="32"/>
          <w:shd w:val="clear" w:color="auto" w:fill="FFFFFF"/>
        </w:rPr>
        <w:t>垫江县少年宫内根据上述职能职责设1个内设机构：办公室。核定编制8名，临聘工作人员4名，西部计划志愿者2名。2023年年末实有在职职工6人，临聘工作人员3名，西部计划志愿者2名。</w:t>
      </w:r>
    </w:p>
    <w:p>
      <w:pPr>
        <w:pStyle w:val="6"/>
        <w:shd w:val="clear" w:color="auto" w:fill="FFFFFF"/>
        <w:spacing w:before="0" w:beforeAutospacing="0" w:after="0" w:afterAutospacing="0" w:line="594" w:lineRule="exact"/>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二、部门决算情况说明</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（一）收入支出决算总体情况说明。</w:t>
      </w:r>
    </w:p>
    <w:p>
      <w:pPr>
        <w:pStyle w:val="6"/>
        <w:shd w:val="clear" w:color="auto" w:fill="FFFFFF"/>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2023年度收入总计248.00万元，支出总计</w:t>
      </w:r>
      <w:r>
        <w:rPr>
          <w:rFonts w:ascii="方正仿宋_GBK" w:hAnsi="方正仿宋_GBK" w:eastAsia="方正仿宋_GBK" w:cs="方正仿宋_GBK"/>
          <w:sz w:val="32"/>
          <w:szCs w:val="32"/>
        </w:rPr>
        <w:t>248.00</w:t>
      </w:r>
      <w:r>
        <w:rPr>
          <w:rFonts w:ascii="方正仿宋_GBK" w:hAnsi="方正仿宋_GBK" w:eastAsia="方正仿宋_GBK" w:cs="方正仿宋_GBK"/>
          <w:sz w:val="32"/>
          <w:szCs w:val="32"/>
          <w:shd w:val="clear" w:color="auto" w:fill="FFFFFF"/>
        </w:rPr>
        <w:t>万元。收支较上年决算数增加49.57万元，增长24.98%，主要原因是少年宫合作办学事业收入增加。</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2023年度收入合计234.04万元，较上年决算数增加51.40万元，增长28.14%，主要原因是少年宫合作办学事业收入增加。其中：财政拨款收入</w:t>
      </w:r>
      <w:r>
        <w:rPr>
          <w:rFonts w:ascii="方正仿宋_GBK" w:hAnsi="方正仿宋_GBK" w:eastAsia="方正仿宋_GBK" w:cs="方正仿宋_GBK"/>
          <w:sz w:val="32"/>
          <w:szCs w:val="32"/>
        </w:rPr>
        <w:t>148.43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63.42</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85.61</w:t>
      </w:r>
      <w:r>
        <w:rPr>
          <w:rFonts w:ascii="方正仿宋_GBK" w:hAnsi="方正仿宋_GBK" w:eastAsia="方正仿宋_GBK" w:cs="方正仿宋_GBK"/>
          <w:sz w:val="32"/>
          <w:szCs w:val="32"/>
          <w:shd w:val="clear" w:color="auto" w:fill="FFFFFF"/>
        </w:rPr>
        <w:t>万元，占36.58%；经营收入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13.96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248.00</w:t>
      </w:r>
      <w:r>
        <w:rPr>
          <w:rFonts w:ascii="方正仿宋_GBK" w:hAnsi="方正仿宋_GBK" w:eastAsia="方正仿宋_GBK" w:cs="方正仿宋_GBK"/>
          <w:sz w:val="32"/>
          <w:szCs w:val="32"/>
          <w:shd w:val="clear" w:color="auto" w:fill="FFFFFF"/>
        </w:rPr>
        <w:t>万元，较上年决算数增加63.53万元，增长34.44%，主要原因一是本单位本年度调入1人，增人增加经费支出；同时对职工2021年、2022年超额绩效精算补发。二是历年结转和结余安排支出。其中：基本支出</w:t>
      </w:r>
      <w:r>
        <w:rPr>
          <w:rFonts w:ascii="方正仿宋_GBK" w:hAnsi="方正仿宋_GBK" w:eastAsia="方正仿宋_GBK" w:cs="方正仿宋_GBK"/>
          <w:sz w:val="32"/>
          <w:szCs w:val="32"/>
        </w:rPr>
        <w:t>203.94</w:t>
      </w:r>
      <w:r>
        <w:rPr>
          <w:rFonts w:ascii="方正仿宋_GBK" w:hAnsi="方正仿宋_GBK" w:eastAsia="方正仿宋_GBK" w:cs="方正仿宋_GBK"/>
          <w:sz w:val="32"/>
          <w:szCs w:val="32"/>
          <w:shd w:val="clear" w:color="auto" w:fill="FFFFFF"/>
        </w:rPr>
        <w:t>万元，占82.23%；项目支出</w:t>
      </w:r>
      <w:r>
        <w:rPr>
          <w:rFonts w:ascii="方正仿宋_GBK" w:hAnsi="方正仿宋_GBK" w:eastAsia="方正仿宋_GBK" w:cs="方正仿宋_GBK"/>
          <w:sz w:val="32"/>
          <w:szCs w:val="32"/>
        </w:rPr>
        <w:t>44.06</w:t>
      </w:r>
      <w:r>
        <w:rPr>
          <w:rFonts w:ascii="方正仿宋_GBK" w:hAnsi="方正仿宋_GBK" w:eastAsia="方正仿宋_GBK" w:cs="方正仿宋_GBK"/>
          <w:sz w:val="32"/>
          <w:szCs w:val="32"/>
          <w:shd w:val="clear" w:color="auto" w:fill="FFFFFF"/>
        </w:rPr>
        <w:t>万元，占17.77%；经营支出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万元，较上年决算数减少13.96万元，下降100.00%，主要原因是用历年结转和结余安排支出。</w:t>
      </w:r>
    </w:p>
    <w:p>
      <w:pPr>
        <w:pStyle w:val="6"/>
        <w:snapToGrid w:val="0"/>
        <w:spacing w:before="0" w:beforeAutospacing="0" w:after="0" w:afterAutospacing="0" w:line="594"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（二）财政拨款收入支出决算总体情况说明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2023年度财政拨款收、支总计162.40万元。与2022年相比，财政拨款收、支总计各增加0.62万元，增长0.38%。主要原因是本单位本年度调入1人，增人增加经费支出；同时对职工2021年、2022年超额绩效精算补发。</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（三）一般公共预算财政拨款收入支出决算情况说明</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118.33</w:t>
      </w:r>
      <w:r>
        <w:rPr>
          <w:rFonts w:ascii="方正仿宋_GBK" w:hAnsi="方正仿宋_GBK" w:eastAsia="方正仿宋_GBK" w:cs="方正仿宋_GBK"/>
          <w:sz w:val="32"/>
          <w:szCs w:val="32"/>
          <w:shd w:val="clear" w:color="auto" w:fill="FFFFFF"/>
        </w:rPr>
        <w:t>万元，较上年决算数增加12.35万元，增长11.65%。主要原因本单位本年度调入1人，增人增加经费支出；同时对职工2021年、2022年超额绩效精算补发。较年初预算数增加13.77万元，增长13.17%。主要原因是本单位本年度调入1人，增人增加经费支出；同时对职工2021年、2022年超额绩效精算补发。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118.33</w:t>
      </w:r>
      <w:r>
        <w:rPr>
          <w:rFonts w:ascii="方正仿宋_GBK" w:hAnsi="方正仿宋_GBK" w:eastAsia="方正仿宋_GBK" w:cs="方正仿宋_GBK"/>
          <w:sz w:val="32"/>
          <w:szCs w:val="32"/>
          <w:shd w:val="clear" w:color="auto" w:fill="FFFFFF"/>
        </w:rPr>
        <w:t>万元，较上年决算数增加12.35万元，增长11.65%。主要原因是本单位本年度调入1人，增人增加经费支出；同时对职工2021年、2022年超额绩效精算补发。较年初预算数增加13.77万元，增长13.17%。主要原因是本单位本年度调入1人，增人增加经费支出；同时对职工2021年、2022年超额绩效精算补发。</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万元，较上年决算数无增减，主要原因是与上年持平。</w:t>
      </w:r>
    </w:p>
    <w:p>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100.15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84.63</w:t>
      </w:r>
      <w:r>
        <w:rPr>
          <w:rFonts w:ascii="方正仿宋_GBK" w:hAnsi="方正仿宋_GBK" w:eastAsia="方正仿宋_GBK" w:cs="方正仿宋_GBK"/>
          <w:sz w:val="32"/>
          <w:szCs w:val="32"/>
          <w:shd w:val="clear" w:color="auto" w:fill="FFFFFF"/>
        </w:rPr>
        <w:t>%，较年初预算数增加12.70万元，增长14.52%，主要原因是本单位本年度调入1人，增人增加经费支出；同时对职工2021年、2022年超额绩效精算补发。</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0.24</w:t>
      </w:r>
      <w:r>
        <w:rPr>
          <w:rFonts w:ascii="方正仿宋_GBK" w:hAnsi="方正仿宋_GBK" w:eastAsia="方正仿宋_GBK" w:cs="方正仿宋_GBK"/>
          <w:sz w:val="32"/>
          <w:szCs w:val="32"/>
          <w:shd w:val="clear" w:color="auto" w:fill="FFFFFF"/>
        </w:rPr>
        <w:t>%，较年初预算数无增减，与年初预算数持平。</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9.21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7.78</w:t>
      </w:r>
      <w:r>
        <w:rPr>
          <w:rFonts w:ascii="方正仿宋_GBK" w:hAnsi="方正仿宋_GBK" w:eastAsia="方正仿宋_GBK" w:cs="方正仿宋_GBK"/>
          <w:sz w:val="32"/>
          <w:szCs w:val="32"/>
          <w:shd w:val="clear" w:color="auto" w:fill="FFFFFF"/>
        </w:rPr>
        <w:t>%，较年初预算数增加0.44万元，增长5.02%，主要原因是本单位本年度调入1人，增人增加社保缴费支出。</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3.27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2.76</w:t>
      </w:r>
      <w:r>
        <w:rPr>
          <w:rFonts w:ascii="方正仿宋_GBK" w:hAnsi="方正仿宋_GBK" w:eastAsia="方正仿宋_GBK" w:cs="方正仿宋_GBK"/>
          <w:sz w:val="32"/>
          <w:szCs w:val="32"/>
          <w:shd w:val="clear" w:color="auto" w:fill="FFFFFF"/>
        </w:rPr>
        <w:t>%，较年初预算数减少0.39万元，下降10.66%，主要原因是</w:t>
      </w:r>
      <w:r>
        <w:rPr>
          <w:rFonts w:ascii="方正仿宋_GBK" w:hAnsi="Times New Roman" w:eastAsia="方正仿宋_GBK"/>
          <w:sz w:val="32"/>
          <w:szCs w:val="32"/>
        </w:rPr>
        <w:t>职工缴存基数发生变化。</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住房保障支出5.42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4.58</w:t>
      </w:r>
      <w:r>
        <w:rPr>
          <w:rFonts w:ascii="方正仿宋_GBK" w:hAnsi="方正仿宋_GBK" w:eastAsia="方正仿宋_GBK" w:cs="方正仿宋_GBK"/>
          <w:sz w:val="32"/>
          <w:szCs w:val="32"/>
          <w:shd w:val="clear" w:color="auto" w:fill="FFFFFF"/>
        </w:rPr>
        <w:t>%，较年初预算数增加1.03万元，增长23.46%，主要原因是本单位本年度调入1人，增人增加公积金缴费支出。</w:t>
      </w:r>
      <w:bookmarkStart w:id="0" w:name="_GoBack"/>
      <w:bookmarkEnd w:id="0"/>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（四）一般公共预算财政拨款基本支出决算情况说明</w:t>
      </w:r>
    </w:p>
    <w:p>
      <w:pPr>
        <w:pStyle w:val="6"/>
        <w:shd w:val="clear" w:color="auto" w:fill="FFFFFF"/>
        <w:adjustRightIn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118.33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103.04</w:t>
      </w:r>
      <w:r>
        <w:rPr>
          <w:rFonts w:ascii="方正仿宋_GBK" w:hAnsi="方正仿宋_GBK" w:eastAsia="方正仿宋_GBK" w:cs="方正仿宋_GBK"/>
          <w:sz w:val="32"/>
          <w:szCs w:val="32"/>
          <w:shd w:val="clear" w:color="auto" w:fill="FFFFFF"/>
        </w:rPr>
        <w:t>万元，较上年决算数增加19.68万元，增长23.61%，主要原因是本单位本年度调入1人，增人增加经费支出；同时对职工2021年、2022年超额绩效精算补发。人员经费用途主要包括</w:t>
      </w:r>
      <w:r>
        <w:rPr>
          <w:rFonts w:ascii="方正仿宋_GBK" w:hAnsi="Times New Roman" w:eastAsia="方正仿宋_GBK"/>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15.30</w:t>
      </w:r>
      <w:r>
        <w:rPr>
          <w:rFonts w:ascii="方正仿宋_GBK" w:hAnsi="方正仿宋_GBK" w:eastAsia="方正仿宋_GBK" w:cs="方正仿宋_GBK"/>
          <w:sz w:val="32"/>
          <w:szCs w:val="32"/>
          <w:shd w:val="clear" w:color="auto" w:fill="FFFFFF"/>
        </w:rPr>
        <w:t>万元，较上年决算数减少1.20万元，下降7.27%，主要原因是本单位严格落实政府过“紧日子”的要求，压减预算，控制经费支出。公用经费用途主要包括</w:t>
      </w:r>
      <w:r>
        <w:rPr>
          <w:rFonts w:ascii="方正仿宋_GBK" w:hAnsi="Times New Roman" w:eastAsia="方正仿宋_GBK"/>
          <w:sz w:val="32"/>
          <w:szCs w:val="32"/>
        </w:rPr>
        <w:t>办公费、印刷费、邮电费、差旅费、因公出国（境）、公务接待费、劳务费、工会经费、会议费、培训费、其他交通费、其他商品服务支出等。</w:t>
      </w:r>
    </w:p>
    <w:p>
      <w:pPr>
        <w:pStyle w:val="6"/>
        <w:snapToGrid w:val="0"/>
        <w:spacing w:before="0" w:beforeAutospacing="0" w:after="0" w:afterAutospacing="0" w:line="594"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（五）政府性基金预算收支决算情况说明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13.96</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30.10</w:t>
      </w:r>
      <w:r>
        <w:rPr>
          <w:rFonts w:ascii="方正仿宋_GBK" w:hAnsi="方正仿宋_GBK" w:eastAsia="方正仿宋_GBK" w:cs="方正仿宋_GBK"/>
          <w:sz w:val="32"/>
          <w:szCs w:val="32"/>
          <w:shd w:val="clear" w:color="auto" w:fill="FFFFFF"/>
        </w:rPr>
        <w:t>万元，较上年决算数减少9.90万元，下降24.75%，主要原因是</w:t>
      </w:r>
      <w:r>
        <w:rPr>
          <w:rFonts w:ascii="方正仿宋_GBK" w:eastAsia="方正仿宋_GBK"/>
          <w:sz w:val="32"/>
          <w:szCs w:val="32"/>
        </w:rPr>
        <w:t>青少年校外公益活动项目补助资金减少。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44.06</w:t>
      </w:r>
      <w:r>
        <w:rPr>
          <w:rFonts w:ascii="方正仿宋_GBK" w:hAnsi="方正仿宋_GBK" w:eastAsia="方正仿宋_GBK" w:cs="方正仿宋_GBK"/>
          <w:sz w:val="32"/>
          <w:szCs w:val="32"/>
          <w:shd w:val="clear" w:color="auto" w:fill="FFFFFF"/>
        </w:rPr>
        <w:t>万元，较上年决算数增加2.23万元，增长5.33%，主要原因是用历年结转和结余安排支出。</w:t>
      </w:r>
    </w:p>
    <w:p>
      <w:pPr>
        <w:pStyle w:val="6"/>
        <w:snapToGrid w:val="0"/>
        <w:spacing w:before="0" w:beforeAutospacing="0" w:after="0" w:afterAutospacing="0" w:line="594"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（六）国有资本经营预算财政拨款支出决算情况说明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spacing w:before="0" w:beforeAutospacing="0" w:after="0" w:afterAutospacing="0" w:line="594" w:lineRule="exact"/>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三、“三公”经费情况说明</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（一）“三公”经费支出总体情况说明</w:t>
      </w:r>
    </w:p>
    <w:p>
      <w:pPr>
        <w:pStyle w:val="6"/>
        <w:shd w:val="clear" w:color="auto" w:fill="FFFFFF"/>
        <w:adjustRightIn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万元，较年初预算数减少0.15万元，下降50.00%，主要原因是</w:t>
      </w:r>
      <w:r>
        <w:rPr>
          <w:rFonts w:ascii="方正仿宋_GBK" w:hAnsi="Times New Roman" w:eastAsia="方正仿宋_GBK"/>
          <w:sz w:val="32"/>
          <w:szCs w:val="32"/>
        </w:rPr>
        <w:t>认真贯彻落实中央八项规定精神和厉行节约要求，强化公务接待支出管理。</w:t>
      </w:r>
      <w:r>
        <w:rPr>
          <w:rFonts w:ascii="方正仿宋_GBK" w:hAnsi="方正仿宋_GBK" w:eastAsia="方正仿宋_GBK" w:cs="方正仿宋_GBK"/>
          <w:sz w:val="32"/>
          <w:szCs w:val="32"/>
          <w:shd w:val="clear" w:color="auto" w:fill="FFFFFF"/>
        </w:rPr>
        <w:t>较上年支出数增加0.15万元，增长100.00%，主要原因是用来接待</w:t>
      </w:r>
      <w:r>
        <w:rPr>
          <w:rFonts w:ascii="方正仿宋_GBK" w:eastAsia="方正仿宋_GBK"/>
          <w:sz w:val="32"/>
          <w:szCs w:val="32"/>
        </w:rPr>
        <w:t>西南大学来垫校地共建费用。</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（二）“三公”经费分项支出情况</w:t>
      </w:r>
    </w:p>
    <w:p>
      <w:pPr>
        <w:pStyle w:val="6"/>
        <w:shd w:val="clear" w:color="auto" w:fill="FFFFFF"/>
        <w:adjustRightIn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万元，费用支出较年初预算数无增减，与年初预算数持平。较上年支出数无增减，与上年持平。较年初预算和上年决算无变化的</w:t>
      </w:r>
      <w:r>
        <w:rPr>
          <w:rFonts w:ascii="方正仿宋_GBK" w:hAnsi="Times New Roman" w:eastAsia="方正仿宋_GBK"/>
          <w:sz w:val="32"/>
          <w:szCs w:val="32"/>
        </w:rPr>
        <w:t>主要原因是本单位2023年度未安排因公出（境），也无因公出（境）费用支出。</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万元，费用支出较年初预算数无增减，与年初预算数持平。较上年支出数无增减，与上年持平。较年初预算和上年决算无变化的主要原因是</w:t>
      </w:r>
      <w:r>
        <w:rPr>
          <w:rFonts w:ascii="方正仿宋_GBK" w:hAnsi="Times New Roman" w:eastAsia="方正仿宋_GBK"/>
          <w:sz w:val="32"/>
          <w:szCs w:val="32"/>
        </w:rPr>
        <w:t>本单位2023年度未发生购置公务车辆费用支出。</w:t>
      </w:r>
      <w:r>
        <w:rPr>
          <w:rFonts w:eastAsia="方正仿宋_GBK" w:cs="宋体"/>
          <w:sz w:val="32"/>
          <w:szCs w:val="32"/>
          <w:shd w:val="clear" w:color="auto" w:fill="FFFFFF"/>
        </w:rPr>
        <w:t> </w:t>
      </w:r>
    </w:p>
    <w:p>
      <w:pPr>
        <w:pStyle w:val="6"/>
        <w:snapToGri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万元，费用支出较年初预算数无增减，与年初预算数持平。较上年支出数无增减，与上年持平。较年初预算和上年决算无变化的主要原因是</w:t>
      </w:r>
      <w:r>
        <w:rPr>
          <w:rFonts w:ascii="方正仿宋_GBK" w:hAnsi="Times New Roman" w:eastAsia="方正仿宋_GBK"/>
          <w:sz w:val="32"/>
          <w:szCs w:val="32"/>
        </w:rPr>
        <w:t>本单位无保留公务车辆，2023年度未发生公务车运行维护费用支出。</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万元，主要用于接待</w:t>
      </w:r>
      <w:r>
        <w:rPr>
          <w:rFonts w:ascii="方正仿宋_GBK" w:eastAsia="方正仿宋_GBK"/>
          <w:sz w:val="32"/>
          <w:szCs w:val="32"/>
        </w:rPr>
        <w:t>西南大学来垫校地共建费用。</w:t>
      </w:r>
      <w:r>
        <w:rPr>
          <w:rFonts w:ascii="方正仿宋_GBK" w:hAnsi="方正仿宋_GBK" w:eastAsia="方正仿宋_GBK" w:cs="方正仿宋_GBK"/>
          <w:sz w:val="32"/>
          <w:szCs w:val="32"/>
          <w:shd w:val="clear" w:color="auto" w:fill="FFFFFF"/>
        </w:rPr>
        <w:t>费用支出较年初预算数减少0.15万元，下降50.00%，主要原因是</w:t>
      </w:r>
      <w:r>
        <w:rPr>
          <w:rFonts w:ascii="方正仿宋_GBK" w:hAnsi="Times New Roman" w:eastAsia="方正仿宋_GBK"/>
          <w:sz w:val="32"/>
          <w:szCs w:val="32"/>
        </w:rPr>
        <w:t>认真贯彻落实中央八项规定精神和厉行节约要求，强化公务接待支出管理。</w:t>
      </w:r>
      <w:r>
        <w:rPr>
          <w:rFonts w:ascii="方正仿宋_GBK" w:hAnsi="方正仿宋_GBK" w:eastAsia="方正仿宋_GBK" w:cs="方正仿宋_GBK"/>
          <w:sz w:val="32"/>
          <w:szCs w:val="32"/>
          <w:shd w:val="clear" w:color="auto" w:fill="FFFFFF"/>
        </w:rPr>
        <w:t>较上年支出数增加0.15万元，增长100.00%，主要原因是用于接待</w:t>
      </w:r>
      <w:r>
        <w:rPr>
          <w:rFonts w:ascii="方正仿宋_GBK" w:eastAsia="方正仿宋_GBK"/>
          <w:sz w:val="32"/>
          <w:szCs w:val="32"/>
        </w:rPr>
        <w:t>西南大学来垫校地共建费用。</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（三）“三公”经费实物量情况</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88.24</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四、其他需要说明的事项</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（一）财政拨款会议费和培训费情况说明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万元，较上年决算数减少0.04万元，下降30.77%，主要原因是根据工作安排，本部门本年度召开会议的次数减少。本年度培训费支出</w:t>
      </w:r>
      <w:r>
        <w:rPr>
          <w:rFonts w:ascii="方正仿宋_GBK" w:hAnsi="方正仿宋_GBK" w:eastAsia="方正仿宋_GBK" w:cs="方正仿宋_GBK"/>
          <w:sz w:val="32"/>
          <w:szCs w:val="32"/>
        </w:rPr>
        <w:t>0.29</w:t>
      </w:r>
      <w:r>
        <w:rPr>
          <w:rFonts w:ascii="方正仿宋_GBK" w:hAnsi="方正仿宋_GBK" w:eastAsia="方正仿宋_GBK" w:cs="方正仿宋_GBK"/>
          <w:sz w:val="32"/>
          <w:szCs w:val="32"/>
          <w:shd w:val="clear" w:color="auto" w:fill="FFFFFF"/>
        </w:rPr>
        <w:t>万元，较上年决算数减少3.48万元，下降92.31%，主要原因是根据工作安排，本部门本年度组织及参加培训的次数减少。</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（二）机关运行经费情况说明</w:t>
      </w:r>
    </w:p>
    <w:p>
      <w:pPr>
        <w:pStyle w:val="6"/>
        <w:shd w:val="clear" w:color="auto" w:fill="FFFFFF"/>
        <w:adjustRightInd w:val="0"/>
        <w:spacing w:before="0" w:beforeAutospacing="0" w:after="0" w:afterAutospacing="0" w:line="594" w:lineRule="exact"/>
        <w:ind w:firstLine="800" w:firstLineChars="250"/>
        <w:jc w:val="both"/>
        <w:rPr>
          <w:rFonts w:hint="default" w:ascii="方正仿宋_GBK" w:hAnsi="Times New Roman" w:eastAsia="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（三）国有资产占用情况说明</w:t>
      </w:r>
    </w:p>
    <w:p>
      <w:pPr>
        <w:pStyle w:val="6"/>
        <w:snapToGrid w:val="0"/>
        <w:spacing w:before="0" w:beforeAutospacing="0" w:after="0" w:afterAutospacing="0" w:line="594" w:lineRule="exact"/>
        <w:ind w:firstLine="800" w:firstLineChars="25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（四）政府采购支出情况说明</w:t>
      </w:r>
    </w:p>
    <w:p>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%。主要原因是2023年度我单位未发生政府采购事项，无相关经费支出。</w:t>
      </w:r>
    </w:p>
    <w:p>
      <w:pPr>
        <w:pStyle w:val="6"/>
        <w:numPr>
          <w:ilvl w:val="0"/>
          <w:numId w:val="1"/>
        </w:numPr>
        <w:shd w:val="clear" w:color="auto" w:fill="FFFFFF"/>
        <w:spacing w:before="0" w:beforeAutospacing="0" w:after="0" w:afterAutospacing="0" w:line="594" w:lineRule="exact"/>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预算绩效管理情况说明</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（一）单位自评情况</w:t>
      </w:r>
    </w:p>
    <w:p>
      <w:pPr>
        <w:pStyle w:val="12"/>
        <w:autoSpaceDE w:val="0"/>
        <w:spacing w:before="0" w:beforeAutospacing="0" w:after="0" w:afterAutospacing="0" w:line="594" w:lineRule="exact"/>
        <w:ind w:firstLine="800" w:firstLineChars="25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drawing>
          <wp:anchor distT="0" distB="0" distL="114300" distR="114300" simplePos="0" relativeHeight="251658240" behindDoc="0" locked="0" layoutInCell="1" allowOverlap="1">
            <wp:simplePos x="0" y="0"/>
            <wp:positionH relativeFrom="column">
              <wp:posOffset>61595</wp:posOffset>
            </wp:positionH>
            <wp:positionV relativeFrom="paragraph">
              <wp:posOffset>835025</wp:posOffset>
            </wp:positionV>
            <wp:extent cx="5527040" cy="5114290"/>
            <wp:effectExtent l="19050" t="0" r="0" b="0"/>
            <wp:wrapTopAndBottom/>
            <wp:docPr id="1" name="图片 0" descr="校外联专项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校外联专项2023.png"/>
                    <pic:cNvPicPr>
                      <a:picLocks noChangeAspect="1"/>
                    </pic:cNvPicPr>
                  </pic:nvPicPr>
                  <pic:blipFill>
                    <a:blip r:embed="rId7"/>
                    <a:stretch>
                      <a:fillRect/>
                    </a:stretch>
                  </pic:blipFill>
                  <pic:spPr>
                    <a:xfrm>
                      <a:off x="0" y="0"/>
                      <a:ext cx="5527040" cy="5114290"/>
                    </a:xfrm>
                    <a:prstGeom prst="rect">
                      <a:avLst/>
                    </a:prstGeom>
                  </pic:spPr>
                </pic:pic>
              </a:graphicData>
            </a:graphic>
          </wp:anchor>
        </w:drawing>
      </w:r>
      <w:r>
        <w:rPr>
          <w:rFonts w:hint="eastAsia" w:ascii="方正仿宋_GBK" w:hAnsi="方正仿宋_GBK" w:eastAsia="方正仿宋_GBK" w:cs="方正仿宋_GBK"/>
          <w:sz w:val="32"/>
          <w:szCs w:val="32"/>
          <w:shd w:val="clear" w:color="auto" w:fill="FFFFFF"/>
        </w:rPr>
        <w:t>根据预算绩效管理要求，我单位1个二级项目开展了绩效自评，涉及财政拨款项目支出资金44.06万元。</w:t>
      </w:r>
    </w:p>
    <w:p>
      <w:pPr>
        <w:pStyle w:val="11"/>
        <w:autoSpaceDE w:val="0"/>
        <w:spacing w:line="594" w:lineRule="exact"/>
        <w:ind w:firstLine="315" w:firstLineChars="98"/>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（二）单位绩效评价情况</w:t>
      </w:r>
    </w:p>
    <w:p>
      <w:pPr>
        <w:pStyle w:val="14"/>
        <w:autoSpaceDE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本年度本单位未组织开展绩效评价。</w:t>
      </w:r>
    </w:p>
    <w:p>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（三）财政绩效评价情况</w:t>
      </w:r>
    </w:p>
    <w:p>
      <w:pPr>
        <w:pStyle w:val="6"/>
        <w:shd w:val="clear" w:color="auto" w:fill="FFFFFF"/>
        <w:spacing w:before="0" w:beforeAutospacing="0" w:after="0" w:afterAutospacing="0" w:line="594" w:lineRule="exact"/>
        <w:ind w:firstLine="480" w:firstLineChars="15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本年度县财政局未委托第三方对我单位开展绩效评价。</w:t>
      </w:r>
    </w:p>
    <w:p>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六、专业名词解释</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Fonts w:ascii="方正仿宋_GBK" w:hAnsi="楷体" w:eastAsia="方正仿宋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（二）事业收入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（三）经营收入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（四）其他收入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（五）使用非财政拨款结余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（六）年初结转和结余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（七）结余分配</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（八）年末结转和结余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（九）基本支出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（十）项目支出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（十一）经营支出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（十二）“三公”经费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（十三）机关运行经费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（十四）工资福利支出（支出经济分类科目类级）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（十五）商品和服务支出（支出经济分类科目类级）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（十六）对个人和家庭的补助（支出经济分类科目类级）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（十七）其他资本性支出（支出经济分类科目类级）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七、决算公开联系方式及信息反馈渠道</w:t>
      </w:r>
    </w:p>
    <w:p>
      <w:pPr>
        <w:pStyle w:val="6"/>
        <w:snapToGrid w:val="0"/>
        <w:spacing w:before="0" w:beforeAutospacing="0" w:after="0" w:afterAutospacing="0" w:line="594" w:lineRule="exact"/>
        <w:ind w:firstLine="640" w:firstLineChars="200"/>
        <w:jc w:val="both"/>
        <w:rPr>
          <w:rStyle w:val="10"/>
          <w:rFonts w:hint="default" w:ascii="方正仿宋_GBK" w:hAnsi="方正仿宋_GBK" w:eastAsia="方正仿宋_GBK" w:cs="方正仿宋_GBK"/>
          <w:sz w:val="32"/>
          <w:szCs w:val="32"/>
          <w:shd w:val="clear" w:color="auto" w:fill="FFFF00"/>
        </w:rPr>
      </w:pPr>
      <w:r>
        <w:rPr>
          <w:rFonts w:ascii="方正仿宋_GBK" w:hAnsi="方正仿宋_GBK" w:eastAsia="方正仿宋_GBK" w:cs="方正仿宋_GBK"/>
          <w:sz w:val="32"/>
          <w:szCs w:val="32"/>
          <w:shd w:val="clear" w:color="auto" w:fill="FFFFFF"/>
        </w:rPr>
        <w:t>本单位决算公开信息反馈和联系方式：</w:t>
      </w:r>
    </w:p>
    <w:p>
      <w:pPr>
        <w:pStyle w:val="6"/>
        <w:shd w:val="clear" w:color="auto" w:fill="FFFFFF"/>
        <w:adjustRightIn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联系人：皮老师联系电话：023-74522003</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公开单位：垫江县少年宫</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118.33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185.76</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30.10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85.61</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0.29</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9.21</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3.27</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5.42</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44.06</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234.04</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248.00</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13.96</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248.00</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248.00</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公开单位：垫江县少年宫</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234.04</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148.43</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85.61</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185.76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85.61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群众团体事务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185.76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85.61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2012950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185.76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85.61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6.25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6.25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5.42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5.42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30.10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30.10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22960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30.10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30.10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用于教育事业的彩票公益金支出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30.10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30.10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w:t>
            </w:r>
            <w:r>
              <w:rPr>
                <w:color w:val="000000"/>
              </w:rPr>
              <w:t>垫江县少年宫</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248.00</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203.94</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44.06</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185.76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185.76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群众团体事务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185.76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185.76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2012950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185.76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185.76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6.25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6.25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22960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44.06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用于教育事业的彩票公益金支出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30.10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30.10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2296099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用于其他社会公益事业的彩票公益金支出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w:t>
            </w:r>
            <w:r>
              <w:rPr>
                <w:color w:val="000000"/>
              </w:rPr>
              <w:t>垫江县少年宫</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118.33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100.15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100.15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30.10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9.21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9.21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44.06</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148.43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162.40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118.33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44.06</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13.96</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162.40</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162.40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118.33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44.06</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w:t>
            </w:r>
            <w:r>
              <w:rPr>
                <w:color w:val="000000"/>
              </w:rPr>
              <w:t>垫江县少年宫</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118.33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118.33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100.15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100.15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20129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群众团体事务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100.15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100.15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2012950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100.15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100.15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6.25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6.25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2.96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2.96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3.27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3.27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3.27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3.27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3.27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3.27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5.42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5.42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5.42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5.42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5.42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5.42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w:t>
            </w:r>
            <w:r>
              <w:rPr>
                <w:color w:val="000000"/>
              </w:rPr>
              <w:t>垫江县少年宫</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103.04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15.30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20.02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2.92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0.79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55.25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6.25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2.96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0.80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8.16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0.67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103.04</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15.30</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w:t>
            </w:r>
            <w:r>
              <w:rPr>
                <w:color w:val="000000"/>
              </w:rPr>
              <w:t>垫江县少年宫</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13.96</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30.10</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44.06</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44.06</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229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其他支出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13.96</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30.10</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44.06</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44.06</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22960</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rPr>
              <w:t>彩票公益金安排的支出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13.96</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30.10</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44.06</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44.06</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2296004</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用于教育事业的彩票公益金支出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30.10</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30.10</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30.10</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2296099</w:t>
            </w:r>
          </w:p>
        </w:tc>
        <w:tc>
          <w:tcPr>
            <w:tcW w:w="44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rPr>
              <w:t>用于其他社会公益事业的彩票公益金支出</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13.96</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13.96</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13.96</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w:t>
            </w:r>
            <w:r>
              <w:rPr>
                <w:color w:val="000000"/>
              </w:rPr>
              <w:t>垫江县少年宫</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w:t>
            </w:r>
            <w:r>
              <w:rPr>
                <w:color w:val="000000"/>
              </w:rPr>
              <w:t>垫江县少年宫</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0.15</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0.15</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0.15</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0.15</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0.15</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0.09</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0.29</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17 -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711D"/>
    <w:rsid w:val="000B3632"/>
    <w:rsid w:val="00160111"/>
    <w:rsid w:val="0020065C"/>
    <w:rsid w:val="00220306"/>
    <w:rsid w:val="003A26DB"/>
    <w:rsid w:val="003E273E"/>
    <w:rsid w:val="00460084"/>
    <w:rsid w:val="00494D4A"/>
    <w:rsid w:val="00537AFC"/>
    <w:rsid w:val="00550ABE"/>
    <w:rsid w:val="005D3744"/>
    <w:rsid w:val="00726F9A"/>
    <w:rsid w:val="00731BBC"/>
    <w:rsid w:val="00735B5C"/>
    <w:rsid w:val="007B419D"/>
    <w:rsid w:val="007C0534"/>
    <w:rsid w:val="007C40F1"/>
    <w:rsid w:val="007F53C3"/>
    <w:rsid w:val="008532B3"/>
    <w:rsid w:val="00873577"/>
    <w:rsid w:val="00890948"/>
    <w:rsid w:val="009429F7"/>
    <w:rsid w:val="009B67B8"/>
    <w:rsid w:val="00A143A9"/>
    <w:rsid w:val="00A34C74"/>
    <w:rsid w:val="00B001E6"/>
    <w:rsid w:val="00B03CCD"/>
    <w:rsid w:val="00B160D3"/>
    <w:rsid w:val="00B74A30"/>
    <w:rsid w:val="00B76FC7"/>
    <w:rsid w:val="00C70993"/>
    <w:rsid w:val="00C820DD"/>
    <w:rsid w:val="00CD4616"/>
    <w:rsid w:val="00CD4C54"/>
    <w:rsid w:val="00F43370"/>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0E7ABE"/>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2256D8"/>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D7B7C5B"/>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1898</Words>
  <Characters>10823</Characters>
  <Lines>90</Lines>
  <Paragraphs>25</Paragraphs>
  <TotalTime>0</TotalTime>
  <ScaleCrop>false</ScaleCrop>
  <LinksUpToDate>false</LinksUpToDate>
  <CharactersWithSpaces>12696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2024-09-10T01:38:01Z</dcterms:modified>
  <dc:title>垫江县少年宫2023年度决算公开说明</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