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方正小标宋_GBK" w:eastAsia="方正小标宋_GBK" w:cs="华文中宋"/>
          <w:sz w:val="44"/>
          <w:szCs w:val="44"/>
        </w:rPr>
      </w:pPr>
      <w:r>
        <w:rPr>
          <w:rFonts w:ascii="方正小标宋_GBK" w:eastAsia="方正小标宋_GBK" w:cs="华文中宋"/>
          <w:sz w:val="44"/>
          <w:szCs w:val="44"/>
        </w:rPr>
        <w:t>垫江县融媒体中心</w:t>
      </w:r>
    </w:p>
    <w:p>
      <w:pPr>
        <w:spacing w:line="594" w:lineRule="exact"/>
        <w:jc w:val="center"/>
        <w:rPr>
          <w:rFonts w:ascii="方正小标宋_GBK" w:eastAsia="方正小标宋_GBK" w:cs="华文中宋"/>
          <w:sz w:val="44"/>
          <w:szCs w:val="44"/>
        </w:rPr>
      </w:pPr>
      <w:r>
        <w:rPr>
          <w:rFonts w:ascii="方正小标宋_GBK" w:eastAsia="方正小标宋_GBK" w:cs="华文中宋"/>
          <w:sz w:val="44"/>
          <w:szCs w:val="44"/>
        </w:rPr>
        <w:t>2023年度决算</w:t>
      </w:r>
      <w:r>
        <w:rPr>
          <w:rFonts w:hint="eastAsia" w:ascii="方正小标宋_GBK" w:eastAsia="方正小标宋_GBK" w:cs="华文中宋"/>
          <w:sz w:val="44"/>
          <w:szCs w:val="44"/>
        </w:rPr>
        <w:t>公开</w:t>
      </w:r>
      <w:r>
        <w:rPr>
          <w:rFonts w:ascii="方正小标宋_GBK" w:eastAsia="方正小标宋_GBK" w:cs="华文中宋"/>
          <w:sz w:val="44"/>
          <w:szCs w:val="44"/>
        </w:rPr>
        <w:t>说明</w:t>
      </w:r>
    </w:p>
    <w:p>
      <w:pPr>
        <w:pStyle w:val="7"/>
        <w:widowControl w:val="0"/>
        <w:spacing w:line="594" w:lineRule="exact"/>
        <w:ind w:firstLine="640" w:firstLineChars="200"/>
        <w:jc w:val="both"/>
        <w:rPr>
          <w:rFonts w:ascii="方正黑体_GBK" w:eastAsia="方正黑体_GBK" w:cs="方正黑体_GBK"/>
          <w:sz w:val="32"/>
        </w:rPr>
      </w:pPr>
      <w:r>
        <w:rPr>
          <w:rFonts w:hint="eastAsia" w:ascii="方正黑体_GBK" w:eastAsia="方正黑体_GBK" w:cs="方正黑体_GBK"/>
          <w:sz w:val="32"/>
        </w:rPr>
        <w:t>一、部门基本情况</w:t>
      </w:r>
    </w:p>
    <w:p>
      <w:pPr>
        <w:pStyle w:val="7"/>
        <w:widowControl w:val="0"/>
        <w:spacing w:line="594" w:lineRule="exact"/>
        <w:ind w:firstLine="640" w:firstLineChars="200"/>
        <w:jc w:val="both"/>
        <w:rPr>
          <w:rFonts w:ascii="方正楷体_GBK" w:eastAsia="方正楷体_GBK" w:cs="方正楷体_GBK"/>
          <w:sz w:val="32"/>
        </w:rPr>
      </w:pPr>
      <w:r>
        <w:rPr>
          <w:rFonts w:hint="eastAsia" w:ascii="方正楷体_GBK" w:eastAsia="方正楷体_GBK" w:cs="方正楷体_GBK"/>
          <w:sz w:val="32"/>
        </w:rPr>
        <w:t>（一）职能职责</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1</w:t>
      </w:r>
      <w:r>
        <w:rPr>
          <w:rFonts w:hint="eastAsia" w:ascii="Times New Roman" w:eastAsia="方正仿宋_GBK"/>
          <w:sz w:val="32"/>
          <w:szCs w:val="32"/>
        </w:rPr>
        <w:t>.</w:t>
      </w:r>
      <w:r>
        <w:rPr>
          <w:rFonts w:ascii="Times New Roman" w:eastAsia="方正仿宋_GBK"/>
          <w:sz w:val="32"/>
          <w:szCs w:val="32"/>
        </w:rPr>
        <w:t>认真贯彻党的新闻宣传方针政策，推动媒体融合发展，负责新闻舆论宣传，统筹办好包括报纸、广播、电视、网络和新兴媒体在内的融媒体平台。</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2</w:t>
      </w:r>
      <w:r>
        <w:rPr>
          <w:rFonts w:hint="eastAsia" w:ascii="Times New Roman" w:eastAsia="方正仿宋_GBK"/>
          <w:sz w:val="32"/>
          <w:szCs w:val="32"/>
        </w:rPr>
        <w:t>.</w:t>
      </w:r>
      <w:r>
        <w:rPr>
          <w:rFonts w:ascii="Times New Roman" w:eastAsia="方正仿宋_GBK"/>
          <w:sz w:val="32"/>
          <w:szCs w:val="32"/>
        </w:rPr>
        <w:t>坚持正确舆论导向，坚持正面宣传为主，负责积极引导社会热点，加强和改进舆论监督，确保刊播安全，统筹策划组织实施重大新闻宣传报道，做好对外新闻宣传。</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3</w:t>
      </w:r>
      <w:r>
        <w:rPr>
          <w:rFonts w:hint="eastAsia" w:ascii="Times New Roman" w:eastAsia="方正仿宋_GBK"/>
          <w:sz w:val="32"/>
          <w:szCs w:val="32"/>
        </w:rPr>
        <w:t>.</w:t>
      </w:r>
      <w:r>
        <w:rPr>
          <w:rFonts w:ascii="Times New Roman" w:eastAsia="方正仿宋_GBK"/>
          <w:sz w:val="32"/>
          <w:szCs w:val="32"/>
        </w:rPr>
        <w:t>架设党委</w:t>
      </w:r>
      <w:r>
        <w:rPr>
          <w:rFonts w:hint="eastAsia" w:ascii="Times New Roman" w:eastAsia="方正仿宋_GBK"/>
          <w:sz w:val="32"/>
          <w:szCs w:val="32"/>
          <w:lang w:eastAsia="zh-CN"/>
        </w:rPr>
        <w:t>、</w:t>
      </w:r>
      <w:r>
        <w:rPr>
          <w:rFonts w:ascii="Times New Roman" w:eastAsia="方正仿宋_GBK"/>
          <w:sz w:val="32"/>
          <w:szCs w:val="32"/>
        </w:rPr>
        <w:t>政府与人民群众沟通交流的桥梁，负责综合服务平台和社区枢纽信息建设，打造“指尖上的政务服务中心”，搭建群众之间的联络纽带。</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4</w:t>
      </w:r>
      <w:r>
        <w:rPr>
          <w:rFonts w:hint="eastAsia" w:ascii="Times New Roman" w:eastAsia="方正仿宋_GBK"/>
          <w:sz w:val="32"/>
          <w:szCs w:val="32"/>
        </w:rPr>
        <w:t>.</w:t>
      </w:r>
      <w:r>
        <w:rPr>
          <w:rFonts w:ascii="Times New Roman" w:eastAsia="方正仿宋_GBK"/>
          <w:sz w:val="32"/>
          <w:szCs w:val="32"/>
        </w:rPr>
        <w:t>负责各乡镇（街道）和县级各部门新闻宣传队伍建设方面的指导和人员培训。</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5</w:t>
      </w:r>
      <w:r>
        <w:rPr>
          <w:rFonts w:hint="eastAsia" w:ascii="Times New Roman" w:eastAsia="方正仿宋_GBK"/>
          <w:sz w:val="32"/>
          <w:szCs w:val="32"/>
        </w:rPr>
        <w:t>.</w:t>
      </w:r>
      <w:r>
        <w:rPr>
          <w:rFonts w:ascii="Times New Roman" w:eastAsia="方正仿宋_GBK"/>
          <w:sz w:val="32"/>
          <w:szCs w:val="32"/>
        </w:rPr>
        <w:t>负责为县委、县政府决策撰写有价值的内参或调研报告。</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6</w:t>
      </w:r>
      <w:r>
        <w:rPr>
          <w:rFonts w:hint="eastAsia" w:ascii="Times New Roman" w:eastAsia="方正仿宋_GBK"/>
          <w:sz w:val="32"/>
          <w:szCs w:val="32"/>
        </w:rPr>
        <w:t>.</w:t>
      </w:r>
      <w:r>
        <w:rPr>
          <w:rFonts w:ascii="Times New Roman" w:eastAsia="方正仿宋_GBK"/>
          <w:sz w:val="32"/>
          <w:szCs w:val="32"/>
        </w:rPr>
        <w:t>负责“媒体+”传媒创意产业发展和“新闻+N”等信息服务。</w:t>
      </w:r>
    </w:p>
    <w:p>
      <w:pPr>
        <w:pStyle w:val="7"/>
        <w:widowControl w:val="0"/>
        <w:spacing w:line="594" w:lineRule="exact"/>
        <w:ind w:firstLine="640" w:firstLineChars="200"/>
        <w:jc w:val="both"/>
        <w:rPr>
          <w:rFonts w:hint="eastAsia" w:ascii="方正楷体_GBK" w:eastAsia="方正楷体_GBK" w:cs="方正楷体_GBK"/>
          <w:sz w:val="32"/>
        </w:rPr>
      </w:pPr>
      <w:r>
        <w:rPr>
          <w:rFonts w:hint="eastAsia" w:ascii="方正楷体_GBK" w:eastAsia="方正楷体_GBK" w:cs="方正楷体_GBK"/>
          <w:sz w:val="32"/>
        </w:rPr>
        <w:t>（二）机构设置</w:t>
      </w:r>
    </w:p>
    <w:p>
      <w:pPr>
        <w:spacing w:line="594" w:lineRule="exact"/>
        <w:ind w:firstLine="640" w:firstLineChars="200"/>
        <w:jc w:val="both"/>
        <w:rPr>
          <w:rFonts w:ascii="方正楷体_GBK" w:eastAsia="方正楷体_GBK" w:cs="方正楷体_GBK"/>
          <w:sz w:val="32"/>
        </w:rPr>
      </w:pPr>
      <w:r>
        <w:rPr>
          <w:rFonts w:hint="eastAsia" w:ascii="方正仿宋_GBK" w:eastAsia="方正仿宋_GBK" w:cs="方正仿宋_GBK"/>
          <w:sz w:val="32"/>
        </w:rPr>
        <w:t>我中心内设12个部室，分别是</w:t>
      </w:r>
      <w:r>
        <w:rPr>
          <w:rFonts w:ascii="方正仿宋_GBK" w:eastAsia="方正仿宋_GBK" w:cs="方正仿宋_GBK"/>
          <w:sz w:val="32"/>
        </w:rPr>
        <w:t>办公室、</w:t>
      </w:r>
      <w:r>
        <w:rPr>
          <w:rFonts w:hint="eastAsia" w:ascii="方正仿宋_GBK" w:eastAsia="方正仿宋_GBK" w:cs="方正仿宋_GBK"/>
          <w:sz w:val="32"/>
        </w:rPr>
        <w:t>党建人事部、</w:t>
      </w:r>
      <w:r>
        <w:rPr>
          <w:rFonts w:ascii="方正仿宋_GBK" w:eastAsia="方正仿宋_GBK" w:cs="方正仿宋_GBK"/>
          <w:sz w:val="32"/>
        </w:rPr>
        <w:t>总编室、</w:t>
      </w:r>
      <w:r>
        <w:rPr>
          <w:rFonts w:hint="eastAsia" w:ascii="方正仿宋_GBK" w:eastAsia="方正仿宋_GBK" w:cs="方正仿宋_GBK"/>
          <w:sz w:val="32"/>
        </w:rPr>
        <w:t>质量考评部、</w:t>
      </w:r>
      <w:r>
        <w:rPr>
          <w:rFonts w:ascii="方正仿宋_GBK" w:eastAsia="方正仿宋_GBK" w:cs="方正仿宋_GBK"/>
          <w:sz w:val="32"/>
        </w:rPr>
        <w:t>新闻采访部、</w:t>
      </w:r>
      <w:r>
        <w:rPr>
          <w:rFonts w:hint="eastAsia" w:ascii="方正仿宋_GBK" w:eastAsia="方正仿宋_GBK" w:cs="方正仿宋_GBK"/>
          <w:sz w:val="32"/>
        </w:rPr>
        <w:t>融合</w:t>
      </w:r>
      <w:r>
        <w:rPr>
          <w:rFonts w:ascii="方正仿宋_GBK" w:eastAsia="方正仿宋_GBK" w:cs="方正仿宋_GBK"/>
          <w:sz w:val="32"/>
        </w:rPr>
        <w:t>新闻编辑部、视觉创意部、专题节目部、播音主持部、媒体运营部、技术保障部、计划财务部。</w:t>
      </w:r>
    </w:p>
    <w:p>
      <w:pPr>
        <w:pStyle w:val="7"/>
        <w:widowControl w:val="0"/>
        <w:spacing w:line="594" w:lineRule="exact"/>
        <w:ind w:firstLine="640" w:firstLineChars="200"/>
        <w:jc w:val="both"/>
        <w:rPr>
          <w:rFonts w:ascii="方正黑体_GBK" w:eastAsia="方正黑体_GBK" w:cs="方正黑体_GBK"/>
          <w:sz w:val="32"/>
        </w:rPr>
      </w:pPr>
      <w:r>
        <w:rPr>
          <w:rFonts w:ascii="方正黑体_GBK" w:eastAsia="方正黑体_GBK" w:cs="方正黑体_GBK"/>
          <w:sz w:val="32"/>
        </w:rPr>
        <w:t>二、部门决算情况说明</w:t>
      </w:r>
    </w:p>
    <w:p>
      <w:pPr>
        <w:pStyle w:val="7"/>
        <w:widowControl w:val="0"/>
        <w:spacing w:line="594" w:lineRule="exact"/>
        <w:ind w:firstLine="640" w:firstLineChars="200"/>
        <w:jc w:val="both"/>
        <w:rPr>
          <w:rFonts w:ascii="方正楷体_GBK" w:eastAsia="方正楷体_GBK" w:cs="方正楷体_GBK"/>
          <w:bCs/>
          <w:sz w:val="32"/>
        </w:rPr>
      </w:pPr>
      <w:r>
        <w:rPr>
          <w:rFonts w:ascii="方正楷体_GBK" w:eastAsia="方正楷体_GBK" w:cs="方正楷体_GBK"/>
          <w:bCs/>
          <w:sz w:val="32"/>
        </w:rPr>
        <w:t>（一）收入支出决算总体情况说明</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1.总体情况。2023年度收入总计2759.06万元，支出总计2759.06万元。收支较上年决算数增加756.80万元，增长37.80%，主要原因是2023年度较2022年度增加了</w:t>
      </w:r>
      <w:r>
        <w:rPr>
          <w:rFonts w:hint="eastAsia" w:ascii="Times New Roman" w:eastAsia="方正仿宋_GBK"/>
          <w:sz w:val="32"/>
          <w:szCs w:val="32"/>
        </w:rPr>
        <w:t>融媒体中心技术平台、他乡追梦人大型系列主题人物报道等资金</w:t>
      </w:r>
      <w:r>
        <w:rPr>
          <w:rFonts w:ascii="Times New Roman" w:eastAsia="方正仿宋_GBK"/>
          <w:sz w:val="32"/>
          <w:szCs w:val="32"/>
        </w:rPr>
        <w:t>。</w:t>
      </w:r>
    </w:p>
    <w:p>
      <w:pPr>
        <w:pStyle w:val="7"/>
        <w:spacing w:line="594"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2.收入情况。2023年度收入合计</w:t>
      </w:r>
      <w:r>
        <w:rPr>
          <w:rFonts w:hint="eastAsia" w:ascii="Times New Roman" w:eastAsia="方正仿宋_GBK" w:cs="方正仿宋_GBK"/>
          <w:sz w:val="32"/>
          <w:szCs w:val="32"/>
        </w:rPr>
        <w:t>2635.64</w:t>
      </w:r>
      <w:r>
        <w:rPr>
          <w:rFonts w:ascii="Times New Roman" w:eastAsia="方正仿宋_GBK" w:cs="方正仿宋_GBK"/>
          <w:sz w:val="32"/>
          <w:szCs w:val="32"/>
        </w:rPr>
        <w:t>万元，较上年决算数增加638.36万元，增长31.96%，主要原因是</w:t>
      </w:r>
      <w:r>
        <w:rPr>
          <w:rFonts w:ascii="Times New Roman" w:eastAsia="方正仿宋_GBK"/>
          <w:sz w:val="32"/>
          <w:szCs w:val="32"/>
        </w:rPr>
        <w:t>2023年度较2022年度增加了</w:t>
      </w:r>
      <w:r>
        <w:rPr>
          <w:rFonts w:hint="eastAsia" w:ascii="Times New Roman" w:eastAsia="方正仿宋_GBK"/>
          <w:sz w:val="32"/>
          <w:szCs w:val="32"/>
        </w:rPr>
        <w:t>融媒体中心技术平台、他乡追梦人大型系列主题人物报道等资金</w:t>
      </w:r>
      <w:r>
        <w:rPr>
          <w:rFonts w:ascii="Times New Roman" w:eastAsia="方正仿宋_GBK"/>
          <w:sz w:val="32"/>
          <w:szCs w:val="32"/>
        </w:rPr>
        <w:t>的拨付，减少了人员经费的拨付。</w:t>
      </w:r>
      <w:r>
        <w:rPr>
          <w:rFonts w:ascii="Times New Roman" w:eastAsia="方正仿宋_GBK" w:cs="方正仿宋_GBK"/>
          <w:sz w:val="32"/>
          <w:szCs w:val="32"/>
        </w:rPr>
        <w:t>其中：财政拨款收入2635.64万元，占100.00%；事业收入0.00万元，占0.00%；经营收入0.00万元，占0.00%；其他收入0.00万元，占0.00%。此外，使用非财政拨款结余和专用结余0.00万元，年初结转和结余123.42万元。</w:t>
      </w:r>
    </w:p>
    <w:p>
      <w:pPr>
        <w:pStyle w:val="7"/>
        <w:spacing w:line="594"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3.支出情况。2023年度支出合计2754.07万元，较上年决算数增加756.79万元，增长37.89%，主要原因是2023年度较2022年度增加了</w:t>
      </w:r>
      <w:r>
        <w:rPr>
          <w:rFonts w:hint="eastAsia" w:ascii="Times New Roman" w:eastAsia="方正仿宋_GBK" w:cs="方正仿宋_GBK"/>
          <w:sz w:val="32"/>
          <w:szCs w:val="32"/>
        </w:rPr>
        <w:t>融媒体中心技术平台、他乡追梦人大型系列主题人物报道等资金</w:t>
      </w:r>
      <w:r>
        <w:rPr>
          <w:rFonts w:ascii="Times New Roman" w:eastAsia="方正仿宋_GBK" w:cs="方正仿宋_GBK"/>
          <w:sz w:val="32"/>
          <w:szCs w:val="32"/>
        </w:rPr>
        <w:t>的支付。其中：基本支出1308.48万元，占47.51%；项目支出1445.59万元，占52.49%；经营支出0.00万元，占0.00%。此外，结余分配0.00万元。</w:t>
      </w:r>
    </w:p>
    <w:p>
      <w:pPr>
        <w:pStyle w:val="7"/>
        <w:spacing w:line="594"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4.结转结余情况。2023年度年末结转和结余4.99万元，较上年决算数无增减，主要原因是本年度收支持平。</w:t>
      </w:r>
    </w:p>
    <w:p>
      <w:pPr>
        <w:pStyle w:val="7"/>
        <w:widowControl w:val="0"/>
        <w:spacing w:line="594" w:lineRule="exact"/>
        <w:ind w:firstLine="640" w:firstLineChars="200"/>
        <w:jc w:val="both"/>
        <w:rPr>
          <w:rFonts w:ascii="方正楷体_GBK" w:eastAsia="方正楷体_GBK" w:cs="方正楷体_GBK"/>
          <w:bCs/>
          <w:sz w:val="32"/>
        </w:rPr>
      </w:pPr>
      <w:r>
        <w:rPr>
          <w:rFonts w:hint="eastAsia" w:ascii="方正楷体_GBK" w:eastAsia="方正楷体_GBK" w:cs="方正楷体_GBK"/>
          <w:bCs/>
          <w:sz w:val="32"/>
        </w:rPr>
        <w:t>（二）财政拨款收入支出决算总体情况说明</w:t>
      </w:r>
    </w:p>
    <w:p>
      <w:pPr>
        <w:pStyle w:val="8"/>
        <w:snapToGrid w:val="0"/>
        <w:spacing w:before="0" w:beforeAutospacing="0" w:after="0" w:afterAutospacing="0" w:line="600"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2023年度财政拨款收、支总计</w:t>
      </w:r>
      <w:r>
        <w:rPr>
          <w:rFonts w:hint="eastAsia" w:ascii="Times New Roman" w:eastAsia="方正仿宋_GBK" w:cs="方正仿宋_GBK"/>
          <w:sz w:val="32"/>
          <w:szCs w:val="32"/>
        </w:rPr>
        <w:t>2759.06</w:t>
      </w:r>
      <w:r>
        <w:rPr>
          <w:rFonts w:ascii="Times New Roman" w:eastAsia="方正仿宋_GBK" w:cs="方正仿宋_GBK"/>
          <w:sz w:val="32"/>
          <w:szCs w:val="32"/>
        </w:rPr>
        <w:t>万元。与2022年相比，财政拨款收、支总计各增加756.80万元，增长37.80%。主要原因是2023年度较2022年度增加了</w:t>
      </w:r>
      <w:r>
        <w:rPr>
          <w:rFonts w:hint="eastAsia" w:ascii="Times New Roman" w:eastAsia="方正仿宋_GBK" w:cs="方正仿宋_GBK"/>
          <w:sz w:val="32"/>
          <w:szCs w:val="32"/>
        </w:rPr>
        <w:t>融媒体中心技术平台、他乡追梦人大型系列主题人物报道等资金</w:t>
      </w:r>
      <w:r>
        <w:rPr>
          <w:rFonts w:ascii="Times New Roman" w:eastAsia="方正仿宋_GBK" w:cs="方正仿宋_GBK"/>
          <w:sz w:val="32"/>
          <w:szCs w:val="32"/>
        </w:rPr>
        <w:t>的。</w:t>
      </w:r>
    </w:p>
    <w:p>
      <w:pPr>
        <w:pStyle w:val="7"/>
        <w:widowControl w:val="0"/>
        <w:spacing w:line="594" w:lineRule="exact"/>
        <w:ind w:firstLine="640" w:firstLineChars="200"/>
        <w:jc w:val="both"/>
        <w:rPr>
          <w:rFonts w:ascii="方正楷体_GBK" w:eastAsia="方正楷体_GBK" w:cs="方正楷体_GBK"/>
          <w:bCs/>
          <w:sz w:val="32"/>
        </w:rPr>
      </w:pPr>
      <w:r>
        <w:rPr>
          <w:rFonts w:ascii="方正楷体_GBK" w:eastAsia="方正楷体_GBK" w:cs="方正楷体_GBK"/>
          <w:bCs/>
          <w:sz w:val="32"/>
        </w:rPr>
        <w:t>（三）一般公共预算财政拨款收入支出决算情况说明</w:t>
      </w:r>
    </w:p>
    <w:p>
      <w:pPr>
        <w:pStyle w:val="8"/>
        <w:snapToGrid w:val="0"/>
        <w:spacing w:before="0" w:beforeAutospacing="0" w:after="0" w:afterAutospacing="0" w:line="600"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1.收入情况。2023年度一般公共预算财政拨款收入2635.64万元，较上年决算数增加638.36万元，增长31.96%。主要原因是2023年度较2022年度增加了</w:t>
      </w:r>
      <w:r>
        <w:rPr>
          <w:rFonts w:hint="eastAsia" w:ascii="Times New Roman" w:eastAsia="方正仿宋_GBK" w:cs="方正仿宋_GBK"/>
          <w:sz w:val="32"/>
          <w:szCs w:val="32"/>
        </w:rPr>
        <w:t>融媒体中心技术平台、他乡追梦人大型系列主题人物报道等资金</w:t>
      </w:r>
      <w:r>
        <w:rPr>
          <w:rFonts w:ascii="Times New Roman" w:eastAsia="方正仿宋_GBK" w:cs="方正仿宋_GBK"/>
          <w:sz w:val="32"/>
          <w:szCs w:val="32"/>
        </w:rPr>
        <w:t>的拨付，减少了人员经费的拨付。较年初预算数增加897.35万元，增长51.62%。主要原因是年中追加了</w:t>
      </w:r>
      <w:r>
        <w:rPr>
          <w:rFonts w:hint="eastAsia" w:ascii="Times New Roman" w:eastAsia="方正仿宋_GBK" w:cs="方正仿宋_GBK"/>
          <w:sz w:val="32"/>
          <w:szCs w:val="32"/>
        </w:rPr>
        <w:t>融媒体中心技术平台、他乡追梦人大型系列主题人物报道等资金</w:t>
      </w:r>
      <w:r>
        <w:rPr>
          <w:rFonts w:ascii="Times New Roman" w:eastAsia="方正仿宋_GBK" w:cs="方正仿宋_GBK"/>
          <w:sz w:val="32"/>
          <w:szCs w:val="32"/>
        </w:rPr>
        <w:t>。此外，年初财政拨款结转和结余123.42万元。</w:t>
      </w:r>
    </w:p>
    <w:p>
      <w:pPr>
        <w:pStyle w:val="8"/>
        <w:snapToGrid w:val="0"/>
        <w:spacing w:before="0" w:beforeAutospacing="0" w:after="0" w:afterAutospacing="0" w:line="600"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2.支出情况。2023年度一般公共预算财政拨款支出2754.07万元，较上年决算数增加756.79万元，增长37.89%。主要原因是2023年度较2022年度增加了</w:t>
      </w:r>
      <w:r>
        <w:rPr>
          <w:rFonts w:hint="eastAsia" w:ascii="Times New Roman" w:eastAsia="方正仿宋_GBK" w:cs="方正仿宋_GBK"/>
          <w:sz w:val="32"/>
          <w:szCs w:val="32"/>
        </w:rPr>
        <w:t>融媒体中心技术平台、他乡追梦人大型系列主题人物报道等资金</w:t>
      </w:r>
      <w:r>
        <w:rPr>
          <w:rFonts w:ascii="Times New Roman" w:eastAsia="方正仿宋_GBK" w:cs="方正仿宋_GBK"/>
          <w:sz w:val="32"/>
          <w:szCs w:val="32"/>
        </w:rPr>
        <w:t>的支付。较年初预算数增加1015.78万元，增长58.44%。主要原因是增加了</w:t>
      </w:r>
      <w:r>
        <w:rPr>
          <w:rFonts w:hint="eastAsia" w:ascii="Times New Roman" w:eastAsia="方正仿宋_GBK" w:cs="方正仿宋_GBK"/>
          <w:sz w:val="32"/>
          <w:szCs w:val="32"/>
        </w:rPr>
        <w:t>退休“中人”一次性补贴、清算并兑现了2020-2021年超额绩效工资、融媒体中心技术平台、他乡追梦人大型系列主题人物报道等资金</w:t>
      </w:r>
      <w:r>
        <w:rPr>
          <w:rFonts w:ascii="Times New Roman" w:eastAsia="方正仿宋_GBK" w:cs="方正仿宋_GBK"/>
          <w:sz w:val="32"/>
          <w:szCs w:val="32"/>
        </w:rPr>
        <w:t>的支付。</w:t>
      </w:r>
    </w:p>
    <w:p>
      <w:pPr>
        <w:pStyle w:val="8"/>
        <w:snapToGrid w:val="0"/>
        <w:spacing w:before="0" w:beforeAutospacing="0" w:after="0" w:afterAutospacing="0" w:line="600"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3.结转结余情况。2023年度年末一般公共预算财政拨款结转和结余4.99万元，较上年决算数无增减，主要原因是本年度收支持平。</w:t>
      </w:r>
    </w:p>
    <w:p>
      <w:pPr>
        <w:pStyle w:val="8"/>
        <w:snapToGrid w:val="0"/>
        <w:spacing w:before="0" w:beforeAutospacing="0" w:after="0" w:afterAutospacing="0" w:line="600" w:lineRule="exact"/>
        <w:ind w:firstLine="643" w:firstLineChars="200"/>
        <w:jc w:val="both"/>
        <w:rPr>
          <w:rFonts w:ascii="方正仿宋_GBK" w:eastAsia="方正仿宋_GBK" w:cs="方正仿宋_GBK"/>
          <w:sz w:val="32"/>
          <w:szCs w:val="32"/>
          <w:shd w:val="clear" w:color="auto" w:fill="FFFFFF"/>
        </w:rPr>
      </w:pPr>
      <w:r>
        <w:rPr>
          <w:rStyle w:val="11"/>
          <w:rFonts w:ascii="方正仿宋_GBK" w:eastAsia="方正仿宋_GBK" w:cs="方正仿宋_GBK"/>
          <w:sz w:val="32"/>
          <w:szCs w:val="32"/>
          <w:shd w:val="clear" w:color="auto" w:fill="FFFFFF"/>
        </w:rPr>
        <w:t xml:space="preserve"> </w:t>
      </w:r>
      <w:r>
        <w:rPr>
          <w:rFonts w:ascii="Times New Roman" w:eastAsia="方正仿宋_GBK" w:cs="方正仿宋_GBK"/>
          <w:sz w:val="32"/>
          <w:szCs w:val="32"/>
        </w:rPr>
        <w:t>4.比</w:t>
      </w:r>
      <w:r>
        <w:rPr>
          <w:rFonts w:ascii="Times New Roman" w:eastAsia="方正仿宋_GBK"/>
          <w:sz w:val="32"/>
          <w:szCs w:val="32"/>
        </w:rPr>
        <w:t>较情况。本部门2023年度一般公共预算财政拨款支出主要用于以下几个方面：</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（1）教育支出3.37万元，占0.12%，较年初预算数无增减，主要原因是严格控制教育费用的各项支出，坚决做到不超预算。</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2）文化旅游体育与传媒支出2482.71万元，占90.15%，较年初预算数增加978.24万元，增长65.02%，主要原因是增加了退休“中人”一次性补贴、清算并兑现了2020-2021年超额绩效工资、融媒体中心技术平台、他乡追梦人大型系列主题人物报道等资金的支付。</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（3）社会保障与就业支出147.20万元，占5.34%，较年初预算数增加5.08万元，增长3.57%，主要原因是本年度新进职工养老保险、职业年金缴纳年初无预算，实际缴款有所增加。</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（4）卫生健康支出40.63万元，占1.48%，较年初预算数增加0.48万元，增长1.20%，主要原因是本年度新进职工医疗保险年初无预算，缴费有所增加。</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（5）住房保障支出80.16万元，占2.91%，较年初预算数增加31.98万元，增长66.38%，主要原因是超额绩效工资的缴费基数年初未纳入预算，实际缴纳数比预算数多。</w:t>
      </w:r>
    </w:p>
    <w:p>
      <w:pPr>
        <w:pStyle w:val="7"/>
        <w:widowControl w:val="0"/>
        <w:spacing w:line="594" w:lineRule="exact"/>
        <w:ind w:firstLine="640" w:firstLineChars="200"/>
        <w:jc w:val="both"/>
        <w:rPr>
          <w:rFonts w:ascii="方正楷体_GBK" w:eastAsia="方正楷体_GBK" w:cs="方正楷体_GBK"/>
          <w:bCs/>
          <w:sz w:val="32"/>
        </w:rPr>
      </w:pPr>
      <w:r>
        <w:rPr>
          <w:rFonts w:ascii="方正楷体_GBK" w:eastAsia="方正楷体_GBK" w:cs="方正楷体_GBK"/>
          <w:bCs/>
          <w:sz w:val="32"/>
        </w:rPr>
        <w:t>（四）一般公共预算财政拨款基本支出决算情况说明</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 2023年度一般公共财政拨款基本支出1308.48万元。其中：人员经费1112.30万元，较上年决算数减少225.29万元，下降16.84%，主要原因是本年度减少了聘用人员工资及五险一金的支出。人员经费用途主要包括基本工资、津贴补贴、社会保障缴费、住房公积金、医疗费、退休职工健康休养费等。公用经费196.18万元，较上年决算数增加41.16万元，增长26.55%，主要原因是本年度邮电费、差旅费、工作餐等公用经费较上年有所增加。公用经费用途主要包括办公费、印刷费、电费、邮电费、差旅费、维修（护）费、培训费、公务接待费、劳务费、工会经费、福利费、公务用车运行维护费、其他交通费用、其他商品和服务支出等</w:t>
      </w:r>
    </w:p>
    <w:p>
      <w:pPr>
        <w:pStyle w:val="7"/>
        <w:widowControl w:val="0"/>
        <w:spacing w:line="594" w:lineRule="exact"/>
        <w:ind w:firstLine="640" w:firstLineChars="200"/>
        <w:jc w:val="both"/>
        <w:rPr>
          <w:rFonts w:ascii="方正楷体_GBK" w:eastAsia="方正楷体_GBK" w:cs="方正楷体_GBK"/>
          <w:bCs/>
          <w:sz w:val="32"/>
        </w:rPr>
      </w:pPr>
      <w:r>
        <w:rPr>
          <w:rFonts w:ascii="方正楷体_GBK" w:eastAsia="方正楷体_GBK" w:cs="方正楷体_GBK"/>
          <w:bCs/>
          <w:sz w:val="32"/>
        </w:rPr>
        <w:t>（五）政府性基金预算收支决算情况说明</w:t>
      </w:r>
    </w:p>
    <w:p>
      <w:pPr>
        <w:pStyle w:val="7"/>
        <w:widowControl w:val="0"/>
        <w:spacing w:line="594" w:lineRule="exact"/>
        <w:ind w:firstLine="640" w:firstLineChars="200"/>
        <w:jc w:val="both"/>
        <w:rPr>
          <w:rFonts w:ascii="Times New Roman" w:eastAsia="方正仿宋_GBK"/>
          <w:sz w:val="32"/>
          <w:szCs w:val="32"/>
        </w:rPr>
      </w:pPr>
      <w:r>
        <w:rPr>
          <w:rFonts w:ascii="Times New Roman" w:eastAsia="方正仿宋_GBK"/>
          <w:color w:val="000000" w:themeColor="text1"/>
          <w:sz w:val="32"/>
          <w:szCs w:val="32"/>
          <w:shd w:val="clear" w:color="auto" w:fill="FFFFFF"/>
        </w:rPr>
        <w:t>2023年度政府性基金预算财政拨款年初结转结余0.00万元，年末结转结余0.00万元。本年收入0.00万元，较上年决算数无增减，主要原因是</w:t>
      </w:r>
      <w:r>
        <w:rPr>
          <w:rFonts w:hint="eastAsia" w:ascii="Times New Roman" w:eastAsia="方正仿宋_GBK"/>
          <w:color w:val="000000" w:themeColor="text1"/>
          <w:sz w:val="32"/>
          <w:szCs w:val="32"/>
          <w:shd w:val="clear" w:color="auto" w:fill="FFFFFF"/>
        </w:rPr>
        <w:t>本年度</w:t>
      </w:r>
      <w:r>
        <w:rPr>
          <w:rFonts w:ascii="Times New Roman" w:eastAsia="方正仿宋_GBK"/>
          <w:color w:val="000000" w:themeColor="text1"/>
          <w:sz w:val="32"/>
          <w:szCs w:val="32"/>
          <w:shd w:val="clear" w:color="auto" w:fill="FFFFFF"/>
        </w:rPr>
        <w:t>无政府性基金预算财政拨款收入。本年支出0.00万元，较上年决算数无增减，主要原因是</w:t>
      </w:r>
      <w:r>
        <w:rPr>
          <w:rFonts w:hint="eastAsia" w:ascii="Times New Roman" w:eastAsia="方正仿宋_GBK"/>
          <w:color w:val="000000" w:themeColor="text1"/>
          <w:sz w:val="32"/>
          <w:szCs w:val="32"/>
          <w:shd w:val="clear" w:color="auto" w:fill="FFFFFF"/>
        </w:rPr>
        <w:t>本年度</w:t>
      </w:r>
      <w:r>
        <w:rPr>
          <w:rFonts w:ascii="Times New Roman" w:eastAsia="方正仿宋_GBK"/>
          <w:color w:val="000000" w:themeColor="text1"/>
          <w:sz w:val="32"/>
          <w:szCs w:val="32"/>
          <w:shd w:val="clear" w:color="auto" w:fill="FFFFFF"/>
        </w:rPr>
        <w:t>无政府性基金预算财政拨款</w:t>
      </w:r>
      <w:r>
        <w:rPr>
          <w:rFonts w:hint="eastAsia" w:ascii="Times New Roman" w:eastAsia="方正仿宋_GBK"/>
          <w:color w:val="000000" w:themeColor="text1"/>
          <w:sz w:val="32"/>
          <w:szCs w:val="32"/>
          <w:shd w:val="clear" w:color="auto" w:fill="FFFFFF"/>
        </w:rPr>
        <w:t>支出</w:t>
      </w:r>
      <w:r>
        <w:rPr>
          <w:rFonts w:ascii="Times New Roman" w:eastAsia="方正仿宋_GBK"/>
          <w:color w:val="000000" w:themeColor="text1"/>
          <w:sz w:val="32"/>
          <w:szCs w:val="32"/>
          <w:shd w:val="clear" w:color="auto" w:fill="FFFFFF"/>
        </w:rPr>
        <w:t>。</w:t>
      </w:r>
      <w:r>
        <w:rPr>
          <w:rFonts w:ascii="Times New Roman" w:eastAsia="方正仿宋_GBK" w:cs="方正楷体_GBK"/>
          <w:bCs/>
          <w:sz w:val="32"/>
          <w:szCs w:val="32"/>
        </w:rPr>
        <w:t>本部门2023年度无政府性基金预算财政拨款收支</w:t>
      </w:r>
      <w:r>
        <w:rPr>
          <w:rFonts w:ascii="方正楷体_GBK" w:eastAsia="方正楷体_GBK" w:cs="方正楷体_GBK"/>
          <w:bCs/>
          <w:sz w:val="32"/>
        </w:rPr>
        <w:t>。</w:t>
      </w:r>
    </w:p>
    <w:p>
      <w:pPr>
        <w:pStyle w:val="7"/>
        <w:widowControl w:val="0"/>
        <w:spacing w:line="594" w:lineRule="exact"/>
        <w:ind w:firstLine="640" w:firstLineChars="200"/>
        <w:jc w:val="both"/>
        <w:rPr>
          <w:rFonts w:ascii="方正楷体_GBK" w:eastAsia="方正楷体_GBK" w:cs="方正楷体_GBK"/>
          <w:bCs/>
          <w:sz w:val="32"/>
        </w:rPr>
      </w:pPr>
      <w:r>
        <w:rPr>
          <w:rFonts w:ascii="方正楷体_GBK" w:eastAsia="方正楷体_GBK" w:cs="方正楷体_GBK"/>
          <w:bCs/>
          <w:sz w:val="32"/>
        </w:rPr>
        <w:t>（六）国有资本经营预算财政拨款支出决算情况说明</w:t>
      </w:r>
    </w:p>
    <w:p>
      <w:pPr>
        <w:pStyle w:val="7"/>
        <w:widowControl w:val="0"/>
        <w:spacing w:line="594" w:lineRule="exact"/>
        <w:ind w:firstLine="640" w:firstLineChars="200"/>
        <w:jc w:val="both"/>
        <w:rPr>
          <w:rFonts w:ascii="Times New Roman" w:eastAsia="方正仿宋_GBK"/>
          <w:sz w:val="32"/>
          <w:szCs w:val="32"/>
        </w:rPr>
      </w:pPr>
      <w:r>
        <w:rPr>
          <w:rFonts w:ascii="Times New Roman" w:eastAsia="方正仿宋_GBK" w:cs="方正楷体_GBK"/>
          <w:bCs/>
          <w:sz w:val="32"/>
          <w:szCs w:val="32"/>
        </w:rPr>
        <w:t>本部门2023年度无国有资本经营预算财政拨款支出。</w:t>
      </w:r>
    </w:p>
    <w:p>
      <w:pPr>
        <w:pStyle w:val="7"/>
        <w:widowControl w:val="0"/>
        <w:spacing w:line="594" w:lineRule="exact"/>
        <w:ind w:firstLine="640" w:firstLineChars="200"/>
        <w:jc w:val="both"/>
        <w:rPr>
          <w:rStyle w:val="11"/>
          <w:rFonts w:ascii="黑体" w:eastAsia="黑体" w:cs="黑体"/>
          <w:sz w:val="32"/>
          <w:szCs w:val="32"/>
          <w:shd w:val="clear" w:color="auto" w:fill="FFFFFF"/>
        </w:rPr>
      </w:pPr>
      <w:r>
        <w:rPr>
          <w:rFonts w:ascii="方正黑体_GBK" w:eastAsia="方正黑体_GBK" w:cs="方正黑体_GBK"/>
          <w:sz w:val="32"/>
        </w:rPr>
        <w:t>三、“三公”经费情况说明</w:t>
      </w:r>
    </w:p>
    <w:p>
      <w:pPr>
        <w:pStyle w:val="12"/>
        <w:autoSpaceDE w:val="0"/>
        <w:ind w:firstLine="643"/>
        <w:rPr>
          <w:rFonts w:ascii="楷体" w:eastAsia="楷体" w:cs="楷体"/>
          <w:b/>
          <w:bCs/>
          <w:sz w:val="32"/>
          <w:szCs w:val="32"/>
          <w:shd w:val="clear" w:color="auto" w:fill="FFFFFF"/>
        </w:rPr>
      </w:pPr>
      <w:r>
        <w:rPr>
          <w:rFonts w:hint="eastAsia" w:ascii="楷体" w:eastAsia="楷体" w:cs="楷体"/>
          <w:b/>
          <w:bCs/>
          <w:sz w:val="32"/>
          <w:szCs w:val="32"/>
          <w:shd w:val="clear" w:color="auto" w:fill="FFFFFF"/>
        </w:rPr>
        <w:t xml:space="preserve"> </w:t>
      </w:r>
      <w:r>
        <w:rPr>
          <w:rFonts w:hint="eastAsia" w:ascii="方正楷体_GBK" w:eastAsia="方正楷体_GBK" w:cs="方正楷体_GBK"/>
          <w:bCs/>
          <w:sz w:val="32"/>
        </w:rPr>
        <w:t>（一）“三公”经费支出总体情况说明</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2023年度“三公”经费支出共计7.31万元，较年初预算数减少16.69万元，下降69.54%，主要原因是我中心按照年初预算数严格控制经费开支，严格按要求进行公务接待及车辆运行维护，确保接待费、公务用车运行维护费只减不增。较上年支出数增加1.17万元，增长19.06%，主要原因是本年度</w:t>
      </w:r>
      <w:bookmarkStart w:id="0" w:name="_GoBack"/>
      <w:bookmarkEnd w:id="0"/>
      <w:r>
        <w:rPr>
          <w:rFonts w:ascii="Times New Roman" w:eastAsia="方正仿宋_GBK"/>
          <w:sz w:val="32"/>
          <w:szCs w:val="32"/>
        </w:rPr>
        <w:t>记者等一线部门用车较多，油费较上年有所增加。接待友邻区县融媒体中心考察、交流等用餐较上年增加。</w:t>
      </w:r>
    </w:p>
    <w:p>
      <w:pPr>
        <w:pStyle w:val="12"/>
        <w:autoSpaceDE w:val="0"/>
        <w:ind w:firstLine="640"/>
        <w:rPr>
          <w:rFonts w:ascii="楷体" w:eastAsia="楷体" w:cs="楷体"/>
          <w:b/>
          <w:bCs/>
          <w:sz w:val="32"/>
          <w:szCs w:val="32"/>
          <w:shd w:val="clear" w:color="auto" w:fill="FFFFFF"/>
        </w:rPr>
      </w:pPr>
      <w:r>
        <w:rPr>
          <w:rFonts w:hint="eastAsia" w:ascii="方正楷体_GBK" w:eastAsia="方正楷体_GBK" w:cs="方正楷体_GBK"/>
          <w:bCs/>
          <w:sz w:val="32"/>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8"/>
        <w:snapToGrid w:val="0"/>
        <w:spacing w:before="0" w:beforeAutospacing="0" w:after="0" w:afterAutospacing="0" w:line="600" w:lineRule="exact"/>
        <w:ind w:firstLine="640" w:firstLineChars="200"/>
        <w:jc w:val="both"/>
        <w:rPr>
          <w:rFonts w:asci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8"/>
        <w:snapToGrid w:val="0"/>
        <w:spacing w:before="0" w:beforeAutospacing="0" w:after="0" w:afterAutospacing="0" w:line="600"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公务车运行维护费6.04万元，主要用于</w:t>
      </w:r>
      <w:r>
        <w:rPr>
          <w:rFonts w:hint="eastAsia" w:ascii="Times New Roman" w:eastAsia="方正仿宋_GBK" w:cs="方正仿宋_GBK"/>
          <w:sz w:val="32"/>
          <w:szCs w:val="32"/>
        </w:rPr>
        <w:t>一线记者外出新闻采访、机要文件交换、市内因公出行等工作所需车辆的燃料费、维修费、过桥过路费、保险费等。</w:t>
      </w:r>
      <w:r>
        <w:rPr>
          <w:rFonts w:ascii="Times New Roman" w:eastAsia="方正仿宋_GBK" w:cs="方正仿宋_GBK"/>
          <w:sz w:val="32"/>
          <w:szCs w:val="32"/>
        </w:rPr>
        <w:t>费用支出较年初预算数减少5.96万元，下降49.67%，主要原因是</w:t>
      </w:r>
      <w:r>
        <w:rPr>
          <w:rFonts w:hint="eastAsia" w:ascii="Times New Roman" w:eastAsia="方正仿宋_GBK" w:cs="方正仿宋_GBK"/>
          <w:sz w:val="32"/>
          <w:szCs w:val="32"/>
        </w:rPr>
        <w:t>我中心严格执行年初预算，严格落实公车管理规定，外出采访或办事尽可能自行解决出行问题，减少公车运行。</w:t>
      </w:r>
      <w:r>
        <w:rPr>
          <w:rFonts w:ascii="Times New Roman" w:eastAsia="方正仿宋_GBK" w:cs="方正仿宋_GBK"/>
          <w:sz w:val="32"/>
          <w:szCs w:val="32"/>
        </w:rPr>
        <w:t>较上年支出数增加0.89万元，增长17.28%，主要原因是</w:t>
      </w:r>
      <w:r>
        <w:rPr>
          <w:rFonts w:hint="eastAsia" w:ascii="Times New Roman" w:eastAsia="方正仿宋_GBK" w:cs="方正仿宋_GBK"/>
          <w:sz w:val="32"/>
          <w:szCs w:val="32"/>
        </w:rPr>
        <w:t>因记者</w:t>
      </w:r>
      <w:r>
        <w:rPr>
          <w:rFonts w:ascii="Times New Roman" w:eastAsia="方正仿宋_GBK" w:cs="方正仿宋_GBK"/>
          <w:sz w:val="32"/>
          <w:szCs w:val="32"/>
        </w:rPr>
        <w:t>采访任务增加,一线</w:t>
      </w:r>
      <w:r>
        <w:rPr>
          <w:rFonts w:hint="eastAsia" w:ascii="Times New Roman" w:eastAsia="方正仿宋_GBK" w:cs="方正仿宋_GBK"/>
          <w:sz w:val="32"/>
          <w:szCs w:val="32"/>
        </w:rPr>
        <w:t>部门用车增多，油费较上年有所增加。</w:t>
      </w:r>
    </w:p>
    <w:p>
      <w:pPr>
        <w:pStyle w:val="8"/>
        <w:snapToGrid w:val="0"/>
        <w:spacing w:before="0" w:beforeAutospacing="0" w:after="0" w:afterAutospacing="0" w:line="600"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公务接待费1.27万元，主要用于接待</w:t>
      </w:r>
      <w:r>
        <w:rPr>
          <w:rFonts w:hint="eastAsia" w:ascii="Times New Roman" w:eastAsia="方正仿宋_GBK" w:cs="方正仿宋_GBK"/>
          <w:sz w:val="32"/>
          <w:szCs w:val="32"/>
        </w:rPr>
        <w:t>县友邻融媒体中心考察交流学习，华龙网、成都索贝、重庆广大等相关公司联系工作用餐。</w:t>
      </w:r>
      <w:r>
        <w:rPr>
          <w:rFonts w:ascii="Times New Roman" w:eastAsia="方正仿宋_GBK" w:cs="方正仿宋_GBK"/>
          <w:sz w:val="32"/>
          <w:szCs w:val="32"/>
        </w:rPr>
        <w:t>费用支出较年初预算数减少10.73万元，下降89.42%，主要原因是</w:t>
      </w:r>
      <w:r>
        <w:rPr>
          <w:rFonts w:hint="eastAsia" w:ascii="Times New Roman" w:eastAsia="方正仿宋_GBK" w:cs="方正仿宋_GBK"/>
          <w:sz w:val="32"/>
          <w:szCs w:val="32"/>
        </w:rPr>
        <w:t>严格按照年初预算数严格控制开支、严格遵守公务接待开支范围和开支标准。</w:t>
      </w:r>
      <w:r>
        <w:rPr>
          <w:rFonts w:ascii="Times New Roman" w:eastAsia="方正仿宋_GBK" w:cs="方正仿宋_GBK"/>
          <w:sz w:val="32"/>
          <w:szCs w:val="32"/>
        </w:rPr>
        <w:t>较上年支出数增加0.28万元，增长28.28%，主要原因是接待友邻区县融媒体中心考察、交流等用餐较上年增加。</w:t>
      </w:r>
    </w:p>
    <w:p>
      <w:pPr>
        <w:pStyle w:val="12"/>
        <w:autoSpaceDE w:val="0"/>
        <w:ind w:firstLine="640"/>
        <w:rPr>
          <w:rFonts w:ascii="方正楷体_GBK" w:eastAsia="方正楷体_GBK" w:cs="方正楷体_GBK"/>
          <w:bCs/>
          <w:sz w:val="32"/>
        </w:rPr>
      </w:pPr>
      <w:r>
        <w:rPr>
          <w:rFonts w:hint="eastAsia" w:ascii="方正楷体_GBK" w:eastAsia="方正楷体_GBK" w:cs="方正楷体_GBK"/>
          <w:bCs/>
          <w:sz w:val="32"/>
        </w:rPr>
        <w:t>（三）“三公”经费实物量情况</w:t>
      </w:r>
    </w:p>
    <w:p>
      <w:pPr>
        <w:pStyle w:val="8"/>
        <w:snapToGrid w:val="0"/>
        <w:spacing w:before="0" w:beforeAutospacing="0" w:after="0" w:afterAutospacing="0" w:line="600"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2023年度本部门因公出国（境）共计0个团组，0人；公务用车购置0辆，公务车保有量为3辆；国内公务接待28批次181人，其中：国内外事接待0批次，0人；国（境）外公务接待0批次，0人。2023年本部门人均接待费70.10元，车均购置费0万元，车均维护费2.01万元。</w:t>
      </w:r>
    </w:p>
    <w:p>
      <w:pPr>
        <w:pStyle w:val="7"/>
        <w:widowControl w:val="0"/>
        <w:spacing w:line="594" w:lineRule="exact"/>
        <w:ind w:firstLine="640" w:firstLineChars="200"/>
        <w:jc w:val="both"/>
        <w:rPr>
          <w:rStyle w:val="11"/>
          <w:rFonts w:ascii="方正仿宋_GBK" w:eastAsia="方正仿宋_GBK" w:cs="方正仿宋_GBK"/>
          <w:sz w:val="32"/>
          <w:szCs w:val="32"/>
          <w:shd w:val="clear" w:color="auto" w:fill="FFFFFF"/>
        </w:rPr>
      </w:pPr>
      <w:r>
        <w:rPr>
          <w:rFonts w:ascii="方正黑体_GBK" w:eastAsia="方正黑体_GBK" w:cs="方正黑体_GBK"/>
          <w:sz w:val="32"/>
        </w:rPr>
        <w:t>四、其他需要说明的事项</w:t>
      </w:r>
    </w:p>
    <w:p>
      <w:pPr>
        <w:pStyle w:val="12"/>
        <w:autoSpaceDE w:val="0"/>
        <w:ind w:firstLine="640"/>
        <w:rPr>
          <w:rFonts w:ascii="楷体" w:eastAsia="楷体" w:cs="楷体"/>
          <w:b/>
          <w:bCs/>
          <w:sz w:val="32"/>
          <w:szCs w:val="32"/>
          <w:shd w:val="clear" w:color="auto" w:fill="FFFFFF"/>
        </w:rPr>
      </w:pPr>
      <w:r>
        <w:rPr>
          <w:rFonts w:hint="eastAsia" w:ascii="方正楷体_GBK" w:eastAsia="方正楷体_GBK" w:cs="方正楷体_GBK"/>
          <w:bCs/>
          <w:sz w:val="32"/>
        </w:rPr>
        <w:t>（一）财政拨款会议费和培训费情况说明</w:t>
      </w:r>
    </w:p>
    <w:p>
      <w:pPr>
        <w:pStyle w:val="8"/>
        <w:snapToGrid w:val="0"/>
        <w:spacing w:before="0" w:beforeAutospacing="0" w:after="0" w:afterAutospacing="0" w:line="600"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本年度会议费支出0.00万元，较上年决算数无增减，主要原因是本年度未发生会议支出。本年度培训费支出2.33万元，较上年决算数增加1.86万元，增长395.74%，主要原因是本年度较上年度增加了聘请的垫融大讲堂教师授课费及职工</w:t>
      </w:r>
      <w:r>
        <w:rPr>
          <w:rFonts w:hint="eastAsia" w:ascii="Times New Roman" w:eastAsia="方正仿宋_GBK" w:cs="方正仿宋_GBK"/>
          <w:sz w:val="32"/>
          <w:szCs w:val="32"/>
        </w:rPr>
        <w:t>按人社局文件规定的</w:t>
      </w:r>
      <w:r>
        <w:rPr>
          <w:rFonts w:ascii="Times New Roman" w:eastAsia="方正仿宋_GBK" w:cs="方正仿宋_GBK"/>
          <w:sz w:val="32"/>
          <w:szCs w:val="32"/>
        </w:rPr>
        <w:t>补学以前年度</w:t>
      </w:r>
      <w:r>
        <w:rPr>
          <w:rFonts w:hint="eastAsia" w:ascii="Times New Roman" w:eastAsia="方正仿宋_GBK" w:cs="方正仿宋_GBK"/>
          <w:sz w:val="32"/>
          <w:szCs w:val="32"/>
        </w:rPr>
        <w:t>继续教育培训支出</w:t>
      </w:r>
      <w:r>
        <w:rPr>
          <w:rFonts w:ascii="Times New Roman" w:eastAsia="方正仿宋_GBK" w:cs="方正仿宋_GBK"/>
          <w:sz w:val="32"/>
          <w:szCs w:val="32"/>
        </w:rPr>
        <w:t>。</w:t>
      </w:r>
    </w:p>
    <w:p>
      <w:pPr>
        <w:pStyle w:val="12"/>
        <w:autoSpaceDE w:val="0"/>
        <w:ind w:firstLine="640"/>
        <w:rPr>
          <w:rFonts w:ascii="方正楷体_GBK" w:eastAsia="方正楷体_GBK" w:cs="方正楷体_GBK"/>
          <w:bCs/>
          <w:sz w:val="32"/>
        </w:rPr>
      </w:pPr>
      <w:r>
        <w:rPr>
          <w:rFonts w:hint="eastAsia" w:ascii="方正楷体_GBK" w:eastAsia="方正楷体_GBK" w:cs="方正楷体_GBK"/>
          <w:bCs/>
          <w:sz w:val="32"/>
        </w:rPr>
        <w:t>（二）机关运行经费情况说明</w:t>
      </w:r>
    </w:p>
    <w:p>
      <w:pPr>
        <w:pStyle w:val="8"/>
        <w:snapToGrid w:val="0"/>
        <w:spacing w:before="0" w:beforeAutospacing="0" w:after="0" w:afterAutospacing="0" w:line="600" w:lineRule="exact"/>
        <w:ind w:firstLine="640" w:firstLineChars="200"/>
        <w:jc w:val="both"/>
        <w:rPr>
          <w:rFonts w:ascii="Times New Roman"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w:t>
      </w:r>
      <w:r>
        <w:rPr>
          <w:rFonts w:hint="eastAsia" w:ascii="方正仿宋_GBK" w:eastAsia="方正仿宋_GBK"/>
          <w:bCs/>
          <w:sz w:val="32"/>
          <w:szCs w:val="32"/>
        </w:rPr>
        <w:t>部门</w:t>
      </w:r>
      <w:r>
        <w:rPr>
          <w:rFonts w:ascii="方正仿宋_GBK" w:eastAsia="方正仿宋_GBK"/>
          <w:bCs/>
          <w:sz w:val="32"/>
          <w:szCs w:val="32"/>
        </w:rPr>
        <w:t>不在机关运行经费统计范围之内。</w:t>
      </w:r>
    </w:p>
    <w:p>
      <w:pPr>
        <w:pStyle w:val="12"/>
        <w:autoSpaceDE w:val="0"/>
        <w:ind w:firstLine="640"/>
        <w:rPr>
          <w:rFonts w:ascii="方正楷体_GBK" w:eastAsia="方正楷体_GBK" w:cs="方正楷体_GBK"/>
          <w:bCs/>
          <w:sz w:val="32"/>
        </w:rPr>
      </w:pPr>
      <w:r>
        <w:rPr>
          <w:rFonts w:hint="eastAsia" w:ascii="方正楷体_GBK" w:eastAsia="方正楷体_GBK" w:cs="方正楷体_GBK"/>
          <w:bCs/>
          <w:sz w:val="32"/>
        </w:rPr>
        <w:t>（三）国有资产占用情况说明</w:t>
      </w:r>
    </w:p>
    <w:p>
      <w:pPr>
        <w:pStyle w:val="8"/>
        <w:snapToGrid w:val="0"/>
        <w:spacing w:before="0" w:beforeAutospacing="0" w:after="0" w:afterAutospacing="0" w:line="600"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截至2023年12月31日，本部门共有车辆3辆，其中，副部（省）级及以上领导用车0辆、主要负责人用车0辆、机要通信用车0辆、应急保障用车3辆、执法执勤用车0辆，特种专业技术用车0辆，离退休干部用车0辆。单价100万元（含）以上专用设备0台（套）。</w:t>
      </w:r>
    </w:p>
    <w:p>
      <w:pPr>
        <w:pStyle w:val="12"/>
        <w:autoSpaceDE w:val="0"/>
        <w:ind w:firstLine="640"/>
        <w:rPr>
          <w:rFonts w:ascii="楷体" w:eastAsia="楷体" w:cs="楷体"/>
          <w:b/>
          <w:bCs/>
          <w:sz w:val="32"/>
          <w:szCs w:val="32"/>
          <w:shd w:val="clear" w:color="auto" w:fill="FFFFFF"/>
        </w:rPr>
      </w:pPr>
      <w:r>
        <w:rPr>
          <w:rFonts w:hint="eastAsia" w:ascii="方正楷体_GBK" w:eastAsia="方正楷体_GBK" w:cs="方正楷体_GBK"/>
          <w:bCs/>
          <w:sz w:val="32"/>
        </w:rPr>
        <w:t>（四）政府采购支出情况说明</w:t>
      </w:r>
    </w:p>
    <w:p>
      <w:pPr>
        <w:pStyle w:val="8"/>
        <w:snapToGrid w:val="0"/>
        <w:spacing w:before="0" w:beforeAutospacing="0" w:after="0" w:afterAutospacing="0" w:line="600" w:lineRule="exact"/>
        <w:ind w:firstLine="640" w:firstLineChars="200"/>
        <w:jc w:val="both"/>
        <w:rPr>
          <w:rFonts w:ascii="Times New Roman" w:eastAsia="方正仿宋_GBK" w:cs="方正仿宋_GBK"/>
          <w:sz w:val="32"/>
          <w:szCs w:val="32"/>
        </w:rPr>
      </w:pPr>
      <w:r>
        <w:rPr>
          <w:rFonts w:ascii="方正仿宋_GBK" w:eastAsia="方正仿宋_GBK" w:cs="方正仿宋_GBK"/>
          <w:sz w:val="32"/>
          <w:szCs w:val="32"/>
          <w:shd w:val="clear" w:color="auto" w:fill="FFFFFF"/>
        </w:rPr>
        <w:t xml:space="preserve">  </w:t>
      </w:r>
      <w:r>
        <w:rPr>
          <w:rFonts w:ascii="Times New Roman" w:eastAsia="方正仿宋_GBK" w:cs="方正仿宋_GBK"/>
          <w:sz w:val="32"/>
          <w:szCs w:val="32"/>
        </w:rPr>
        <w:t>2023年度本部门政府采购支出总额329.02万元，其中：政府采购货物支出15.00万元、政府采购工程支出0.00万元、政府采购服务支出314.02万元。授予中小企业合同金额309.02万元，占政府采购支出总额的93.92%，其中：授予小微企业合同金额132.52万元，占政府采购支出总额的40.28 %。主要用于采购手机台技术服务</w:t>
      </w:r>
      <w:r>
        <w:rPr>
          <w:rFonts w:hint="eastAsia" w:ascii="Times New Roman" w:eastAsia="方正仿宋_GBK" w:cs="方正仿宋_GBK"/>
          <w:sz w:val="32"/>
          <w:szCs w:val="32"/>
        </w:rPr>
        <w:t>、</w:t>
      </w:r>
      <w:r>
        <w:rPr>
          <w:rFonts w:ascii="Times New Roman" w:eastAsia="方正仿宋_GBK" w:cs="方正仿宋_GBK"/>
          <w:sz w:val="32"/>
          <w:szCs w:val="32"/>
        </w:rPr>
        <w:t>节目播出购片</w:t>
      </w:r>
      <w:r>
        <w:rPr>
          <w:rFonts w:hint="eastAsia" w:ascii="Times New Roman" w:eastAsia="方正仿宋_GBK" w:cs="方正仿宋_GBK"/>
          <w:sz w:val="32"/>
          <w:szCs w:val="32"/>
        </w:rPr>
        <w:t>、</w:t>
      </w:r>
      <w:r>
        <w:rPr>
          <w:rFonts w:ascii="Times New Roman" w:eastAsia="方正仿宋_GBK" w:cs="方正仿宋_GBK"/>
          <w:sz w:val="32"/>
          <w:szCs w:val="32"/>
        </w:rPr>
        <w:t>垫江</w:t>
      </w:r>
      <w:r>
        <w:rPr>
          <w:rFonts w:hint="eastAsia" w:ascii="Times New Roman" w:eastAsia="方正仿宋_GBK" w:cs="方正仿宋_GBK"/>
          <w:sz w:val="32"/>
          <w:szCs w:val="32"/>
        </w:rPr>
        <w:t>手机报技术服务、重庆垫江APP运行及维护、融媒体中心系统安全运营维护</w:t>
      </w:r>
      <w:r>
        <w:rPr>
          <w:rFonts w:ascii="Times New Roman" w:eastAsia="方正仿宋_GBK" w:cs="方正仿宋_GBK"/>
          <w:sz w:val="32"/>
          <w:szCs w:val="32"/>
        </w:rPr>
        <w:t>。</w:t>
      </w:r>
    </w:p>
    <w:p>
      <w:pPr>
        <w:pStyle w:val="7"/>
        <w:widowControl w:val="0"/>
        <w:spacing w:line="594" w:lineRule="exact"/>
        <w:ind w:firstLine="640" w:firstLineChars="200"/>
        <w:jc w:val="both"/>
        <w:rPr>
          <w:rFonts w:ascii="方正黑体_GBK" w:eastAsia="方正黑体_GBK" w:cs="方正黑体_GBK"/>
          <w:sz w:val="32"/>
        </w:rPr>
      </w:pPr>
      <w:r>
        <w:rPr>
          <w:rFonts w:ascii="方正黑体_GBK" w:eastAsia="方正黑体_GBK" w:cs="方正黑体_GBK"/>
          <w:sz w:val="32"/>
        </w:rPr>
        <w:t>五、</w:t>
      </w:r>
      <w:r>
        <w:rPr>
          <w:rFonts w:hint="eastAsia" w:ascii="方正黑体_GBK" w:eastAsia="方正黑体_GBK" w:cs="方正黑体_GBK"/>
          <w:sz w:val="32"/>
        </w:rPr>
        <w:t>预算绩效管理情况说明</w:t>
      </w:r>
    </w:p>
    <w:p>
      <w:pPr>
        <w:pStyle w:val="12"/>
        <w:autoSpaceDE w:val="0"/>
        <w:ind w:firstLine="640"/>
        <w:rPr>
          <w:rFonts w:ascii="方正楷体_GBK" w:eastAsia="方正楷体_GBK" w:cs="方正楷体_GBK"/>
          <w:bCs/>
          <w:sz w:val="32"/>
        </w:rPr>
      </w:pPr>
      <w:r>
        <w:rPr>
          <w:rFonts w:hint="eastAsia" w:ascii="方正楷体_GBK" w:eastAsia="方正楷体_GBK" w:cs="方正楷体_GBK"/>
          <w:bCs/>
          <w:sz w:val="32"/>
        </w:rPr>
        <w:t>（一）部门自评情况</w:t>
      </w:r>
    </w:p>
    <w:p>
      <w:pPr>
        <w:pStyle w:val="13"/>
        <w:autoSpaceDE w:val="0"/>
        <w:spacing w:before="0" w:beforeAutospacing="0" w:line="600" w:lineRule="exact"/>
        <w:ind w:firstLine="640" w:firstLineChars="200"/>
        <w:rPr>
          <w:rFonts w:ascii="方正仿宋_GBK" w:eastAsia="方正仿宋_GBK" w:cs="方正仿宋_GBK"/>
          <w:sz w:val="32"/>
          <w:szCs w:val="32"/>
          <w:highlight w:val="yellow"/>
          <w:shd w:val="clear" w:color="auto" w:fill="FFFFFF"/>
        </w:rPr>
      </w:pPr>
      <w:r>
        <w:rPr>
          <w:rFonts w:hint="eastAsia" w:ascii="方正仿宋_GBK" w:eastAsia="方正仿宋_GBK" w:cs="方正仿宋_GBK"/>
          <w:sz w:val="32"/>
          <w:szCs w:val="32"/>
          <w:shd w:val="clear" w:color="auto" w:fill="FFFFFF"/>
        </w:rPr>
        <w:t>根据预算绩效管理要求，我部门对部门整体和13个二级项目开展了绩效自评，涉及财政拨款项目支出资金</w:t>
      </w:r>
      <w:r>
        <w:rPr>
          <w:rFonts w:hint="eastAsia" w:ascii="Times New Roman" w:eastAsia="方正仿宋_GBK" w:cs="方正仿宋_GBK"/>
          <w:sz w:val="32"/>
          <w:szCs w:val="32"/>
        </w:rPr>
        <w:t>1445.59</w:t>
      </w:r>
      <w:r>
        <w:rPr>
          <w:rFonts w:hint="eastAsia" w:ascii="方正仿宋_GBK" w:eastAsia="方正仿宋_GBK" w:cs="方正仿宋_GBK"/>
          <w:sz w:val="32"/>
          <w:szCs w:val="32"/>
          <w:shd w:val="clear" w:color="auto" w:fill="FFFFFF"/>
        </w:rPr>
        <w:t>万元。</w:t>
      </w:r>
    </w:p>
    <w:p>
      <w:pPr>
        <w:pStyle w:val="13"/>
        <w:autoSpaceDE w:val="0"/>
        <w:spacing w:before="0" w:beforeAutospacing="0" w:line="600" w:lineRule="exact"/>
        <w:ind w:firstLine="640" w:firstLineChars="200"/>
        <w:rPr>
          <w:rFonts w:ascii="方正仿宋_GBK" w:eastAsia="方正仿宋_GBK" w:cs="方正仿宋_GBK"/>
          <w:sz w:val="32"/>
          <w:szCs w:val="32"/>
          <w:shd w:val="clear" w:color="auto" w:fill="FFFFFF"/>
        </w:rPr>
      </w:pPr>
      <w:r>
        <w:rPr>
          <w:rFonts w:hint="eastAsia" w:ascii="方正仿宋_GBK" w:eastAsia="方正仿宋_GBK" w:cs="方正仿宋_GBK"/>
          <w:sz w:val="32"/>
          <w:szCs w:val="32"/>
          <w:shd w:val="clear" w:color="auto" w:fill="FFFFFF"/>
        </w:rPr>
        <w:t>部门整体绩效自评表</w:t>
      </w:r>
    </w:p>
    <w:p>
      <w:pPr>
        <w:pStyle w:val="13"/>
        <w:spacing w:before="0" w:beforeAutospacing="0"/>
        <w:rPr>
          <w:rFonts w:ascii="方正仿宋_GBK" w:eastAsia="方正仿宋_GBK" w:cs="方正仿宋_GBK"/>
          <w:sz w:val="32"/>
          <w:szCs w:val="32"/>
          <w:shd w:val="clear" w:color="auto" w:fill="FFFFFF"/>
        </w:rPr>
      </w:pPr>
      <w:r>
        <w:drawing>
          <wp:inline distT="0" distB="0" distL="114300" distR="114300">
            <wp:extent cx="5268595" cy="3474720"/>
            <wp:effectExtent l="0" t="0" r="17" b="21"/>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5268595" cy="3475354"/>
                    </a:xfrm>
                    <a:prstGeom prst="rect">
                      <a:avLst/>
                    </a:prstGeom>
                    <a:noFill/>
                    <a:ln w="9525" cap="flat" cmpd="sng">
                      <a:noFill/>
                      <a:prstDash val="solid"/>
                      <a:round/>
                    </a:ln>
                  </pic:spPr>
                </pic:pic>
              </a:graphicData>
            </a:graphic>
          </wp:inline>
        </w:drawing>
      </w:r>
    </w:p>
    <w:p>
      <w:pPr>
        <w:pStyle w:val="13"/>
        <w:spacing w:before="0" w:beforeAutospacing="0"/>
        <w:rPr>
          <w:rFonts w:ascii="方正仿宋_GBK" w:eastAsia="方正仿宋_GBK" w:cs="方正仿宋_GBK"/>
          <w:sz w:val="28"/>
          <w:szCs w:val="28"/>
          <w:shd w:val="clear" w:color="auto" w:fill="FFFFFF"/>
        </w:rPr>
      </w:pPr>
      <w:r>
        <w:rPr>
          <w:rFonts w:hint="eastAsia" w:ascii="方正仿宋_GBK" w:eastAsia="方正仿宋_GBK" w:cs="方正仿宋_GBK"/>
          <w:sz w:val="32"/>
          <w:szCs w:val="32"/>
          <w:shd w:val="clear" w:color="auto" w:fill="FFFFFF"/>
        </w:rPr>
        <w:t xml:space="preserve"> </w:t>
      </w:r>
      <w:r>
        <w:rPr>
          <w:rFonts w:ascii="方正仿宋_GBK" w:eastAsia="方正仿宋_GBK" w:cs="方正仿宋_GBK"/>
          <w:sz w:val="32"/>
          <w:szCs w:val="32"/>
          <w:shd w:val="clear" w:color="auto" w:fill="FFFFFF"/>
        </w:rPr>
        <w:t xml:space="preserve">    </w:t>
      </w:r>
      <w:r>
        <w:rPr>
          <w:rFonts w:hint="eastAsia" w:ascii="方正仿宋_GBK" w:eastAsia="方正仿宋_GBK" w:cs="方正仿宋_GBK"/>
          <w:sz w:val="32"/>
          <w:szCs w:val="32"/>
          <w:shd w:val="clear" w:color="auto" w:fill="FFFFFF"/>
        </w:rPr>
        <w:t>项目支出绩效自评表</w:t>
      </w:r>
    </w:p>
    <w:p>
      <w:pPr>
        <w:pStyle w:val="7"/>
        <w:jc w:val="both"/>
      </w:pPr>
      <w:r>
        <w:drawing>
          <wp:inline distT="0" distB="0" distL="114300" distR="114300">
            <wp:extent cx="5278755" cy="2945130"/>
            <wp:effectExtent l="0" t="0" r="15" b="45"/>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pic:cNvPicPr>
                      <a:picLocks noChangeAspect="1"/>
                    </pic:cNvPicPr>
                  </pic:nvPicPr>
                  <pic:blipFill>
                    <a:blip r:embed="rId7"/>
                    <a:stretch>
                      <a:fillRect/>
                    </a:stretch>
                  </pic:blipFill>
                  <pic:spPr>
                    <a:xfrm>
                      <a:off x="0" y="0"/>
                      <a:ext cx="5278755" cy="2945130"/>
                    </a:xfrm>
                    <a:prstGeom prst="rect">
                      <a:avLst/>
                    </a:prstGeom>
                    <a:noFill/>
                    <a:ln w="9525" cap="flat" cmpd="sng">
                      <a:noFill/>
                      <a:prstDash val="solid"/>
                      <a:round/>
                    </a:ln>
                  </pic:spPr>
                </pic:pic>
              </a:graphicData>
            </a:graphic>
          </wp:inline>
        </w:drawing>
      </w:r>
    </w:p>
    <w:p>
      <w:pPr>
        <w:pStyle w:val="7"/>
        <w:spacing w:line="594" w:lineRule="exact"/>
        <w:jc w:val="both"/>
      </w:pPr>
    </w:p>
    <w:p>
      <w:pPr>
        <w:pStyle w:val="7"/>
        <w:jc w:val="both"/>
      </w:pPr>
      <w:r>
        <w:drawing>
          <wp:inline distT="0" distB="0" distL="114300" distR="114300">
            <wp:extent cx="5278755" cy="2945130"/>
            <wp:effectExtent l="0" t="0" r="15" b="45"/>
            <wp:docPr id="1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pic:cNvPicPr>
                      <a:picLocks noChangeAspect="1"/>
                    </pic:cNvPicPr>
                  </pic:nvPicPr>
                  <pic:blipFill>
                    <a:blip r:embed="rId8"/>
                    <a:stretch>
                      <a:fillRect/>
                    </a:stretch>
                  </pic:blipFill>
                  <pic:spPr>
                    <a:xfrm>
                      <a:off x="0" y="0"/>
                      <a:ext cx="5278755" cy="2945130"/>
                    </a:xfrm>
                    <a:prstGeom prst="rect">
                      <a:avLst/>
                    </a:prstGeom>
                    <a:noFill/>
                    <a:ln w="9525" cap="flat" cmpd="sng">
                      <a:noFill/>
                      <a:prstDash val="solid"/>
                      <a:round/>
                    </a:ln>
                  </pic:spPr>
                </pic:pic>
              </a:graphicData>
            </a:graphic>
          </wp:inline>
        </w:drawing>
      </w:r>
    </w:p>
    <w:p>
      <w:pPr>
        <w:pStyle w:val="7"/>
        <w:spacing w:line="594" w:lineRule="exact"/>
        <w:jc w:val="both"/>
      </w:pPr>
    </w:p>
    <w:p>
      <w:pPr>
        <w:pStyle w:val="7"/>
        <w:jc w:val="both"/>
      </w:pPr>
      <w:r>
        <w:drawing>
          <wp:inline distT="0" distB="0" distL="114300" distR="114300">
            <wp:extent cx="5278755" cy="2945130"/>
            <wp:effectExtent l="0" t="0" r="15" b="45"/>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pic:cNvPicPr>
                      <a:picLocks noChangeAspect="1"/>
                    </pic:cNvPicPr>
                  </pic:nvPicPr>
                  <pic:blipFill>
                    <a:blip r:embed="rId9"/>
                    <a:stretch>
                      <a:fillRect/>
                    </a:stretch>
                  </pic:blipFill>
                  <pic:spPr>
                    <a:xfrm>
                      <a:off x="0" y="0"/>
                      <a:ext cx="5278755" cy="2945130"/>
                    </a:xfrm>
                    <a:prstGeom prst="rect">
                      <a:avLst/>
                    </a:prstGeom>
                    <a:noFill/>
                    <a:ln w="9525" cap="flat" cmpd="sng">
                      <a:noFill/>
                      <a:prstDash val="solid"/>
                      <a:round/>
                    </a:ln>
                  </pic:spPr>
                </pic:pic>
              </a:graphicData>
            </a:graphic>
          </wp:inline>
        </w:drawing>
      </w:r>
    </w:p>
    <w:p>
      <w:pPr>
        <w:pStyle w:val="12"/>
        <w:autoSpaceDE w:val="0"/>
        <w:ind w:firstLine="640"/>
        <w:rPr>
          <w:rFonts w:ascii="方正楷体_GBK" w:eastAsia="方正楷体_GBK" w:cs="方正楷体_GBK"/>
          <w:bCs/>
          <w:sz w:val="32"/>
        </w:rPr>
      </w:pPr>
      <w:r>
        <w:rPr>
          <w:rFonts w:hint="eastAsia" w:ascii="方正楷体_GBK" w:eastAsia="方正楷体_GBK" w:cs="方正楷体_GBK"/>
          <w:bCs/>
          <w:sz w:val="32"/>
        </w:rPr>
        <w:t>（二）部门绩效评价情况</w:t>
      </w:r>
    </w:p>
    <w:p>
      <w:pPr>
        <w:pStyle w:val="12"/>
        <w:autoSpaceDE w:val="0"/>
        <w:ind w:firstLine="640"/>
        <w:rPr>
          <w:rFonts w:ascii="方正仿宋_GBK" w:eastAsia="方正仿宋_GBK" w:cs="方正仿宋_GBK"/>
          <w:sz w:val="32"/>
          <w:szCs w:val="32"/>
          <w:shd w:val="clear" w:color="auto" w:fill="FFFFFF"/>
        </w:rPr>
      </w:pPr>
      <w:r>
        <w:rPr>
          <w:rFonts w:hint="eastAsia" w:ascii="方正仿宋_GBK" w:eastAsia="方正仿宋_GBK" w:cs="方正仿宋_GBK"/>
          <w:sz w:val="32"/>
          <w:szCs w:val="32"/>
          <w:shd w:val="clear" w:color="auto" w:fill="FFFFFF"/>
        </w:rPr>
        <w:t>本年度我部门未组织开展绩效评价。</w:t>
      </w:r>
    </w:p>
    <w:p>
      <w:pPr>
        <w:pStyle w:val="12"/>
        <w:autoSpaceDE w:val="0"/>
        <w:ind w:firstLine="640"/>
        <w:rPr>
          <w:rFonts w:ascii="方正楷体_GBK" w:eastAsia="方正楷体_GBK" w:cs="方正楷体_GBK"/>
          <w:bCs/>
          <w:sz w:val="32"/>
        </w:rPr>
      </w:pPr>
      <w:r>
        <w:rPr>
          <w:rFonts w:hint="eastAsia" w:ascii="Times New Roman" w:hAnsi="Times New Roman" w:eastAsia="方正仿宋_GBK" w:cs="方正仿宋_GBK"/>
          <w:sz w:val="32"/>
          <w:szCs w:val="32"/>
          <w:lang w:val="en-US" w:eastAsia="zh-CN" w:bidi="ar-SA"/>
        </w:rPr>
        <w:t>（三）财政绩效评价情况</w:t>
      </w:r>
    </w:p>
    <w:p>
      <w:pPr>
        <w:pStyle w:val="12"/>
        <w:autoSpaceDE w:val="0"/>
        <w:ind w:firstLine="640"/>
        <w:rPr>
          <w:rFonts w:ascii="方正仿宋_GBK" w:eastAsia="方正仿宋_GBK" w:cs="方正仿宋_GBK"/>
          <w:sz w:val="32"/>
          <w:szCs w:val="32"/>
          <w:shd w:val="clear" w:color="auto" w:fill="FFFFFF"/>
        </w:rPr>
      </w:pPr>
      <w:r>
        <w:rPr>
          <w:rFonts w:hint="eastAsia" w:ascii="方正仿宋_GBK" w:eastAsia="方正仿宋_GBK" w:cs="方正仿宋_GBK"/>
          <w:sz w:val="32"/>
          <w:szCs w:val="32"/>
          <w:shd w:val="clear" w:color="auto" w:fill="FFFFFF"/>
        </w:rPr>
        <w:t>本年度县财政局未委托第三方对我部门开展绩效评价。</w:t>
      </w:r>
    </w:p>
    <w:p>
      <w:pPr>
        <w:pStyle w:val="8"/>
        <w:shd w:val="clear" w:color="auto" w:fill="FFFFFF"/>
        <w:ind w:firstLine="643" w:firstLineChars="200"/>
        <w:rPr>
          <w:rFonts w:ascii="方正黑体_GBK" w:eastAsia="方正黑体_GBK" w:cs="方正黑体_GBK"/>
          <w:sz w:val="32"/>
        </w:rPr>
      </w:pPr>
      <w:r>
        <w:rPr>
          <w:rStyle w:val="11"/>
          <w:rFonts w:hint="eastAsia" w:ascii="方正仿宋_GBK" w:eastAsia="方正仿宋_GBK" w:cs="方正仿宋_GBK"/>
          <w:sz w:val="32"/>
          <w:szCs w:val="32"/>
          <w:shd w:val="clear" w:color="auto" w:fill="FFFFFF"/>
        </w:rPr>
        <w:t xml:space="preserve"> </w:t>
      </w:r>
      <w:r>
        <w:rPr>
          <w:rFonts w:hint="eastAsia" w:ascii="方正黑体_GBK" w:eastAsia="方正黑体_GBK" w:cs="方正黑体_GBK"/>
          <w:sz w:val="32"/>
        </w:rPr>
        <w:t>六、专业名词解释</w:t>
      </w:r>
    </w:p>
    <w:p>
      <w:pPr>
        <w:pStyle w:val="8"/>
        <w:shd w:val="clear" w:color="auto" w:fill="FFFFFF"/>
        <w:ind w:firstLine="643" w:firstLineChars="200"/>
        <w:rPr>
          <w:rFonts w:ascii="方正仿宋_GBK" w:eastAsia="方正仿宋_GBK" w:cs="方正仿宋_GBK"/>
          <w:sz w:val="32"/>
          <w:szCs w:val="32"/>
        </w:rPr>
      </w:pPr>
      <w:r>
        <w:rPr>
          <w:rFonts w:hint="eastAsia" w:ascii="方正仿宋_GBK" w:eastAsia="方正仿宋_GBK" w:cs="方正仿宋_GBK"/>
          <w:b/>
          <w:bCs/>
          <w:sz w:val="32"/>
          <w:szCs w:val="32"/>
          <w:shd w:val="clear" w:color="auto" w:fill="FFFFFF"/>
        </w:rPr>
        <w:t> </w:t>
      </w:r>
      <w:r>
        <w:rPr>
          <w:rFonts w:hint="eastAsia" w:ascii="方正楷体_GBK" w:eastAsia="方正楷体_GBK" w:cs="方正楷体_GBK"/>
          <w:bCs/>
          <w:sz w:val="32"/>
        </w:rPr>
        <w:t>（一）财政拨款收入：</w:t>
      </w:r>
      <w:r>
        <w:rPr>
          <w:rFonts w:hint="eastAsia" w:asci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8"/>
        <w:snapToGrid w:val="0"/>
        <w:spacing w:before="0" w:beforeAutospacing="0" w:after="0" w:afterAutospacing="0" w:line="600" w:lineRule="exact"/>
        <w:ind w:firstLine="643" w:firstLineChars="200"/>
        <w:jc w:val="both"/>
        <w:rPr>
          <w:rFonts w:ascii="方正仿宋_GBK" w:eastAsia="方正仿宋_GBK" w:cs="方正仿宋_GBK"/>
          <w:sz w:val="32"/>
          <w:szCs w:val="32"/>
        </w:rPr>
      </w:pPr>
      <w:r>
        <w:rPr>
          <w:rStyle w:val="11"/>
          <w:rFonts w:hint="eastAsia" w:ascii="方正仿宋_GBK" w:eastAsia="方正仿宋_GBK" w:cs="方正仿宋_GBK"/>
          <w:sz w:val="32"/>
          <w:szCs w:val="32"/>
          <w:shd w:val="clear" w:color="auto" w:fill="FFFFFF"/>
        </w:rPr>
        <w:t> </w:t>
      </w:r>
      <w:r>
        <w:rPr>
          <w:rFonts w:hint="eastAsia" w:ascii="方正楷体_GBK" w:eastAsia="方正楷体_GBK" w:cs="方正楷体_GBK"/>
          <w:bCs/>
          <w:sz w:val="32"/>
        </w:rPr>
        <w:t>（二）事业收入：指</w:t>
      </w:r>
      <w:r>
        <w:rPr>
          <w:rFonts w:hint="eastAsia" w:ascii="方正仿宋_GBK" w:eastAsia="方正仿宋_GBK" w:cs="方正仿宋_GBK"/>
          <w:sz w:val="32"/>
          <w:szCs w:val="32"/>
          <w:shd w:val="clear" w:color="auto" w:fill="FFFFFF"/>
        </w:rPr>
        <w:t>事业单位开展专业业务活动及其辅助活动取得的现金流入；事业单位收到的财政专户实际核拨的教育收费等资金在此反映。</w:t>
      </w:r>
    </w:p>
    <w:p>
      <w:pPr>
        <w:pStyle w:val="8"/>
        <w:snapToGrid w:val="0"/>
        <w:spacing w:before="0" w:beforeAutospacing="0" w:after="0" w:afterAutospacing="0" w:line="600" w:lineRule="exact"/>
        <w:ind w:firstLine="643" w:firstLineChars="200"/>
        <w:jc w:val="both"/>
        <w:rPr>
          <w:rFonts w:ascii="方正仿宋_GBK" w:eastAsia="方正仿宋_GBK" w:cs="方正仿宋_GBK"/>
          <w:sz w:val="32"/>
          <w:szCs w:val="32"/>
        </w:rPr>
      </w:pPr>
      <w:r>
        <w:rPr>
          <w:rStyle w:val="11"/>
          <w:rFonts w:hint="eastAsia" w:ascii="方正仿宋_GBK" w:eastAsia="方正仿宋_GBK" w:cs="方正仿宋_GBK"/>
          <w:sz w:val="32"/>
          <w:szCs w:val="32"/>
          <w:shd w:val="clear" w:color="auto" w:fill="FFFFFF"/>
        </w:rPr>
        <w:t> </w:t>
      </w:r>
      <w:r>
        <w:rPr>
          <w:rFonts w:hint="eastAsia" w:ascii="方正楷体_GBK" w:eastAsia="方正楷体_GBK" w:cs="方正楷体_GBK"/>
          <w:bCs/>
          <w:sz w:val="32"/>
        </w:rPr>
        <w:t>（三）经营收入：</w:t>
      </w:r>
      <w:r>
        <w:rPr>
          <w:rFonts w:hint="eastAsia" w:ascii="方正仿宋_GBK" w:eastAsia="方正仿宋_GBK" w:cs="方正仿宋_GBK"/>
          <w:sz w:val="32"/>
          <w:szCs w:val="32"/>
          <w:shd w:val="clear" w:color="auto" w:fill="FFFFFF"/>
        </w:rPr>
        <w:t>指事业单位在专业业务活动及其辅助活动之外开展非独立核算经营活动取得的现金流入。</w:t>
      </w:r>
    </w:p>
    <w:p>
      <w:pPr>
        <w:pStyle w:val="8"/>
        <w:snapToGrid w:val="0"/>
        <w:spacing w:before="0" w:beforeAutospacing="0" w:after="0" w:afterAutospacing="0" w:line="600" w:lineRule="exact"/>
        <w:ind w:firstLine="640" w:firstLineChars="200"/>
        <w:jc w:val="both"/>
        <w:rPr>
          <w:rFonts w:ascii="方正仿宋_GBK" w:eastAsia="方正仿宋_GBK" w:cs="方正仿宋_GBK"/>
          <w:sz w:val="32"/>
          <w:szCs w:val="32"/>
        </w:rPr>
      </w:pPr>
      <w:r>
        <w:rPr>
          <w:rFonts w:hint="eastAsia" w:ascii="方正楷体_GBK" w:eastAsia="方正楷体_GBK" w:cs="方正楷体_GBK"/>
          <w:bCs/>
          <w:sz w:val="32"/>
        </w:rPr>
        <w:t> （四）其他收入：</w:t>
      </w:r>
      <w:r>
        <w:rPr>
          <w:rFonts w:hint="eastAsia" w:asci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napToGrid w:val="0"/>
        <w:spacing w:before="0" w:beforeAutospacing="0" w:after="0" w:afterAutospacing="0" w:line="600" w:lineRule="exact"/>
        <w:ind w:firstLine="640" w:firstLineChars="200"/>
        <w:jc w:val="both"/>
        <w:rPr>
          <w:rFonts w:ascii="方正仿宋_GBK" w:eastAsia="方正仿宋_GBK" w:cs="方正仿宋_GBK"/>
          <w:sz w:val="32"/>
          <w:szCs w:val="32"/>
        </w:rPr>
      </w:pPr>
      <w:r>
        <w:rPr>
          <w:rFonts w:hint="eastAsia" w:ascii="方正楷体_GBK" w:eastAsia="方正楷体_GBK" w:cs="方正楷体_GBK"/>
          <w:bCs/>
          <w:sz w:val="32"/>
        </w:rPr>
        <w:t>（五）使用非财政拨款结余：</w:t>
      </w:r>
      <w:r>
        <w:rPr>
          <w:rFonts w:hint="eastAsia" w:asci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8"/>
        <w:snapToGrid w:val="0"/>
        <w:spacing w:before="0" w:beforeAutospacing="0" w:after="0" w:afterAutospacing="0" w:line="600" w:lineRule="exact"/>
        <w:ind w:firstLine="640" w:firstLineChars="200"/>
        <w:jc w:val="both"/>
        <w:rPr>
          <w:rFonts w:ascii="方正仿宋_GBK" w:eastAsia="方正仿宋_GBK" w:cs="方正仿宋_GBK"/>
          <w:sz w:val="32"/>
          <w:szCs w:val="32"/>
        </w:rPr>
      </w:pPr>
      <w:r>
        <w:rPr>
          <w:rFonts w:hint="eastAsia" w:ascii="方正楷体_GBK" w:eastAsia="方正楷体_GBK" w:cs="方正楷体_GBK"/>
          <w:bCs/>
          <w:sz w:val="32"/>
        </w:rPr>
        <w:t> （六）年初结转和结余：</w:t>
      </w:r>
      <w:r>
        <w:rPr>
          <w:rFonts w:hint="eastAsia" w:ascii="方正仿宋_GBK" w:eastAsia="方正仿宋_GBK" w:cs="方正仿宋_GBK"/>
          <w:sz w:val="32"/>
          <w:szCs w:val="32"/>
          <w:shd w:val="clear" w:color="auto" w:fill="FFFFFF"/>
        </w:rPr>
        <w:t>指单位上年结转本年使用的基本支出结转、项目支出结转和结余、经营结余。</w:t>
      </w:r>
    </w:p>
    <w:p>
      <w:pPr>
        <w:pStyle w:val="8"/>
        <w:snapToGrid w:val="0"/>
        <w:spacing w:before="0" w:beforeAutospacing="0" w:after="0" w:afterAutospacing="0" w:line="600" w:lineRule="exact"/>
        <w:ind w:firstLine="643" w:firstLineChars="200"/>
        <w:jc w:val="both"/>
        <w:rPr>
          <w:rFonts w:ascii="方正仿宋_GBK" w:eastAsia="方正仿宋_GBK" w:cs="方正仿宋_GBK"/>
          <w:sz w:val="32"/>
          <w:szCs w:val="32"/>
        </w:rPr>
      </w:pPr>
      <w:r>
        <w:rPr>
          <w:rStyle w:val="11"/>
          <w:rFonts w:hint="eastAsia" w:ascii="方正仿宋_GBK" w:eastAsia="方正仿宋_GBK" w:cs="方正仿宋_GBK"/>
          <w:sz w:val="32"/>
          <w:szCs w:val="32"/>
          <w:shd w:val="clear" w:color="auto" w:fill="FFFFFF"/>
        </w:rPr>
        <w:t> </w:t>
      </w:r>
      <w:r>
        <w:rPr>
          <w:rFonts w:hint="eastAsia" w:ascii="方正楷体_GBK" w:eastAsia="方正楷体_GBK" w:cs="方正楷体_GBK"/>
          <w:bCs/>
          <w:sz w:val="32"/>
        </w:rPr>
        <w:t>（七）结余分配：</w:t>
      </w:r>
      <w:r>
        <w:rPr>
          <w:rFonts w:hint="eastAsia" w:asci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8"/>
        <w:snapToGrid w:val="0"/>
        <w:spacing w:before="0" w:beforeAutospacing="0" w:after="0" w:afterAutospacing="0" w:line="600" w:lineRule="exact"/>
        <w:ind w:firstLine="640" w:firstLineChars="200"/>
        <w:jc w:val="both"/>
        <w:rPr>
          <w:rFonts w:ascii="方正仿宋_GBK" w:eastAsia="方正仿宋_GBK" w:cs="方正仿宋_GBK"/>
          <w:sz w:val="32"/>
          <w:szCs w:val="32"/>
        </w:rPr>
      </w:pPr>
      <w:r>
        <w:rPr>
          <w:rFonts w:hint="eastAsia" w:ascii="方正楷体_GBK" w:eastAsia="方正楷体_GBK" w:cs="方正楷体_GBK"/>
          <w:bCs/>
          <w:sz w:val="32"/>
        </w:rPr>
        <w:t> （八）年末结转和结余：</w:t>
      </w:r>
      <w:r>
        <w:rPr>
          <w:rFonts w:hint="eastAsia" w:ascii="方正仿宋_GBK" w:eastAsia="方正仿宋_GBK" w:cs="方正仿宋_GBK"/>
          <w:sz w:val="32"/>
          <w:szCs w:val="32"/>
          <w:shd w:val="clear" w:color="auto" w:fill="FFFFFF"/>
        </w:rPr>
        <w:t>指单位结转下年的基本支出结转、项目支出结转和结余、经营结余。</w:t>
      </w:r>
    </w:p>
    <w:p>
      <w:pPr>
        <w:pStyle w:val="8"/>
        <w:snapToGrid w:val="0"/>
        <w:spacing w:before="0" w:beforeAutospacing="0" w:after="0" w:afterAutospacing="0" w:line="600" w:lineRule="exact"/>
        <w:ind w:firstLine="643" w:firstLineChars="200"/>
        <w:jc w:val="both"/>
        <w:rPr>
          <w:rFonts w:ascii="方正仿宋_GBK" w:eastAsia="方正仿宋_GBK" w:cs="方正仿宋_GBK"/>
          <w:sz w:val="32"/>
          <w:szCs w:val="32"/>
        </w:rPr>
      </w:pPr>
      <w:r>
        <w:rPr>
          <w:rStyle w:val="11"/>
          <w:rFonts w:hint="eastAsia" w:ascii="方正仿宋_GBK" w:eastAsia="方正仿宋_GBK" w:cs="方正仿宋_GBK"/>
          <w:sz w:val="32"/>
          <w:szCs w:val="32"/>
          <w:shd w:val="clear" w:color="auto" w:fill="FFFFFF"/>
        </w:rPr>
        <w:t> </w:t>
      </w:r>
      <w:r>
        <w:rPr>
          <w:rFonts w:hint="eastAsia" w:ascii="方正楷体_GBK" w:eastAsia="方正楷体_GBK" w:cs="方正楷体_GBK"/>
          <w:bCs/>
          <w:sz w:val="32"/>
        </w:rPr>
        <w:t>（九）基本支出：</w:t>
      </w:r>
      <w:r>
        <w:rPr>
          <w:rFonts w:hint="eastAsia" w:asci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napToGrid w:val="0"/>
        <w:spacing w:before="0" w:beforeAutospacing="0" w:after="0" w:afterAutospacing="0" w:line="600" w:lineRule="exact"/>
        <w:ind w:firstLine="640" w:firstLineChars="200"/>
        <w:jc w:val="both"/>
        <w:rPr>
          <w:rFonts w:ascii="方正仿宋_GBK" w:eastAsia="方正仿宋_GBK" w:cs="方正仿宋_GBK"/>
          <w:sz w:val="32"/>
          <w:szCs w:val="32"/>
        </w:rPr>
      </w:pPr>
      <w:r>
        <w:rPr>
          <w:rFonts w:hint="eastAsia" w:ascii="方正楷体_GBK" w:eastAsia="方正楷体_GBK" w:cs="方正楷体_GBK"/>
          <w:bCs/>
          <w:sz w:val="32"/>
        </w:rPr>
        <w:t> （十）项目支出：</w:t>
      </w:r>
      <w:r>
        <w:rPr>
          <w:rFonts w:hint="eastAsia" w:ascii="方正仿宋_GBK" w:eastAsia="方正仿宋_GBK" w:cs="方正仿宋_GBK"/>
          <w:sz w:val="32"/>
          <w:szCs w:val="32"/>
          <w:shd w:val="clear" w:color="auto" w:fill="FFFFFF"/>
        </w:rPr>
        <w:t>指在基本支出之外为完成特定行政任务和事业发展目标所发生的支出。</w:t>
      </w:r>
    </w:p>
    <w:p>
      <w:pPr>
        <w:pStyle w:val="8"/>
        <w:snapToGrid w:val="0"/>
        <w:spacing w:before="0" w:beforeAutospacing="0" w:after="0" w:afterAutospacing="0" w:line="600" w:lineRule="exact"/>
        <w:ind w:firstLine="640" w:firstLineChars="200"/>
        <w:jc w:val="both"/>
        <w:rPr>
          <w:rFonts w:ascii="方正仿宋_GBK" w:eastAsia="方正仿宋_GBK" w:cs="方正仿宋_GBK"/>
          <w:sz w:val="32"/>
          <w:szCs w:val="32"/>
        </w:rPr>
      </w:pPr>
      <w:r>
        <w:rPr>
          <w:rFonts w:hint="eastAsia" w:ascii="方正楷体_GBK" w:eastAsia="方正楷体_GBK" w:cs="方正楷体_GBK"/>
          <w:bCs/>
          <w:sz w:val="32"/>
        </w:rPr>
        <w:t> （十一）经营支出：</w:t>
      </w:r>
      <w:r>
        <w:rPr>
          <w:rFonts w:hint="eastAsia" w:ascii="方正仿宋_GBK" w:eastAsia="方正仿宋_GBK" w:cs="方正仿宋_GBK"/>
          <w:sz w:val="32"/>
          <w:szCs w:val="32"/>
          <w:shd w:val="clear" w:color="auto" w:fill="FFFFFF"/>
        </w:rPr>
        <w:t>指事业单位在专业业务活动及其辅助活动之外开展非独立核算经营活动发生的支出。</w:t>
      </w:r>
    </w:p>
    <w:p>
      <w:pPr>
        <w:pStyle w:val="8"/>
        <w:snapToGrid w:val="0"/>
        <w:spacing w:before="0" w:beforeAutospacing="0" w:after="0" w:afterAutospacing="0" w:line="600" w:lineRule="exact"/>
        <w:ind w:firstLine="640" w:firstLineChars="200"/>
        <w:jc w:val="both"/>
        <w:rPr>
          <w:rFonts w:ascii="方正仿宋_GBK" w:eastAsia="方正仿宋_GBK" w:cs="方正仿宋_GBK"/>
          <w:sz w:val="32"/>
          <w:szCs w:val="32"/>
        </w:rPr>
      </w:pPr>
      <w:r>
        <w:rPr>
          <w:rFonts w:hint="eastAsia" w:ascii="方正楷体_GBK" w:eastAsia="方正楷体_GBK" w:cs="方正楷体_GBK"/>
          <w:bCs/>
          <w:sz w:val="32"/>
        </w:rPr>
        <w:t> （十二）“三公”经费：</w:t>
      </w:r>
      <w:r>
        <w:rPr>
          <w:rFonts w:hint="eastAsia" w:asci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600" w:lineRule="exact"/>
        <w:ind w:firstLine="640" w:firstLineChars="200"/>
        <w:jc w:val="both"/>
        <w:rPr>
          <w:rFonts w:ascii="方正仿宋_GBK" w:eastAsia="方正仿宋_GBK" w:cs="方正仿宋_GBK"/>
          <w:sz w:val="32"/>
          <w:szCs w:val="32"/>
        </w:rPr>
      </w:pPr>
      <w:r>
        <w:rPr>
          <w:rFonts w:hint="eastAsia" w:ascii="方正楷体_GBK" w:eastAsia="方正楷体_GBK" w:cs="方正楷体_GBK"/>
          <w:bCs/>
          <w:sz w:val="32"/>
        </w:rPr>
        <w:t> （十三）机关运行经费：</w:t>
      </w:r>
      <w:r>
        <w:rPr>
          <w:rFonts w:hint="eastAsia" w:asci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napToGrid w:val="0"/>
        <w:spacing w:before="0" w:beforeAutospacing="0" w:after="0" w:afterAutospacing="0" w:line="600" w:lineRule="exact"/>
        <w:ind w:firstLine="643" w:firstLineChars="200"/>
        <w:jc w:val="both"/>
        <w:rPr>
          <w:rFonts w:ascii="方正仿宋_GBK" w:eastAsia="方正仿宋_GBK" w:cs="方正仿宋_GBK"/>
          <w:sz w:val="32"/>
          <w:szCs w:val="32"/>
        </w:rPr>
      </w:pPr>
      <w:r>
        <w:rPr>
          <w:rStyle w:val="11"/>
          <w:rFonts w:hint="eastAsia" w:ascii="方正仿宋_GBK" w:eastAsia="方正仿宋_GBK" w:cs="方正仿宋_GBK"/>
          <w:sz w:val="32"/>
          <w:szCs w:val="32"/>
          <w:shd w:val="clear" w:color="auto" w:fill="FFFFFF"/>
        </w:rPr>
        <w:t> </w:t>
      </w:r>
      <w:r>
        <w:rPr>
          <w:rFonts w:hint="eastAsia" w:ascii="方正楷体_GBK" w:eastAsia="方正楷体_GBK" w:cs="方正楷体_GBK"/>
          <w:bCs/>
          <w:sz w:val="32"/>
        </w:rPr>
        <w:t>（十四）工资福利支出（支出经济分类科目类级）：</w:t>
      </w:r>
      <w:r>
        <w:rPr>
          <w:rFonts w:hint="eastAsia" w:asci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8"/>
        <w:snapToGrid w:val="0"/>
        <w:spacing w:before="0" w:beforeAutospacing="0" w:after="0" w:afterAutospacing="0" w:line="600" w:lineRule="exact"/>
        <w:ind w:firstLine="640" w:firstLineChars="200"/>
        <w:jc w:val="both"/>
        <w:rPr>
          <w:rFonts w:ascii="方正仿宋_GBK" w:eastAsia="方正仿宋_GBK" w:cs="方正仿宋_GBK"/>
          <w:sz w:val="32"/>
          <w:szCs w:val="32"/>
        </w:rPr>
      </w:pPr>
      <w:r>
        <w:rPr>
          <w:rFonts w:hint="eastAsia" w:ascii="方正楷体_GBK" w:eastAsia="方正楷体_GBK" w:cs="方正楷体_GBK"/>
          <w:bCs/>
          <w:sz w:val="32"/>
        </w:rPr>
        <w:t> （十五）商品和服务支出（支出经济分类科目类级）：</w:t>
      </w:r>
      <w:r>
        <w:rPr>
          <w:rFonts w:hint="eastAsia" w:ascii="方正仿宋_GBK" w:eastAsia="方正仿宋_GBK" w:cs="方正仿宋_GBK"/>
          <w:sz w:val="32"/>
          <w:szCs w:val="32"/>
          <w:shd w:val="clear" w:color="auto" w:fill="FFFFFF"/>
        </w:rPr>
        <w:t>反映单位购买商品和服务的支出（不包括用于购置固定资产的支出、战略性和应急储备支出）。</w:t>
      </w:r>
    </w:p>
    <w:p>
      <w:pPr>
        <w:pStyle w:val="8"/>
        <w:snapToGrid w:val="0"/>
        <w:spacing w:before="0" w:beforeAutospacing="0" w:after="0" w:afterAutospacing="0" w:line="600" w:lineRule="exact"/>
        <w:ind w:firstLine="640" w:firstLineChars="200"/>
        <w:jc w:val="both"/>
        <w:rPr>
          <w:rFonts w:ascii="方正仿宋_GBK" w:eastAsia="方正仿宋_GBK" w:cs="方正仿宋_GBK"/>
          <w:sz w:val="32"/>
          <w:szCs w:val="32"/>
        </w:rPr>
      </w:pPr>
      <w:r>
        <w:rPr>
          <w:rFonts w:hint="eastAsia" w:ascii="方正楷体_GBK" w:eastAsia="方正楷体_GBK" w:cs="方正楷体_GBK"/>
          <w:bCs/>
          <w:sz w:val="32"/>
        </w:rPr>
        <w:t> （十六）对个人和家庭的补助（支出经济分类科目类级）：</w:t>
      </w:r>
      <w:r>
        <w:rPr>
          <w:rFonts w:hint="eastAsia" w:ascii="方正仿宋_GBK" w:eastAsia="方正仿宋_GBK" w:cs="方正仿宋_GBK"/>
          <w:sz w:val="32"/>
          <w:szCs w:val="32"/>
          <w:shd w:val="clear" w:color="auto" w:fill="FFFFFF"/>
        </w:rPr>
        <w:t>反映用于对个人和家庭的补助支出。</w:t>
      </w:r>
    </w:p>
    <w:p>
      <w:pPr>
        <w:pStyle w:val="8"/>
        <w:snapToGrid w:val="0"/>
        <w:spacing w:before="0" w:beforeAutospacing="0" w:after="0" w:afterAutospacing="0" w:line="600" w:lineRule="exact"/>
        <w:ind w:firstLine="643" w:firstLineChars="200"/>
        <w:jc w:val="both"/>
        <w:rPr>
          <w:rFonts w:ascii="方正仿宋_GBK" w:eastAsia="方正仿宋_GBK" w:cs="方正仿宋_GBK"/>
          <w:sz w:val="32"/>
          <w:szCs w:val="32"/>
        </w:rPr>
      </w:pPr>
      <w:r>
        <w:rPr>
          <w:rStyle w:val="11"/>
          <w:rFonts w:hint="eastAsia" w:ascii="方正仿宋_GBK" w:eastAsia="方正仿宋_GBK" w:cs="方正仿宋_GBK"/>
          <w:sz w:val="32"/>
          <w:szCs w:val="32"/>
          <w:shd w:val="clear" w:color="auto" w:fill="FFFFFF"/>
        </w:rPr>
        <w:t> </w:t>
      </w:r>
      <w:r>
        <w:rPr>
          <w:rFonts w:hint="eastAsia" w:ascii="方正楷体_GBK" w:eastAsia="方正楷体_GBK" w:cs="方正楷体_GBK"/>
          <w:bCs/>
          <w:sz w:val="32"/>
        </w:rPr>
        <w:t>（十七）其他资本性支出（支出经济分类科目类级）：</w:t>
      </w:r>
      <w:r>
        <w:rPr>
          <w:rFonts w:hint="eastAsia" w:asci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8"/>
        <w:shd w:val="clear" w:color="auto" w:fill="FFFFFF"/>
        <w:rPr>
          <w:rFonts w:ascii="方正黑体_GBK" w:eastAsia="方正黑体_GBK" w:cs="方正黑体_GBK"/>
          <w:sz w:val="32"/>
        </w:rPr>
      </w:pPr>
      <w:r>
        <w:rPr>
          <w:rStyle w:val="11"/>
          <w:rFonts w:hint="eastAsia" w:ascii="方正仿宋_GBK" w:eastAsia="方正仿宋_GBK" w:cs="方正仿宋_GBK"/>
          <w:sz w:val="32"/>
          <w:szCs w:val="32"/>
          <w:shd w:val="clear" w:color="auto" w:fill="FFFFFF"/>
        </w:rPr>
        <w:t xml:space="preserve">  </w:t>
      </w:r>
      <w:r>
        <w:rPr>
          <w:rFonts w:hint="eastAsia" w:ascii="方正黑体_GBK" w:eastAsia="方正黑体_GBK" w:cs="方正黑体_GBK"/>
          <w:sz w:val="32"/>
        </w:rPr>
        <w:t>七、决算公开联系方式及信息反馈渠道</w:t>
      </w:r>
    </w:p>
    <w:p>
      <w:pPr>
        <w:pStyle w:val="8"/>
        <w:snapToGrid w:val="0"/>
        <w:spacing w:before="0" w:beforeAutospacing="0" w:after="0" w:afterAutospacing="0" w:line="600" w:lineRule="exact"/>
        <w:ind w:firstLine="640" w:firstLineChars="200"/>
        <w:jc w:val="both"/>
        <w:rPr>
          <w:rFonts w:ascii="方正仿宋_GBK" w:eastAsia="方正仿宋_GBK" w:cs="方正仿宋_GBK"/>
          <w:sz w:val="32"/>
          <w:szCs w:val="32"/>
        </w:rPr>
        <w:sectPr>
          <w:headerReference r:id="rId3" w:type="default"/>
          <w:footerReference r:id="rId4" w:type="default"/>
          <w:pgSz w:w="11915" w:h="16840"/>
          <w:pgMar w:top="1984" w:right="1446" w:bottom="1644" w:left="1446" w:header="851" w:footer="992" w:gutter="0"/>
          <w:pgNumType w:fmt="numberInDash"/>
          <w:cols w:space="720" w:num="1"/>
          <w:docGrid w:type="lines" w:linePitch="312" w:charSpace="0"/>
        </w:sectPr>
      </w:pPr>
      <w:r>
        <w:rPr>
          <w:rFonts w:hint="eastAsia" w:ascii="Times New Roman" w:eastAsia="方正仿宋_GBK"/>
          <w:sz w:val="32"/>
          <w:szCs w:val="32"/>
        </w:rPr>
        <w:t>本单位决算公开信息反馈和联系方式：黄老师  023-</w:t>
      </w:r>
      <w:r>
        <w:rPr>
          <w:rFonts w:ascii="Times New Roman" w:eastAsia="方正仿宋_GBK"/>
          <w:sz w:val="32"/>
          <w:szCs w:val="32"/>
        </w:rPr>
        <w:t>74605835</w:t>
      </w:r>
      <w:r>
        <w:rPr>
          <w:rFonts w:hint="eastAsia" w:ascii="方正仿宋_GBK" w:eastAsia="方正仿宋_GBK" w:cs="方正仿宋_GBK"/>
          <w:sz w:val="32"/>
          <w:szCs w:val="32"/>
          <w:shd w:val="clear" w:color="auto" w:fill="FFFFFF"/>
        </w:rPr>
        <w:t>。</w:t>
      </w:r>
    </w:p>
    <w:p>
      <w:pPr>
        <w:pStyle w:val="8"/>
        <w:shd w:val="clear" w:color="auto" w:fill="FFFFFF"/>
        <w:rPr>
          <w:rFonts w:cs="宋体"/>
          <w:sz w:val="21"/>
          <w:szCs w:val="21"/>
        </w:rPr>
      </w:pPr>
    </w:p>
    <w:tbl>
      <w:tblPr>
        <w:tblStyle w:val="9"/>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cs="宋体"/>
                <w:b/>
                <w:color w:val="000000"/>
                <w:sz w:val="40"/>
                <w:szCs w:val="40"/>
              </w:rPr>
            </w:pPr>
            <w:r>
              <w:rPr>
                <w:rFonts w:hint="eastAsia" w:cs="宋体"/>
                <w:b/>
                <w:color w:val="000000"/>
                <w:sz w:val="44"/>
                <w:szCs w:val="44"/>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cs="宋体"/>
                <w:color w:val="000000"/>
              </w:rPr>
            </w:pPr>
            <w:r>
              <w:rPr>
                <w:rFonts w:hint="eastAsia" w:cs="宋体"/>
              </w:rPr>
              <w:t>公开部门：</w:t>
            </w:r>
            <w:r>
              <w:rPr>
                <w:rFonts w:cs="宋体"/>
              </w:rPr>
              <w:t>垫江县融媒体中心</w:t>
            </w:r>
          </w:p>
        </w:tc>
        <w:tc>
          <w:tcPr>
            <w:tcW w:w="4358" w:type="dxa"/>
            <w:tcBorders>
              <w:top w:val="nil"/>
              <w:left w:val="nil"/>
              <w:bottom w:val="nil"/>
              <w:right w:val="nil"/>
            </w:tcBorders>
            <w:tcMar>
              <w:top w:w="15" w:type="dxa"/>
              <w:left w:w="15" w:type="dxa"/>
              <w:right w:w="15" w:type="dxa"/>
            </w:tcMar>
            <w:vAlign w:val="bottom"/>
          </w:tcPr>
          <w:p>
            <w:pPr>
              <w:jc w:val="right"/>
              <w:rPr>
                <w:rFonts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单位：</w:t>
            </w:r>
            <w:r>
              <w:rPr>
                <w:rFonts w:hint="eastAsia"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2,635.64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3.37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2,482.71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147.20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40.63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80.16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2,635.64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2,754.07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123.42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4.99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2,759.06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cs="宋体"/>
                <w:color w:val="000000"/>
                <w:sz w:val="20"/>
                <w:szCs w:val="20"/>
              </w:rPr>
            </w:pPr>
            <w:r>
              <w:rPr>
                <w:rFonts w:hint="eastAsia" w:cs="宋体"/>
                <w:color w:val="000000"/>
                <w:sz w:val="21"/>
                <w:szCs w:val="21"/>
              </w:rPr>
              <w:t xml:space="preserve">2,759.06 </w:t>
            </w:r>
          </w:p>
        </w:tc>
      </w:tr>
    </w:tbl>
    <w:p>
      <w:pPr>
        <w:rPr>
          <w:rFonts w:cs="宋体"/>
          <w:sz w:val="21"/>
          <w:szCs w:val="21"/>
        </w:rPr>
      </w:pPr>
      <w:r>
        <w:rPr>
          <w:rFonts w:hint="eastAsia" w:cs="宋体"/>
          <w:sz w:val="21"/>
          <w:szCs w:val="21"/>
        </w:rPr>
        <w:t>备注：1.本表反映部门本年度的总收支和年末结转结余情况。</w:t>
      </w:r>
      <w:r>
        <w:rPr>
          <w:rFonts w:hint="eastAsia" w:cs="宋体"/>
          <w:sz w:val="21"/>
          <w:szCs w:val="21"/>
        </w:rPr>
        <w:br w:type="textWrapping"/>
      </w:r>
      <w:r>
        <w:rPr>
          <w:rFonts w:hint="eastAsia" w:cs="宋体"/>
          <w:sz w:val="21"/>
          <w:szCs w:val="21"/>
        </w:rPr>
        <w:t xml:space="preserve">      2.本套报表金额单位转换时可能存在尾数误差。</w:t>
      </w:r>
      <w:r>
        <w:rPr>
          <w:rFonts w:hint="eastAsia" w:cs="宋体"/>
          <w:sz w:val="21"/>
          <w:szCs w:val="21"/>
        </w:rPr>
        <w:br w:type="textWrapping"/>
      </w:r>
      <w:r>
        <w:rPr>
          <w:rFonts w:hint="eastAsia" w:cs="宋体"/>
          <w:sz w:val="21"/>
          <w:szCs w:val="21"/>
        </w:rPr>
        <w:br w:type="textWrapping"/>
      </w:r>
    </w:p>
    <w:p>
      <w:pPr>
        <w:rPr>
          <w:rFonts w:cs="宋体"/>
          <w:sz w:val="21"/>
          <w:szCs w:val="21"/>
        </w:rPr>
      </w:pPr>
      <w:r>
        <w:rPr>
          <w:rFonts w:hint="eastAsia" w:cs="宋体"/>
          <w:sz w:val="21"/>
          <w:szCs w:val="21"/>
        </w:rPr>
        <w:br w:type="page"/>
      </w:r>
    </w:p>
    <w:p>
      <w:pPr>
        <w:rPr>
          <w:rFonts w:cs="宋体"/>
          <w:sz w:val="21"/>
          <w:szCs w:val="21"/>
        </w:rPr>
      </w:pPr>
    </w:p>
    <w:tbl>
      <w:tblPr>
        <w:tblStyle w:val="9"/>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cs="宋体"/>
                <w:b/>
                <w:color w:val="000000"/>
                <w:sz w:val="40"/>
                <w:szCs w:val="40"/>
              </w:rPr>
            </w:pPr>
            <w:r>
              <w:rPr>
                <w:rFonts w:hint="eastAsia" w:cs="宋体"/>
                <w:b/>
                <w:color w:val="000000"/>
                <w:sz w:val="44"/>
                <w:szCs w:val="44"/>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r>
              <w:rPr>
                <w:rFonts w:hint="eastAsia" w:cs="宋体"/>
              </w:rPr>
              <w:t>公开部门：</w:t>
            </w:r>
            <w:r>
              <w:rPr>
                <w:rFonts w:cs="宋体"/>
              </w:rPr>
              <w:t>垫江县融媒体中心</w:t>
            </w:r>
          </w:p>
        </w:tc>
        <w:tc>
          <w:tcPr>
            <w:tcW w:w="241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top w:val="nil"/>
              <w:left w:val="nil"/>
              <w:bottom w:val="nil"/>
              <w:right w:val="nil"/>
            </w:tcBorders>
            <w:tcMar>
              <w:top w:w="15" w:type="dxa"/>
              <w:left w:w="15" w:type="dxa"/>
              <w:right w:w="15" w:type="dxa"/>
            </w:tcMar>
            <w:vAlign w:val="bottom"/>
          </w:tcPr>
          <w:p/>
        </w:tc>
        <w:tc>
          <w:tcPr>
            <w:tcW w:w="2412"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单位：</w:t>
            </w:r>
            <w:r>
              <w:rPr>
                <w:rFonts w:hint="eastAsia"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cs="宋体"/>
                <w:b/>
                <w:color w:val="000000"/>
                <w:sz w:val="22"/>
                <w:szCs w:val="22"/>
              </w:rPr>
            </w:pPr>
            <w:r>
              <w:rPr>
                <w:rFonts w:hint="eastAsia"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cs="宋体"/>
                <w:b/>
                <w:color w:val="000000"/>
                <w:sz w:val="22"/>
                <w:szCs w:val="22"/>
              </w:rPr>
            </w:pPr>
            <w:r>
              <w:rPr>
                <w:rFonts w:hint="eastAsia"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2,635.64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2,635.64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3.37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3.37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20508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3.37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3.37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2050803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3.37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3.37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2,364.28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2,364.28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20708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广播电视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1,664.28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1,664.28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2070807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传输发射</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10.00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10.00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2070808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广播电视事务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1,633.28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1,633.28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2070899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其他广播电视支出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21.00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21.00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20799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其他文化旅游体育与传媒支出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700.00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700.00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2079999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其他文化旅游体育与传媒支出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700.00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700.00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147.20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147.20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147.20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147.20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65.37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65.37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32.65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32.65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49.18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49.18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40.63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40.63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40.63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40.63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40.63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40.63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80.16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80.16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80.16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80.16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80.16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80.16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bl>
    <w:p>
      <w:pPr>
        <w:ind w:left="630" w:hanging="630" w:hangingChars="300"/>
        <w:rPr>
          <w:rFonts w:cs="宋体"/>
          <w:sz w:val="21"/>
          <w:szCs w:val="21"/>
        </w:rPr>
      </w:pPr>
      <w:r>
        <w:rPr>
          <w:rFonts w:hint="eastAsia" w:cs="宋体"/>
          <w:sz w:val="21"/>
          <w:szCs w:val="21"/>
        </w:rPr>
        <w:t>备注：1.本表反映部门本年度取得的各项收入情况。</w:t>
      </w:r>
      <w:r>
        <w:rPr>
          <w:rFonts w:hint="eastAsia" w:cs="宋体"/>
          <w:sz w:val="21"/>
          <w:szCs w:val="21"/>
        </w:rPr>
        <w:br w:type="textWrapping"/>
      </w:r>
      <w:r>
        <w:rPr>
          <w:rFonts w:hint="eastAsia" w:cs="宋体"/>
          <w:sz w:val="21"/>
          <w:szCs w:val="21"/>
        </w:rPr>
        <w:t>2.本套报表金额单位转换时可能存在尾数误差。</w:t>
      </w:r>
      <w:r>
        <w:rPr>
          <w:rFonts w:hint="eastAsia" w:cs="宋体"/>
          <w:sz w:val="21"/>
          <w:szCs w:val="21"/>
        </w:rPr>
        <w:br w:type="textWrapping"/>
      </w:r>
      <w:r>
        <w:rPr>
          <w:rFonts w:hint="eastAsia" w:cs="宋体"/>
          <w:sz w:val="21"/>
          <w:szCs w:val="21"/>
        </w:rPr>
        <w:br w:type="textWrapping"/>
      </w:r>
    </w:p>
    <w:p>
      <w:pPr>
        <w:rPr>
          <w:rFonts w:cs="宋体"/>
          <w:sz w:val="21"/>
          <w:szCs w:val="21"/>
        </w:rPr>
      </w:pPr>
      <w:r>
        <w:rPr>
          <w:rFonts w:hint="eastAsia" w:cs="宋体"/>
          <w:sz w:val="21"/>
          <w:szCs w:val="21"/>
        </w:rPr>
        <w:br w:type="page"/>
      </w:r>
    </w:p>
    <w:p>
      <w:pPr>
        <w:ind w:left="630" w:hanging="630" w:hangingChars="300"/>
        <w:rPr>
          <w:rFonts w:cs="宋体"/>
          <w:sz w:val="21"/>
          <w:szCs w:val="21"/>
        </w:rPr>
      </w:pPr>
    </w:p>
    <w:tbl>
      <w:tblPr>
        <w:tblStyle w:val="9"/>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cs="宋体"/>
                <w:b/>
                <w:color w:val="000000"/>
                <w:sz w:val="40"/>
                <w:szCs w:val="40"/>
              </w:rPr>
            </w:pPr>
            <w:r>
              <w:rPr>
                <w:rFonts w:hint="eastAsia" w:cs="宋体"/>
                <w:b/>
                <w:color w:val="000000"/>
                <w:sz w:val="44"/>
                <w:szCs w:val="44"/>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cs="宋体"/>
              </w:rPr>
              <w:t>公开部门</w:t>
            </w:r>
            <w:r>
              <w:rPr>
                <w:rFonts w:hint="eastAsia" w:cs="宋体"/>
                <w:color w:val="000000"/>
              </w:rPr>
              <w:t xml:space="preserve">： </w:t>
            </w:r>
            <w:r>
              <w:rPr>
                <w:color w:val="000000"/>
              </w:rPr>
              <w:t xml:space="preserve">垫江县融媒体中心 </w:t>
            </w:r>
          </w:p>
        </w:tc>
        <w:tc>
          <w:tcPr>
            <w:tcW w:w="276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top w:val="nil"/>
              <w:left w:val="nil"/>
              <w:bottom w:val="nil"/>
              <w:right w:val="nil"/>
            </w:tcBorders>
            <w:tcMar>
              <w:top w:w="15" w:type="dxa"/>
              <w:left w:w="15" w:type="dxa"/>
              <w:right w:w="15" w:type="dxa"/>
            </w:tcMar>
            <w:vAlign w:val="bottom"/>
          </w:tcPr>
          <w:p/>
        </w:tc>
        <w:tc>
          <w:tcPr>
            <w:tcW w:w="2760"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单位：</w:t>
            </w:r>
            <w:r>
              <w:rPr>
                <w:rFonts w:hint="eastAsia"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cs="宋体"/>
                <w:b/>
                <w:color w:val="000000"/>
                <w:sz w:val="22"/>
                <w:szCs w:val="22"/>
              </w:rPr>
            </w:pPr>
            <w:r>
              <w:rPr>
                <w:rFonts w:hint="eastAsia"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2,754.07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1,308.48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1,445.59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3.37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3.37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20508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3.37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3.37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2050803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3.37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3.37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2,482.71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1,037.11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1,445.59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20708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广播电视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1,782.71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1,037.11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745.59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2070807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传输发射</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10.00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10.00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2070808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广播电视事务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1,721.79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1,037.11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684.68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2070899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其他广播电视支出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50.92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50.92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20799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其他文化旅游体育与传媒支出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700.00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700.00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2079999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其他文化旅游体育与传媒支出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700.00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700.00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147.20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147.20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147.20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147.20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65.37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65.37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32.65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32.65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49.18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49.18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40.63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40.63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40.63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40.63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40.63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40.63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80.16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80.16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80.16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80.16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80.16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80.16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bl>
    <w:p>
      <w:pPr>
        <w:rPr>
          <w:rFonts w:cs="宋体"/>
          <w:sz w:val="21"/>
          <w:szCs w:val="21"/>
        </w:rPr>
      </w:pPr>
      <w:r>
        <w:rPr>
          <w:rFonts w:hint="eastAsia" w:cs="宋体"/>
          <w:sz w:val="21"/>
          <w:szCs w:val="21"/>
        </w:rPr>
        <w:t>备注：1.本表反映部门本年度各项支出情况。</w:t>
      </w:r>
      <w:r>
        <w:rPr>
          <w:rFonts w:hint="eastAsia" w:cs="宋体"/>
          <w:sz w:val="21"/>
          <w:szCs w:val="21"/>
        </w:rPr>
        <w:br w:type="textWrapping"/>
      </w:r>
      <w:r>
        <w:rPr>
          <w:rFonts w:hint="eastAsia" w:cs="宋体"/>
          <w:sz w:val="21"/>
          <w:szCs w:val="21"/>
        </w:rPr>
        <w:t xml:space="preserve">      2.本套报表金额单位转换时可能存在尾数误差。</w:t>
      </w:r>
      <w:r>
        <w:rPr>
          <w:rFonts w:hint="eastAsia" w:cs="宋体"/>
          <w:sz w:val="21"/>
          <w:szCs w:val="21"/>
        </w:rPr>
        <w:br w:type="textWrapping"/>
      </w:r>
      <w:r>
        <w:rPr>
          <w:rFonts w:hint="eastAsia" w:cs="宋体"/>
          <w:sz w:val="21"/>
          <w:szCs w:val="21"/>
        </w:rPr>
        <w:br w:type="textWrapping"/>
      </w:r>
    </w:p>
    <w:p>
      <w:pPr>
        <w:rPr>
          <w:rFonts w:cs="宋体"/>
          <w:sz w:val="21"/>
          <w:szCs w:val="21"/>
        </w:rPr>
      </w:pPr>
      <w:r>
        <w:rPr>
          <w:rFonts w:hint="eastAsia" w:cs="宋体"/>
          <w:sz w:val="21"/>
          <w:szCs w:val="21"/>
        </w:rPr>
        <w:br w:type="page"/>
      </w:r>
    </w:p>
    <w:p>
      <w:pPr>
        <w:rPr>
          <w:rFonts w:cs="宋体"/>
          <w:sz w:val="21"/>
          <w:szCs w:val="21"/>
        </w:rPr>
      </w:pPr>
    </w:p>
    <w:tbl>
      <w:tblPr>
        <w:tblStyle w:val="9"/>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cs="宋体"/>
                <w:b/>
                <w:color w:val="000000"/>
                <w:sz w:val="40"/>
                <w:szCs w:val="40"/>
              </w:rPr>
            </w:pPr>
            <w:r>
              <w:rPr>
                <w:rFonts w:hint="eastAsia" w:cs="宋体"/>
                <w:b/>
                <w:color w:val="000000"/>
                <w:sz w:val="44"/>
                <w:szCs w:val="44"/>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r>
              <w:rPr>
                <w:rFonts w:hint="eastAsia" w:cs="宋体"/>
              </w:rPr>
              <w:t>公开部门</w:t>
            </w:r>
            <w:r>
              <w:rPr>
                <w:rFonts w:hint="eastAsia" w:cs="宋体"/>
                <w:color w:val="000000"/>
              </w:rPr>
              <w:t xml:space="preserve">： </w:t>
            </w:r>
            <w:r>
              <w:rPr>
                <w:color w:val="000000"/>
              </w:rPr>
              <w:t>垫江县融媒体中心</w:t>
            </w:r>
          </w:p>
        </w:tc>
        <w:tc>
          <w:tcPr>
            <w:tcW w:w="375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top w:val="nil"/>
              <w:left w:val="nil"/>
              <w:bottom w:val="nil"/>
              <w:right w:val="nil"/>
            </w:tcBorders>
            <w:tcMar>
              <w:top w:w="15" w:type="dxa"/>
              <w:left w:w="15" w:type="dxa"/>
              <w:right w:w="15" w:type="dxa"/>
            </w:tcMar>
            <w:vAlign w:val="bottom"/>
          </w:tcPr>
          <w:p/>
        </w:tc>
        <w:tc>
          <w:tcPr>
            <w:tcW w:w="3752"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单位：</w:t>
            </w:r>
            <w:r>
              <w:rPr>
                <w:rFonts w:hint="eastAsia"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2,635.64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3.37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3.37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2,482.71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2,482.71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147.20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147.20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40.63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40.63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80.16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80.16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2,635.64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2,754.07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2,754.07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123.42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4.99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4.99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123.42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2,759.06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0"/>
                <w:szCs w:val="20"/>
              </w:rPr>
            </w:pPr>
            <w:r>
              <w:rPr>
                <w:rFonts w:hint="eastAsia" w:cs="宋体"/>
                <w:color w:val="000000"/>
                <w:sz w:val="21"/>
                <w:szCs w:val="21"/>
              </w:rPr>
              <w:t xml:space="preserve">2,759.06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0"/>
                <w:szCs w:val="20"/>
              </w:rPr>
            </w:pPr>
            <w:r>
              <w:rPr>
                <w:rFonts w:hint="eastAsia" w:cs="宋体"/>
                <w:color w:val="000000"/>
                <w:sz w:val="21"/>
                <w:szCs w:val="21"/>
              </w:rPr>
              <w:t xml:space="preserve">2,759.06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0"/>
                <w:szCs w:val="20"/>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bl>
    <w:p>
      <w:pPr>
        <w:rPr>
          <w:rFonts w:cs="宋体"/>
          <w:sz w:val="21"/>
          <w:szCs w:val="21"/>
        </w:rPr>
      </w:pPr>
      <w:r>
        <w:rPr>
          <w:rFonts w:hint="eastAsia" w:cs="宋体"/>
          <w:sz w:val="21"/>
          <w:szCs w:val="21"/>
        </w:rPr>
        <w:t>备注：1.本表反映部门本年度一般公共预算财政拨款、政府性基金预算财政拨款及国有资本经营预算财政拨款的总收支和年末结转结余情况。</w:t>
      </w:r>
      <w:r>
        <w:rPr>
          <w:rFonts w:hint="eastAsia" w:cs="宋体"/>
          <w:sz w:val="21"/>
          <w:szCs w:val="21"/>
        </w:rPr>
        <w:br w:type="textWrapping"/>
      </w:r>
      <w:r>
        <w:rPr>
          <w:rFonts w:hint="eastAsia" w:cs="宋体"/>
          <w:sz w:val="21"/>
          <w:szCs w:val="21"/>
        </w:rPr>
        <w:t xml:space="preserve">      2.本套报表金额单位转换时可能存在尾数误差。</w:t>
      </w:r>
      <w:r>
        <w:rPr>
          <w:rFonts w:hint="eastAsia" w:cs="宋体"/>
          <w:sz w:val="21"/>
          <w:szCs w:val="21"/>
        </w:rPr>
        <w:br w:type="textWrapping"/>
      </w:r>
      <w:r>
        <w:rPr>
          <w:rFonts w:hint="eastAsia" w:cs="宋体"/>
          <w:sz w:val="21"/>
          <w:szCs w:val="21"/>
        </w:rPr>
        <w:br w:type="textWrapping"/>
      </w:r>
    </w:p>
    <w:p>
      <w:pPr>
        <w:rPr>
          <w:rFonts w:cs="宋体"/>
          <w:sz w:val="21"/>
          <w:szCs w:val="21"/>
        </w:rPr>
      </w:pPr>
      <w:r>
        <w:rPr>
          <w:rFonts w:hint="eastAsia" w:cs="宋体"/>
          <w:sz w:val="21"/>
          <w:szCs w:val="21"/>
        </w:rPr>
        <w:br w:type="page"/>
      </w:r>
    </w:p>
    <w:tbl>
      <w:tblPr>
        <w:tblStyle w:val="9"/>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cs="宋体"/>
                <w:b/>
                <w:color w:val="000000"/>
                <w:sz w:val="40"/>
                <w:szCs w:val="40"/>
              </w:rPr>
            </w:pPr>
            <w:r>
              <w:rPr>
                <w:rFonts w:hint="eastAsia" w:cs="宋体"/>
                <w:b/>
                <w:color w:val="000000"/>
                <w:sz w:val="44"/>
                <w:szCs w:val="44"/>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cs="宋体"/>
              </w:rPr>
              <w:t>公开部门</w:t>
            </w:r>
            <w:r>
              <w:rPr>
                <w:rFonts w:hint="eastAsia" w:cs="宋体"/>
                <w:color w:val="000000"/>
              </w:rPr>
              <w:t xml:space="preserve">： </w:t>
            </w:r>
            <w:r>
              <w:rPr>
                <w:color w:val="000000"/>
              </w:rPr>
              <w:t>垫江县融媒体中心</w:t>
            </w:r>
          </w:p>
        </w:tc>
        <w:tc>
          <w:tcPr>
            <w:tcW w:w="481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top w:val="nil"/>
              <w:left w:val="nil"/>
              <w:bottom w:val="nil"/>
              <w:right w:val="nil"/>
            </w:tcBorders>
            <w:tcMar>
              <w:top w:w="15" w:type="dxa"/>
              <w:left w:w="15" w:type="dxa"/>
              <w:right w:w="15" w:type="dxa"/>
            </w:tcMar>
            <w:vAlign w:val="bottom"/>
          </w:tcPr>
          <w:p/>
        </w:tc>
        <w:tc>
          <w:tcPr>
            <w:tcW w:w="4817"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单位：</w:t>
            </w:r>
            <w:r>
              <w:rPr>
                <w:rFonts w:hint="eastAsia"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2,754.07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1,308.48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1,445.59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教育支出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3.37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3.37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20508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进修及培训</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3.37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3.37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2050803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培训支出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3.37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3.37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文化旅游体育与传媒支出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2,482.71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1,037.11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1,445.59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20708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广播电视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1,782.71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1,037.11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745.59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2070807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传输发射</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10.00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2070808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广播电视事务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1,721.79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1,037.11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684.68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2070899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其他广播电视支出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50.92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50.92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20799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其他文化旅游体育与传媒支出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700.00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700.00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2079999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其他文化旅游体育与传媒支出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700.00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700.00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147.20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147.20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147.20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147.20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65.37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65.37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32.65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32.65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49.18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49.18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40.63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40.63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40.63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40.63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40.63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40.63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80.16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80.16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80.16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80.16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80.16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80.16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bl>
    <w:p>
      <w:pPr>
        <w:rPr>
          <w:rFonts w:cs="宋体"/>
          <w:sz w:val="21"/>
          <w:szCs w:val="21"/>
        </w:rPr>
      </w:pPr>
      <w:r>
        <w:rPr>
          <w:rFonts w:hint="eastAsia" w:cs="宋体"/>
          <w:sz w:val="21"/>
          <w:szCs w:val="21"/>
        </w:rPr>
        <w:t>备注：1.本表反映部门本年度一般公共预算财政拨款支出情况。</w:t>
      </w:r>
      <w:r>
        <w:rPr>
          <w:rFonts w:hint="eastAsia" w:cs="宋体"/>
          <w:sz w:val="21"/>
          <w:szCs w:val="21"/>
        </w:rPr>
        <w:br w:type="textWrapping"/>
      </w:r>
      <w:r>
        <w:rPr>
          <w:rFonts w:hint="eastAsia" w:cs="宋体"/>
          <w:sz w:val="21"/>
          <w:szCs w:val="21"/>
        </w:rPr>
        <w:t xml:space="preserve">      2.本套报表金额单位转换时可能存在尾数误差。</w:t>
      </w:r>
      <w:r>
        <w:rPr>
          <w:rFonts w:hint="eastAsia" w:cs="宋体"/>
          <w:sz w:val="21"/>
          <w:szCs w:val="21"/>
        </w:rPr>
        <w:br w:type="textWrapping"/>
      </w:r>
      <w:r>
        <w:rPr>
          <w:rFonts w:hint="eastAsia" w:cs="宋体"/>
          <w:sz w:val="21"/>
          <w:szCs w:val="21"/>
        </w:rPr>
        <w:br w:type="textWrapping"/>
      </w:r>
    </w:p>
    <w:p>
      <w:pPr>
        <w:ind w:firstLine="630" w:firstLineChars="300"/>
        <w:rPr>
          <w:rFonts w:cs="宋体"/>
          <w:sz w:val="21"/>
          <w:szCs w:val="21"/>
        </w:rPr>
      </w:pPr>
      <w:r>
        <w:rPr>
          <w:rFonts w:hint="eastAsia" w:cs="宋体"/>
          <w:sz w:val="21"/>
          <w:szCs w:val="21"/>
        </w:rPr>
        <w:br w:type="page"/>
      </w:r>
    </w:p>
    <w:tbl>
      <w:tblPr>
        <w:tblStyle w:val="9"/>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cs="宋体"/>
                <w:b/>
                <w:color w:val="000000"/>
                <w:sz w:val="40"/>
                <w:szCs w:val="40"/>
              </w:rPr>
            </w:pPr>
            <w:r>
              <w:rPr>
                <w:rFonts w:hint="eastAsia" w:cs="宋体"/>
                <w:b/>
                <w:color w:val="000000"/>
                <w:sz w:val="44"/>
                <w:szCs w:val="44"/>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r>
              <w:rPr>
                <w:rFonts w:hint="eastAsia" w:cs="宋体"/>
              </w:rPr>
              <w:t>公开部门</w:t>
            </w:r>
            <w:r>
              <w:rPr>
                <w:rFonts w:hint="eastAsia" w:cs="宋体"/>
                <w:color w:val="000000"/>
              </w:rPr>
              <w:t xml:space="preserve">： </w:t>
            </w:r>
            <w:r>
              <w:rPr>
                <w:color w:val="000000"/>
              </w:rPr>
              <w:t>垫江县融媒体中心</w:t>
            </w:r>
          </w:p>
        </w:tc>
        <w:tc>
          <w:tcPr>
            <w:tcW w:w="282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top w:val="nil"/>
              <w:left w:val="nil"/>
              <w:bottom w:val="nil"/>
              <w:right w:val="nil"/>
            </w:tcBorders>
            <w:tcMar>
              <w:top w:w="15" w:type="dxa"/>
              <w:left w:w="15" w:type="dxa"/>
              <w:right w:w="15" w:type="dxa"/>
            </w:tcMar>
            <w:vAlign w:val="bottom"/>
          </w:tcPr>
          <w:p/>
        </w:tc>
        <w:tc>
          <w:tcPr>
            <w:tcW w:w="2829"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单位：</w:t>
            </w:r>
            <w:r>
              <w:rPr>
                <w:rFonts w:hint="eastAsia"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1,063.12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191.51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4.67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231.42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9.53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8.52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0.11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4.67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586.35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0.09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65.37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0.77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32.65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14.16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40.63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2.84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65.18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80.16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7.78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4.90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7.39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49.18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2.33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1.27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41.90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5.87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3.20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29.82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4.09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1.39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6.04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0.14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49.92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1,112.30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196.18 </w:t>
            </w:r>
          </w:p>
        </w:tc>
      </w:tr>
    </w:tbl>
    <w:p>
      <w:pPr>
        <w:rPr>
          <w:rFonts w:cs="宋体"/>
          <w:sz w:val="21"/>
          <w:szCs w:val="21"/>
        </w:rPr>
      </w:pPr>
      <w:r>
        <w:rPr>
          <w:rFonts w:hint="eastAsia" w:cs="宋体"/>
          <w:sz w:val="21"/>
          <w:szCs w:val="21"/>
        </w:rPr>
        <w:t>备注：1.本表反映部门本年度一般公共预算财政拨款基本支出明细情况。</w:t>
      </w:r>
      <w:r>
        <w:rPr>
          <w:rFonts w:hint="eastAsia" w:cs="宋体"/>
          <w:sz w:val="21"/>
          <w:szCs w:val="21"/>
        </w:rPr>
        <w:br w:type="textWrapping"/>
      </w:r>
      <w:r>
        <w:rPr>
          <w:rFonts w:hint="eastAsia" w:cs="宋体"/>
          <w:sz w:val="21"/>
          <w:szCs w:val="21"/>
        </w:rPr>
        <w:t xml:space="preserve">      2.本套报表金额单位转换时可能存在尾数误差。</w:t>
      </w:r>
      <w:r>
        <w:rPr>
          <w:rFonts w:hint="eastAsia" w:cs="宋体"/>
          <w:sz w:val="21"/>
          <w:szCs w:val="21"/>
        </w:rPr>
        <w:br w:type="textWrapping"/>
      </w:r>
      <w:r>
        <w:rPr>
          <w:rFonts w:hint="eastAsia" w:cs="宋体"/>
          <w:sz w:val="21"/>
          <w:szCs w:val="21"/>
        </w:rPr>
        <w:br w:type="textWrapping"/>
      </w:r>
    </w:p>
    <w:p>
      <w:pPr>
        <w:rPr>
          <w:rFonts w:cs="宋体"/>
          <w:sz w:val="21"/>
          <w:szCs w:val="21"/>
        </w:rPr>
      </w:pPr>
      <w:r>
        <w:rPr>
          <w:rFonts w:hint="eastAsia" w:cs="宋体"/>
          <w:sz w:val="21"/>
          <w:szCs w:val="21"/>
        </w:rPr>
        <w:br w:type="page"/>
      </w:r>
    </w:p>
    <w:tbl>
      <w:tblPr>
        <w:tblStyle w:val="9"/>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cs="宋体"/>
                <w:b/>
                <w:color w:val="000000"/>
                <w:sz w:val="40"/>
                <w:szCs w:val="40"/>
              </w:rPr>
            </w:pPr>
            <w:r>
              <w:rPr>
                <w:rFonts w:hint="eastAsia" w:cs="宋体"/>
                <w:b/>
                <w:color w:val="000000"/>
                <w:sz w:val="44"/>
                <w:szCs w:val="44"/>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cs="宋体"/>
              </w:rPr>
              <w:t>公开部门</w:t>
            </w:r>
            <w:r>
              <w:rPr>
                <w:rFonts w:hint="eastAsia" w:cs="宋体"/>
                <w:color w:val="000000"/>
              </w:rPr>
              <w:t xml:space="preserve">： </w:t>
            </w:r>
            <w:r>
              <w:rPr>
                <w:color w:val="000000"/>
              </w:rPr>
              <w:t>垫江县融媒体中心</w:t>
            </w:r>
          </w:p>
        </w:tc>
        <w:tc>
          <w:tcPr>
            <w:tcW w:w="247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top w:val="nil"/>
              <w:left w:val="nil"/>
              <w:bottom w:val="nil"/>
              <w:right w:val="nil"/>
            </w:tcBorders>
            <w:tcMar>
              <w:top w:w="15" w:type="dxa"/>
              <w:left w:w="15" w:type="dxa"/>
              <w:right w:w="15" w:type="dxa"/>
            </w:tcMar>
            <w:vAlign w:val="bottom"/>
          </w:tcPr>
          <w:p/>
        </w:tc>
        <w:tc>
          <w:tcPr>
            <w:tcW w:w="2473"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单位：</w:t>
            </w:r>
            <w:r>
              <w:rPr>
                <w:rFonts w:hint="eastAsia"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r>
    </w:tbl>
    <w:p>
      <w:pPr>
        <w:rPr>
          <w:rFonts w:cs="宋体"/>
          <w:sz w:val="21"/>
          <w:szCs w:val="21"/>
        </w:rPr>
      </w:pPr>
      <w:r>
        <w:rPr>
          <w:rFonts w:hint="eastAsia" w:cs="宋体"/>
          <w:sz w:val="21"/>
          <w:szCs w:val="21"/>
        </w:rPr>
        <w:t>备注：本表反映部门本年度政府性基金预算财政拨款收入支出及结转和结余情况。本部门无政府性基金收支，故本表无数据。</w:t>
      </w:r>
      <w:r>
        <w:rPr>
          <w:rFonts w:hint="eastAsia" w:cs="宋体"/>
          <w:sz w:val="21"/>
          <w:szCs w:val="21"/>
        </w:rPr>
        <w:br w:type="textWrapping"/>
      </w:r>
      <w:r>
        <w:rPr>
          <w:rFonts w:hint="eastAsia" w:cs="宋体"/>
          <w:sz w:val="21"/>
          <w:szCs w:val="21"/>
        </w:rPr>
        <w:br w:type="textWrapping"/>
      </w:r>
    </w:p>
    <w:p>
      <w:pPr>
        <w:rPr>
          <w:rFonts w:cs="宋体"/>
          <w:sz w:val="21"/>
          <w:szCs w:val="21"/>
        </w:rPr>
      </w:pPr>
      <w:r>
        <w:rPr>
          <w:rFonts w:hint="eastAsia" w:cs="宋体"/>
          <w:sz w:val="21"/>
          <w:szCs w:val="21"/>
        </w:rPr>
        <w:br w:type="page"/>
      </w:r>
    </w:p>
    <w:tbl>
      <w:tblPr>
        <w:tblStyle w:val="9"/>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cs="宋体"/>
                <w:b/>
                <w:color w:val="000000"/>
                <w:sz w:val="40"/>
                <w:szCs w:val="40"/>
              </w:rPr>
            </w:pPr>
            <w:r>
              <w:rPr>
                <w:rFonts w:hint="eastAsia" w:cs="宋体"/>
                <w:b/>
                <w:color w:val="000000"/>
                <w:sz w:val="44"/>
                <w:szCs w:val="44"/>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cs="宋体"/>
              </w:rPr>
              <w:t>公开部门</w:t>
            </w:r>
            <w:r>
              <w:rPr>
                <w:rFonts w:hint="eastAsia" w:cs="宋体"/>
                <w:color w:val="000000"/>
              </w:rPr>
              <w:t xml:space="preserve">： </w:t>
            </w:r>
            <w:r>
              <w:rPr>
                <w:color w:val="000000"/>
              </w:rPr>
              <w:t>垫江县融媒体中心</w:t>
            </w:r>
          </w:p>
        </w:tc>
        <w:tc>
          <w:tcPr>
            <w:tcW w:w="473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top w:val="nil"/>
              <w:left w:val="nil"/>
              <w:bottom w:val="nil"/>
              <w:right w:val="nil"/>
            </w:tcBorders>
            <w:tcMar>
              <w:top w:w="15" w:type="dxa"/>
              <w:left w:w="15" w:type="dxa"/>
              <w:right w:w="15" w:type="dxa"/>
            </w:tcMar>
            <w:vAlign w:val="bottom"/>
          </w:tcPr>
          <w:p/>
        </w:tc>
        <w:tc>
          <w:tcPr>
            <w:tcW w:w="4736"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单位：</w:t>
            </w:r>
            <w:r>
              <w:rPr>
                <w:rFonts w:hint="eastAsia"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cs="宋体"/>
                <w:b/>
                <w:color w:val="000000"/>
                <w:sz w:val="22"/>
                <w:szCs w:val="22"/>
              </w:rPr>
            </w:pPr>
            <w:r>
              <w:rPr>
                <w:rFonts w:hint="eastAsia"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cs="宋体"/>
                <w:b/>
                <w:color w:val="000000"/>
                <w:sz w:val="22"/>
                <w:szCs w:val="22"/>
              </w:rPr>
            </w:pPr>
            <w:r>
              <w:rPr>
                <w:rFonts w:hint="eastAsia" w:cs="宋体"/>
                <w:b/>
                <w:color w:val="000000"/>
                <w:sz w:val="22"/>
                <w:szCs w:val="22"/>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r>
    </w:tbl>
    <w:p>
      <w:pPr>
        <w:rPr>
          <w:rFonts w:cs="宋体"/>
          <w:sz w:val="21"/>
          <w:szCs w:val="21"/>
        </w:rPr>
      </w:pPr>
      <w:r>
        <w:rPr>
          <w:rFonts w:hint="eastAsia" w:cs="宋体"/>
          <w:sz w:val="21"/>
          <w:szCs w:val="21"/>
        </w:rPr>
        <w:t>备注：本表反映部门本年度国有资本经营预算财政拨款支出情况。本部门无国有资本经营收支，故本表无数据。</w:t>
      </w:r>
      <w:r>
        <w:rPr>
          <w:rFonts w:hint="eastAsia" w:cs="宋体"/>
          <w:sz w:val="21"/>
          <w:szCs w:val="21"/>
        </w:rPr>
        <w:br w:type="textWrapping"/>
      </w:r>
      <w:r>
        <w:rPr>
          <w:rFonts w:hint="eastAsia" w:cs="宋体"/>
          <w:sz w:val="21"/>
          <w:szCs w:val="21"/>
        </w:rPr>
        <w:br w:type="textWrapping"/>
      </w:r>
    </w:p>
    <w:p>
      <w:pPr>
        <w:rPr>
          <w:rFonts w:cs="宋体"/>
          <w:sz w:val="21"/>
          <w:szCs w:val="21"/>
        </w:rPr>
      </w:pPr>
      <w:r>
        <w:rPr>
          <w:rFonts w:hint="eastAsia" w:cs="宋体"/>
          <w:sz w:val="21"/>
          <w:szCs w:val="21"/>
        </w:rPr>
        <w:br w:type="page"/>
      </w:r>
    </w:p>
    <w:tbl>
      <w:tblPr>
        <w:tblStyle w:val="9"/>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cs="宋体"/>
                <w:b/>
                <w:color w:val="000000"/>
                <w:sz w:val="40"/>
                <w:szCs w:val="40"/>
              </w:rPr>
            </w:pPr>
            <w:r>
              <w:rPr>
                <w:rFonts w:hint="eastAsia" w:cs="宋体"/>
                <w:b/>
                <w:color w:val="000000"/>
                <w:sz w:val="44"/>
                <w:szCs w:val="44"/>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ascii="Arial" w:hAnsi="Arial" w:cs="Arial"/>
                <w:color w:val="000000"/>
                <w:sz w:val="22"/>
                <w:szCs w:val="22"/>
              </w:rPr>
            </w:pPr>
            <w:r>
              <w:rPr>
                <w:rFonts w:hint="eastAsia" w:cs="宋体"/>
              </w:rPr>
              <w:t>公开部门</w:t>
            </w:r>
            <w:r>
              <w:rPr>
                <w:rFonts w:hint="eastAsia" w:cs="宋体"/>
                <w:color w:val="000000"/>
              </w:rPr>
              <w:t xml:space="preserve">： </w:t>
            </w:r>
            <w:r>
              <w:rPr>
                <w:color w:val="000000"/>
              </w:rPr>
              <w:t>垫江县融媒体中心</w:t>
            </w:r>
          </w:p>
        </w:tc>
        <w:tc>
          <w:tcPr>
            <w:tcW w:w="3822" w:type="dxa"/>
            <w:tcBorders>
              <w:top w:val="nil"/>
              <w:left w:val="nil"/>
              <w:bottom w:val="nil"/>
              <w:right w:val="nil"/>
            </w:tcBorders>
            <w:tcMar>
              <w:top w:w="15" w:type="dxa"/>
              <w:left w:w="15" w:type="dxa"/>
              <w:right w:w="15" w:type="dxa"/>
            </w:tcMar>
            <w:vAlign w:val="bottom"/>
          </w:tcPr>
          <w:p>
            <w:pPr>
              <w:jc w:val="center"/>
              <w:rPr>
                <w:rFonts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单位：</w:t>
            </w:r>
            <w:r>
              <w:rPr>
                <w:rFonts w:hint="eastAsia"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7.31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7.31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6.04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6.04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3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6.04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6.04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1.27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1.27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1.27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3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28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329.02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15.00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181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314.02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309.02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132.52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2.33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ascii="Arial" w:hAnsi="Arial" w:cs="Arial"/>
                <w:color w:val="000000"/>
                <w:sz w:val="20"/>
                <w:szCs w:val="20"/>
              </w:rPr>
            </w:pPr>
          </w:p>
        </w:tc>
      </w:tr>
    </w:tbl>
    <w:p>
      <w:pPr>
        <w:rPr>
          <w:rFonts w:cs="宋体"/>
          <w:sz w:val="21"/>
          <w:szCs w:val="21"/>
        </w:rPr>
      </w:pPr>
      <w:r>
        <w:rPr>
          <w:rFonts w:hint="eastAsia" w:cs="宋体"/>
          <w:sz w:val="21"/>
          <w:szCs w:val="21"/>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eastAsia" w:cs="宋体"/>
          <w:sz w:val="21"/>
          <w:szCs w:val="21"/>
        </w:rPr>
        <w:br w:type="textWrapping"/>
      </w:r>
      <w:r>
        <w:rPr>
          <w:rFonts w:hint="eastAsia" w:cs="宋体"/>
          <w:sz w:val="21"/>
          <w:szCs w:val="21"/>
        </w:rPr>
        <w:t xml:space="preserve">      2.本套报表金额单位转换时可能存在尾数误差。</w:t>
      </w:r>
      <w:r>
        <w:rPr>
          <w:rFonts w:hint="eastAsia" w:cs="宋体"/>
          <w:sz w:val="21"/>
          <w:szCs w:val="21"/>
        </w:rPr>
        <w:br w:type="textWrapping"/>
      </w:r>
      <w:r>
        <w:rPr>
          <w:rFonts w:hint="eastAsia" w:cs="宋体"/>
          <w:sz w:val="21"/>
          <w:szCs w:val="21"/>
        </w:rPr>
        <w:br w:type="textWrapping"/>
      </w:r>
    </w:p>
    <w:p>
      <w:pPr>
        <w:rPr>
          <w:rFonts w:cs="宋体"/>
          <w:color w:val="000000"/>
          <w:sz w:val="21"/>
          <w:szCs w:val="21"/>
        </w:rPr>
      </w:pPr>
    </w:p>
    <w:p>
      <w:pPr>
        <w:rPr>
          <w:rFonts w:cs="宋体"/>
          <w:color w:val="000000"/>
          <w:sz w:val="21"/>
          <w:szCs w:val="21"/>
        </w:rPr>
      </w:pPr>
    </w:p>
    <w:p>
      <w:pPr>
        <w:rPr>
          <w:rFonts w:cs="宋体"/>
          <w:color w:val="000000"/>
          <w:sz w:val="21"/>
          <w:szCs w:val="21"/>
        </w:rPr>
      </w:pPr>
    </w:p>
    <w:p>
      <w:pPr>
        <w:rPr>
          <w:rFonts w:cs="宋体"/>
          <w:color w:val="000000"/>
          <w:sz w:val="21"/>
          <w:szCs w:val="21"/>
        </w:rPr>
      </w:pPr>
    </w:p>
    <w:p>
      <w:pPr>
        <w:rPr>
          <w:rFonts w:cs="宋体"/>
          <w:color w:val="000000"/>
          <w:sz w:val="21"/>
          <w:szCs w:val="21"/>
        </w:rPr>
      </w:pPr>
    </w:p>
    <w:p>
      <w:pPr>
        <w:rPr>
          <w:rFonts w:cs="宋体"/>
          <w:color w:val="000000"/>
          <w:sz w:val="21"/>
          <w:szCs w:val="21"/>
        </w:rPr>
      </w:pPr>
    </w:p>
    <w:p>
      <w:pPr>
        <w:rPr>
          <w:rFonts w:cs="宋体"/>
          <w:color w:val="000000"/>
          <w:sz w:val="21"/>
          <w:szCs w:val="21"/>
        </w:rPr>
      </w:pPr>
    </w:p>
    <w:p>
      <w:pPr>
        <w:rPr>
          <w:rFonts w:cs="宋体"/>
          <w:color w:val="000000"/>
          <w:sz w:val="21"/>
          <w:szCs w:val="21"/>
        </w:rPr>
      </w:pPr>
    </w:p>
    <w:p>
      <w:pPr>
        <w:rPr>
          <w:rFonts w:cs="宋体"/>
          <w:color w:val="000000"/>
          <w:sz w:val="21"/>
          <w:szCs w:val="21"/>
        </w:rPr>
      </w:pPr>
    </w:p>
    <w:p>
      <w:pPr>
        <w:pStyle w:val="12"/>
        <w:autoSpaceDE w:val="0"/>
        <w:ind w:firstLine="0" w:firstLineChars="0"/>
        <w:rPr>
          <w:rFonts w:cs="宋体"/>
          <w:sz w:val="21"/>
          <w:szCs w:val="21"/>
        </w:rPr>
      </w:pP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泉驿正黑">
    <w:altName w:val="宋体"/>
    <w:panose1 w:val="00000000000000000000"/>
    <w:charset w:val="86"/>
    <w:family w:val="script"/>
    <w:pitch w:val="default"/>
    <w:sig w:usb0="00000000" w:usb1="00000000" w:usb2="00000036" w:usb3="00000000" w:csb0="603E000D" w:csb1="D2D7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rPr>
      <mc:AlternateContent>
        <mc:Choice Requires="wps">
          <w:drawing>
            <wp:anchor distT="0" distB="0" distL="113665" distR="113665" simplePos="0" relativeHeight="251659264" behindDoc="0" locked="0" layoutInCell="1" allowOverlap="0">
              <wp:simplePos x="0" y="0"/>
              <wp:positionH relativeFrom="margin">
                <wp:align>center</wp:align>
              </wp:positionH>
              <wp:positionV relativeFrom="paragraph">
                <wp:posOffset>0</wp:posOffset>
              </wp:positionV>
              <wp:extent cx="1828800" cy="1828800"/>
              <wp:effectExtent l="0" t="0" r="0" b="0"/>
              <wp:wrapNone/>
              <wp:docPr id="1" name="文本框 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w="9525" cap="flat" cmpd="sng">
                        <a:noFill/>
                        <a:prstDash val="solid"/>
                        <a:round/>
                      </a:ln>
                    </wps:spPr>
                    <wps:bodyPr vert="horz" wrap="square" lIns="91440" tIns="45720" rIns="91440" bIns="45720" anchor="t" anchorCtr="0" upright="1">
                      <a:noAutofit/>
                    </wps:bodyPr>
                  </wps:wsp>
                </a:graphicData>
              </a:graphic>
            </wp:anchor>
          </w:drawing>
        </mc:Choice>
        <mc:Fallback>
          <w:pict>
            <v:rect id="文本框 127" o:spid="_x0000_s1026" o:spt="1" style="position:absolute;left:0pt;margin-top:0pt;height:144pt;width:144pt;mso-position-horizontal:center;mso-position-horizontal-relative:margin;z-index:251659264;mso-width-relative:page;mso-height-relative:page;" filled="f" stroked="f" coordsize="21600,21600" o:allowoverlap="f"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MbPBNMAAAAFAQAADwAAAAAAAAABACAAAAAiAAAAZHJzL2Rvd25yZXYu&#10;eG1sUEsBAhQAFAAAAAgAh07iQM5jqNAAAgAA3QMAAA4AAAAAAAAAAQAgAAAAIgEAAGRycy9lMm9E&#10;b2MueG1sUEsFBgAAAAAGAAYAWQEAAJQFAAAAAA==&#10;">
              <v:fill on="f" focussize="0,0"/>
              <v:stroke on="f" joinstyle="round"/>
              <v:imagedata o:title=""/>
              <o:lock v:ext="edit" aspectratio="t"/>
            </v:rect>
          </w:pict>
        </mc:Fallback>
      </mc:AlternateContent>
    </w:r>
    <w:r>
      <w:rPr>
        <w:rFonts w:hint="eastAsia"/>
      </w:rPr>
      <mc:AlternateContent>
        <mc:Choice Requires="wps">
          <w:drawing>
            <wp:anchor distT="0" distB="0" distL="113665" distR="113665"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3" name="文本框 1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220979"/>
                      </a:xfrm>
                      <a:prstGeom prst="rect">
                        <a:avLst/>
                      </a:prstGeom>
                      <a:noFill/>
                      <a:ln w="9525" cap="flat" cmpd="sng">
                        <a:noFill/>
                        <a:prstDash val="solid"/>
                        <a:round/>
                      </a:ln>
                    </wps:spPr>
                    <wps:bodyPr vert="horz" wrap="square" lIns="91440" tIns="45720" rIns="91440" bIns="45720" anchor="t" anchorCtr="0" upright="1">
                      <a:noAutofit/>
                    </wps:bodyPr>
                  </wps:wsp>
                </a:graphicData>
              </a:graphic>
            </wp:anchor>
          </w:drawing>
        </mc:Choice>
        <mc:Fallback>
          <w:pict>
            <v:rect id="文本框 126" o:spid="_x0000_s1026" o:spt="1" style="position:absolute;left:0pt;margin-top:1160.4pt;height:17.4pt;width:144pt;mso-position-horizontal:center;mso-position-horizontal-relative:margin;mso-position-vertical-relative:page;z-index:251660288;mso-width-relative:page;mso-height-relative:page;" filled="f" stroked="f" coordsize="21600,21600" o:allowoverlap="f" o:gfxdata="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KLZntkAAAAKAQAADwAAAAAAAAABACAAAAAiAAAA&#10;ZHJzL2Rvd25yZXYueG1sUEsBAhQAFAAAAAgAh07iQD+XKZsGAgAA3AMAAA4AAAAAAAAAAQAgAAAA&#10;KAEAAGRycy9lMm9Eb2MueG1sUEsFBgAAAAAGAAYAWQEAAKAFAAAAAA==&#10;">
              <v:fill on="f" focussize="0,0"/>
              <v:stroke on="f" joinstyle="round"/>
              <v:imagedata o:title=""/>
              <o:lock v:ext="edit" aspectratio="t"/>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cumentProtection w:edit="readOnly" w:enforcement="0"/>
  <w:defaultTabStop w:val="420"/>
  <w:drawingGridHorizontalSpacing w:val="0"/>
  <w:drawingGridVerticalSpacing w:val="156"/>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2"/>
  </w:compat>
  <w:docVars>
    <w:docVar w:name="commondata" w:val="eyJoZGlkIjoiZjBlNGIwNWE1NWQ3NzA5ZGM2ZGJmZjY2OWM2YWEzMWEifQ=="/>
  </w:docVars>
  <w:rsids>
    <w:rsidRoot w:val="001F6DE2"/>
    <w:rsid w:val="001F6DE2"/>
    <w:rsid w:val="00256F88"/>
    <w:rsid w:val="002D387E"/>
    <w:rsid w:val="10D63235"/>
    <w:rsid w:val="3226516E"/>
    <w:rsid w:val="4C1862FA"/>
    <w:rsid w:val="5973143A"/>
    <w:rsid w:val="61FC7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Times New Roman" w:eastAsia="宋体" w:cs="Times New Roman"/>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文泉驿正黑" w:hAnsi="文泉驿正黑"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qFormat/>
    <w:uiPriority w:val="0"/>
    <w:pPr>
      <w:spacing w:before="100" w:beforeAutospacing="1" w:after="100" w:afterAutospacing="1"/>
    </w:pPr>
  </w:style>
  <w:style w:type="character" w:styleId="11">
    <w:name w:val="Strong"/>
    <w:qFormat/>
    <w:uiPriority w:val="0"/>
    <w:rPr>
      <w:b/>
    </w:rPr>
  </w:style>
  <w:style w:type="paragraph" w:customStyle="1" w:styleId="12">
    <w:name w:val="列出段落1"/>
    <w:basedOn w:val="1"/>
    <w:qFormat/>
    <w:uiPriority w:val="99"/>
    <w:pPr>
      <w:ind w:firstLine="200" w:firstLineChars="200"/>
    </w:pPr>
  </w:style>
  <w:style w:type="paragraph" w:customStyle="1" w:styleId="13">
    <w:name w:val="普通(网站) Char"/>
    <w:qFormat/>
    <w:uiPriority w:val="0"/>
    <w:pPr>
      <w:spacing w:before="100" w:beforeAutospacing="1" w:after="100" w:afterAutospacing="1"/>
    </w:pPr>
    <w:rPr>
      <w:rFonts w:ascii="宋体" w:hAnsi="Times New Roman" w:eastAsia="宋体" w:cs="Times New Roman"/>
      <w:sz w:val="24"/>
      <w:szCs w:val="24"/>
      <w:lang w:val="en-US" w:eastAsia="zh-CN" w:bidi="ar-SA"/>
    </w:rPr>
  </w:style>
  <w:style w:type="paragraph" w:customStyle="1" w:styleId="14">
    <w:name w:val="列出段落2"/>
    <w:qFormat/>
    <w:uiPriority w:val="0"/>
    <w:pPr>
      <w:ind w:firstLine="200" w:firstLineChars="200"/>
    </w:pPr>
    <w:rPr>
      <w:rFonts w:ascii="宋体" w:hAnsi="Times New Roman" w:eastAsia="宋体" w:cs="Times New Roman"/>
      <w:sz w:val="24"/>
      <w:szCs w:val="24"/>
      <w:lang w:val="en-US" w:eastAsia="zh-CN" w:bidi="ar-SA"/>
    </w:rPr>
  </w:style>
  <w:style w:type="character" w:customStyle="1" w:styleId="15">
    <w:name w:val="21"/>
    <w:qFormat/>
    <w:uiPriority w:val="0"/>
    <w:rPr>
      <w:rFonts w:ascii="Wingdings" w:hAnsi="Wingdings" w:cs="Wingdings"/>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9268</Words>
  <Characters>11556</Characters>
  <Lines>104</Lines>
  <Paragraphs>29</Paragraphs>
  <TotalTime>2</TotalTime>
  <ScaleCrop>false</ScaleCrop>
  <LinksUpToDate>false</LinksUpToDate>
  <CharactersWithSpaces>12688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2024-09-11T08:46:57Z</dcterms:modified>
  <dc:title>垫江县融媒体中心2023年度决算公开说明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