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垫江县人民代表大会常务委员会办公室</w:t>
      </w:r>
    </w:p>
    <w:p>
      <w:pPr>
        <w:pStyle w:val="5"/>
        <w:spacing w:before="0" w:beforeAutospacing="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36"/>
          <w:szCs w:val="36"/>
          <w:shd w:val="clear" w:color="auto" w:fill="FFFFFF"/>
        </w:rPr>
        <w:t>2023年度决算</w:t>
      </w:r>
      <w:r>
        <w:rPr>
          <w:rFonts w:hint="eastAsia" w:ascii="方正小标宋_GBK" w:hAnsi="方正小标宋_GBK" w:eastAsia="方正小标宋_GBK" w:cs="方正小标宋_GBK"/>
          <w:color w:val="auto"/>
          <w:sz w:val="36"/>
          <w:szCs w:val="36"/>
          <w:shd w:val="clear" w:color="auto" w:fill="FFFFFF"/>
          <w:lang w:eastAsia="zh-CN"/>
        </w:rPr>
        <w:t>公开</w:t>
      </w:r>
      <w:r>
        <w:rPr>
          <w:rFonts w:ascii="方正小标宋_GBK" w:hAnsi="方正小标宋_GBK" w:eastAsia="方正小标宋_GBK" w:cs="方正小标宋_GBK"/>
          <w:color w:val="auto"/>
          <w:sz w:val="36"/>
          <w:szCs w:val="36"/>
          <w:shd w:val="clear" w:color="auto" w:fill="FFFFFF"/>
        </w:rPr>
        <w:t>说明</w:t>
      </w:r>
    </w:p>
    <w:p>
      <w:pPr>
        <w:pStyle w:val="5"/>
        <w:shd w:val="clear" w:color="auto" w:fill="FFFFFF"/>
        <w:rPr>
          <w:rFonts w:hint="eastAsia" w:ascii="黑体" w:hAnsi="黑体" w:eastAsia="黑体" w:cs="黑体"/>
          <w:color w:val="auto"/>
          <w:sz w:val="32"/>
          <w:szCs w:val="32"/>
        </w:rPr>
      </w:pPr>
      <w:r>
        <w:rPr>
          <w:rStyle w:val="9"/>
          <w:rFonts w:hint="eastAsia" w:ascii="黑体" w:hAnsi="黑体" w:eastAsia="黑体" w:cs="黑体"/>
          <w:color w:val="auto"/>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（一）职能职责</w:t>
      </w:r>
    </w:p>
    <w:p>
      <w:pPr>
        <w:pStyle w:val="14"/>
        <w:adjustRightInd w:val="0"/>
        <w:snapToGrid w:val="0"/>
        <w:spacing w:before="0" w:beforeAutospacing="0" w:after="0" w:afterAutospacing="0" w:line="594"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垫江县人大常委会办公室是垫江县人大常委会机关的法人单位。垫江县人大常委会的主要职责：保证宪法、法律、行政法规和上级人大及其常委会的决定决议在本行政区域内的遵守和执行；讨论、决定本行政区域重大事项；决定本级国家机关工作人员的任免；监督本级“一府一委两院”工作；联系本级人大代表，配合组织市人大代表活动；受理人民群众对上述机关和国家工作人员的申诉和意见等。</w:t>
      </w:r>
    </w:p>
    <w:p>
      <w:pPr>
        <w:pStyle w:val="5"/>
        <w:shd w:val="clear" w:color="auto" w:fill="FFFFFF"/>
        <w:ind w:firstLine="420"/>
        <w:rPr>
          <w:rFonts w:hint="eastAsia" w:ascii="楷体" w:hAnsi="楷体" w:eastAsia="楷体" w:cs="楷体"/>
          <w:color w:val="auto"/>
          <w:sz w:val="32"/>
          <w:szCs w:val="32"/>
        </w:rPr>
      </w:pPr>
      <w:r>
        <w:rPr>
          <w:rStyle w:val="9"/>
          <w:rFonts w:hint="eastAsia" w:ascii="楷体" w:hAnsi="楷体" w:eastAsia="楷体" w:cs="楷体"/>
          <w:color w:val="auto"/>
          <w:sz w:val="32"/>
          <w:szCs w:val="32"/>
          <w:shd w:val="clear" w:color="auto" w:fill="FFFFFF"/>
        </w:rPr>
        <w:t>（二）机构设置</w:t>
      </w:r>
    </w:p>
    <w:p>
      <w:pPr>
        <w:pStyle w:val="5"/>
        <w:shd w:val="clear" w:color="auto" w:fill="FFFFFF"/>
        <w:ind w:firstLine="640" w:firstLineChars="200"/>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rPr>
        <w:t>县人大常委会下设办公室、监察和法制委办公室、城环委办公室、社建委办公室、人事代表工委、教科文卫工委、农业工委、预算工委。办公室下属事业单位</w:t>
      </w:r>
      <w:r>
        <w:rPr>
          <w:rFonts w:hint="eastAsia" w:ascii="方正仿宋_GBK" w:hAnsi="方正仿宋_GBK" w:eastAsia="方正仿宋_GBK" w:cs="方正仿宋_GBK"/>
          <w:color w:val="auto"/>
          <w:sz w:val="32"/>
          <w:szCs w:val="32"/>
          <w:lang w:val="en-US" w:eastAsia="zh-CN"/>
        </w:rPr>
        <w:t>为</w:t>
      </w:r>
      <w:r>
        <w:rPr>
          <w:rFonts w:hint="eastAsia" w:ascii="方正仿宋_GBK" w:hAnsi="方正仿宋_GBK" w:eastAsia="方正仿宋_GBK" w:cs="方正仿宋_GBK"/>
          <w:color w:val="auto"/>
          <w:sz w:val="32"/>
          <w:szCs w:val="32"/>
        </w:rPr>
        <w:t>垫江县人大常委会信息中心下设信息中心办公室</w:t>
      </w:r>
      <w:r>
        <w:rPr>
          <w:rFonts w:hint="eastAsia" w:ascii="方正仿宋_GBK" w:hAnsi="方正仿宋_GBK" w:eastAsia="方正仿宋_GBK" w:cs="方正仿宋_GBK"/>
          <w:color w:val="auto"/>
          <w:sz w:val="32"/>
          <w:szCs w:val="32"/>
          <w:lang w:eastAsia="zh-CN"/>
        </w:rPr>
        <w:t>。</w:t>
      </w:r>
    </w:p>
    <w:p>
      <w:pPr>
        <w:pStyle w:val="5"/>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二、部门决算情况说明</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（一）收入支出决算总体情况说明。</w:t>
      </w:r>
    </w:p>
    <w:p>
      <w:pPr>
        <w:pStyle w:val="5"/>
        <w:shd w:val="clear" w:color="auto" w:fill="FFFFFF"/>
        <w:ind w:firstLine="643" w:firstLineChars="200"/>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2023年度收入总计2568.35万元，支出总计</w:t>
      </w:r>
      <w:r>
        <w:rPr>
          <w:rFonts w:ascii="方正仿宋_GBK" w:hAnsi="方正仿宋_GBK" w:eastAsia="方正仿宋_GBK" w:cs="方正仿宋_GBK"/>
          <w:color w:val="auto"/>
          <w:sz w:val="32"/>
          <w:szCs w:val="32"/>
        </w:rPr>
        <w:t>2568.35</w:t>
      </w:r>
      <w:r>
        <w:rPr>
          <w:rFonts w:ascii="方正仿宋_GBK" w:hAnsi="方正仿宋_GBK" w:eastAsia="方正仿宋_GBK" w:cs="方正仿宋_GBK"/>
          <w:color w:val="auto"/>
          <w:sz w:val="32"/>
          <w:szCs w:val="32"/>
          <w:shd w:val="clear" w:color="auto" w:fill="FFFFFF"/>
        </w:rPr>
        <w:t>万元。收支较上年决算数增加39.76万元，增长1.57%，主要原因是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w:t>
      </w:r>
      <w:r>
        <w:rPr>
          <w:rFonts w:hint="eastAsia" w:ascii="方正仿宋_GBK" w:hAnsi="方正仿宋_GBK" w:eastAsia="方正仿宋_GBK" w:cs="方正仿宋_GBK"/>
          <w:color w:val="auto"/>
          <w:sz w:val="32"/>
          <w:szCs w:val="32"/>
          <w:shd w:val="clear" w:color="auto" w:fill="FFFFFF"/>
        </w:rPr>
        <w:t>2520.37</w:t>
      </w:r>
      <w:r>
        <w:rPr>
          <w:rFonts w:ascii="方正仿宋_GBK" w:hAnsi="方正仿宋_GBK" w:eastAsia="方正仿宋_GBK" w:cs="方正仿宋_GBK"/>
          <w:color w:val="auto"/>
          <w:sz w:val="32"/>
          <w:szCs w:val="32"/>
          <w:shd w:val="clear" w:color="auto" w:fill="FFFFFF"/>
        </w:rPr>
        <w:t>万元，较上年决算数增加86.65万元，增长3.56%，主要原因是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2520.37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47.98</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shd w:val="clear" w:color="auto" w:fill="FFFFFF"/>
        </w:rPr>
      </w:pPr>
      <w:r>
        <w:rPr>
          <w:rStyle w:val="9"/>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2568.35</w:t>
      </w:r>
      <w:r>
        <w:rPr>
          <w:rFonts w:ascii="方正仿宋_GBK" w:hAnsi="方正仿宋_GBK" w:eastAsia="方正仿宋_GBK" w:cs="方正仿宋_GBK"/>
          <w:color w:val="auto"/>
          <w:sz w:val="32"/>
          <w:szCs w:val="32"/>
          <w:shd w:val="clear" w:color="auto" w:fill="FFFFFF"/>
        </w:rPr>
        <w:t>万元，较上年决算数增加39.76万元，增长1.57%，主要原因是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2262.70</w:t>
      </w:r>
      <w:r>
        <w:rPr>
          <w:rFonts w:ascii="方正仿宋_GBK" w:hAnsi="方正仿宋_GBK" w:eastAsia="方正仿宋_GBK" w:cs="方正仿宋_GBK"/>
          <w:color w:val="auto"/>
          <w:sz w:val="32"/>
          <w:szCs w:val="32"/>
          <w:shd w:val="clear" w:color="auto" w:fill="FFFFFF"/>
        </w:rPr>
        <w:t>万元，占88.10%；项目支出</w:t>
      </w:r>
      <w:r>
        <w:rPr>
          <w:rFonts w:ascii="方正仿宋_GBK" w:hAnsi="方正仿宋_GBK" w:eastAsia="方正仿宋_GBK" w:cs="方正仿宋_GBK"/>
          <w:color w:val="auto"/>
          <w:sz w:val="32"/>
          <w:szCs w:val="32"/>
        </w:rPr>
        <w:t>305.64</w:t>
      </w:r>
      <w:r>
        <w:rPr>
          <w:rFonts w:ascii="方正仿宋_GBK" w:hAnsi="方正仿宋_GBK" w:eastAsia="方正仿宋_GBK" w:cs="方正仿宋_GBK"/>
          <w:color w:val="auto"/>
          <w:sz w:val="32"/>
          <w:szCs w:val="32"/>
          <w:shd w:val="clear" w:color="auto" w:fill="FFFFFF"/>
        </w:rPr>
        <w:t>万元，占11.90%；经营支出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sz w:val="32"/>
          <w:szCs w:val="32"/>
          <w:shd w:val="clear" w:color="auto" w:fill="FFFFFF"/>
          <w:lang w:val="en-US" w:eastAsia="zh-CN"/>
        </w:rPr>
        <w:t>与上年持平</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w:t>
      </w:r>
      <w:r>
        <w:rPr>
          <w:rFonts w:hint="eastAsia" w:ascii="方正仿宋_GBK" w:hAnsi="方正仿宋_GBK" w:eastAsia="方正仿宋_GBK" w:cs="方正仿宋_GBK"/>
          <w:color w:val="auto"/>
          <w:sz w:val="32"/>
          <w:szCs w:val="32"/>
          <w:shd w:val="clear" w:color="auto" w:fill="FFFFFF"/>
        </w:rPr>
        <w:t>2568.35</w:t>
      </w:r>
      <w:r>
        <w:rPr>
          <w:rFonts w:ascii="方正仿宋_GBK" w:hAnsi="方正仿宋_GBK" w:eastAsia="方正仿宋_GBK" w:cs="方正仿宋_GBK"/>
          <w:color w:val="auto"/>
          <w:sz w:val="32"/>
          <w:szCs w:val="32"/>
          <w:shd w:val="clear" w:color="auto" w:fill="FFFFFF"/>
        </w:rPr>
        <w:t>万元。与2022年相比，财政拨款收、支总计各增加39.76万元，增长1.57%。主要原因是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2520.37</w:t>
      </w:r>
      <w:r>
        <w:rPr>
          <w:rFonts w:ascii="方正仿宋_GBK" w:hAnsi="方正仿宋_GBK" w:eastAsia="方正仿宋_GBK" w:cs="方正仿宋_GBK"/>
          <w:color w:val="auto"/>
          <w:sz w:val="32"/>
          <w:szCs w:val="32"/>
          <w:shd w:val="clear" w:color="auto" w:fill="FFFFFF"/>
        </w:rPr>
        <w:t>万元，较上年决算数增加86.65万元，增长3.56%。主要原因是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。较年初预算数增加122.48万元，增长5.11%。主要原因是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47.98</w:t>
      </w:r>
      <w:r>
        <w:rPr>
          <w:rFonts w:ascii="方正仿宋_GBK" w:hAnsi="方正仿宋_GBK" w:eastAsia="方正仿宋_GBK" w:cs="方正仿宋_GBK"/>
          <w:color w:val="auto"/>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2568.35</w:t>
      </w:r>
      <w:r>
        <w:rPr>
          <w:rFonts w:ascii="方正仿宋_GBK" w:hAnsi="方正仿宋_GBK" w:eastAsia="方正仿宋_GBK" w:cs="方正仿宋_GBK"/>
          <w:color w:val="auto"/>
          <w:sz w:val="32"/>
          <w:szCs w:val="32"/>
          <w:shd w:val="clear" w:color="auto" w:fill="FFFFFF"/>
        </w:rPr>
        <w:t>万元，较上年决算数增加39.76万元，增长1.57%。主要原因是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。较年初预算数增加170.46万元，增长7.11%。主要原因是</w:t>
      </w:r>
      <w:r>
        <w:rPr>
          <w:rFonts w:hint="eastAsia" w:ascii="方正仿宋_GBK" w:hAnsi="方正仿宋_GBK" w:eastAsia="方正仿宋_GBK" w:cs="方正仿宋_GBK"/>
          <w:color w:val="auto"/>
          <w:sz w:val="32"/>
          <w:szCs w:val="32"/>
        </w:rPr>
        <w:t>本年度增加人员经费</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9"/>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万元，主要原因是</w:t>
      </w:r>
      <w:r>
        <w:rPr>
          <w:rFonts w:hint="eastAsia" w:ascii="方正仿宋_GBK" w:hAnsi="方正仿宋_GBK" w:eastAsia="方正仿宋_GBK" w:cs="方正仿宋_GBK"/>
          <w:color w:val="auto"/>
          <w:sz w:val="32"/>
          <w:szCs w:val="32"/>
          <w:shd w:val="clear" w:color="auto" w:fill="FFFFFF"/>
          <w:lang w:val="en-US" w:eastAsia="zh-CN"/>
        </w:rPr>
        <w:t>与上年持平</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highlight w:val="cyan"/>
          <w:shd w:val="clear" w:color="auto" w:fill="FFFFFF"/>
        </w:rPr>
      </w:pPr>
      <w:r>
        <w:rPr>
          <w:rStyle w:val="9"/>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2012.00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78.34</w:t>
      </w:r>
      <w:r>
        <w:rPr>
          <w:rFonts w:ascii="方正仿宋_GBK" w:hAnsi="方正仿宋_GBK" w:eastAsia="方正仿宋_GBK" w:cs="方正仿宋_GBK"/>
          <w:color w:val="auto"/>
          <w:sz w:val="32"/>
          <w:szCs w:val="32"/>
          <w:shd w:val="clear" w:color="auto" w:fill="FFFFFF"/>
        </w:rPr>
        <w:t>%，较年初预算数增加171.47万元，增长9.32%，主要原因是</w:t>
      </w:r>
      <w:r>
        <w:rPr>
          <w:rFonts w:ascii="方正仿宋_GBK" w:hAnsi="方正仿宋_GBK" w:eastAsia="方正仿宋_GBK" w:cs="方正仿宋_GBK"/>
          <w:color w:val="auto"/>
          <w:spacing w:val="-6"/>
          <w:sz w:val="32"/>
          <w:szCs w:val="32"/>
        </w:rPr>
        <w:t>增加人员经费、人员经费</w:t>
      </w:r>
      <w:r>
        <w:rPr>
          <w:rFonts w:ascii="方正仿宋_GBK" w:hAnsi="方正仿宋_GBK" w:eastAsia="方正仿宋_GBK" w:cs="方正仿宋_GBK"/>
          <w:color w:val="auto"/>
          <w:sz w:val="32"/>
          <w:szCs w:val="32"/>
        </w:rPr>
        <w:t>普调</w:t>
      </w:r>
      <w:r>
        <w:rPr>
          <w:rFonts w:hint="eastAsia" w:ascii="方正仿宋_GBK" w:hAnsi="方正仿宋_GBK" w:eastAsia="方正仿宋_GBK" w:cs="方正仿宋_GBK"/>
          <w:color w:val="auto"/>
          <w:sz w:val="32"/>
          <w:szCs w:val="32"/>
          <w:lang w:val="en-US" w:eastAsia="zh-CN"/>
        </w:rPr>
        <w:t>等</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2.15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0.08</w:t>
      </w:r>
      <w:r>
        <w:rPr>
          <w:rFonts w:ascii="方正仿宋_GBK" w:hAnsi="方正仿宋_GBK" w:eastAsia="方正仿宋_GBK" w:cs="方正仿宋_GBK"/>
          <w:color w:val="auto"/>
          <w:sz w:val="32"/>
          <w:szCs w:val="32"/>
          <w:shd w:val="clear" w:color="auto" w:fill="FFFFFF"/>
        </w:rPr>
        <w:t>%，较年初预算数减少3.67万元，下降63.06%，主要原因是</w:t>
      </w:r>
      <w:r>
        <w:rPr>
          <w:rFonts w:hint="eastAsia" w:ascii="方正仿宋_GBK" w:hAnsi="方正仿宋_GBK" w:eastAsia="方正仿宋_GBK" w:cs="方正仿宋_GBK"/>
          <w:color w:val="auto"/>
          <w:sz w:val="32"/>
          <w:szCs w:val="32"/>
          <w:shd w:val="clear" w:color="auto" w:fill="FFFFFF"/>
          <w:lang w:val="en-US" w:eastAsia="zh-CN"/>
        </w:rPr>
        <w:t>压减培训支出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340.93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13.27</w:t>
      </w:r>
      <w:r>
        <w:rPr>
          <w:rFonts w:ascii="方正仿宋_GBK" w:hAnsi="方正仿宋_GBK" w:eastAsia="方正仿宋_GBK" w:cs="方正仿宋_GBK"/>
          <w:color w:val="auto"/>
          <w:sz w:val="32"/>
          <w:szCs w:val="32"/>
          <w:shd w:val="clear" w:color="auto" w:fill="FFFFFF"/>
        </w:rPr>
        <w:t>%，较年初预算数减少17.47万元，下降4.87%，主要原因是</w:t>
      </w:r>
      <w:r>
        <w:rPr>
          <w:rFonts w:hint="eastAsia" w:ascii="方正仿宋_GBK" w:hAnsi="方正仿宋_GBK" w:eastAsia="方正仿宋_GBK" w:cs="方正仿宋_GBK"/>
          <w:color w:val="auto"/>
          <w:sz w:val="32"/>
          <w:szCs w:val="32"/>
          <w:shd w:val="clear" w:color="auto" w:fill="FFFFFF"/>
          <w:lang w:val="en-US" w:eastAsia="zh-CN"/>
        </w:rPr>
        <w:t>本年度单位人员人数减少</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89.13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3.47</w:t>
      </w:r>
      <w:r>
        <w:rPr>
          <w:rFonts w:ascii="方正仿宋_GBK" w:hAnsi="方正仿宋_GBK" w:eastAsia="方正仿宋_GBK" w:cs="方正仿宋_GBK"/>
          <w:color w:val="auto"/>
          <w:sz w:val="32"/>
          <w:szCs w:val="32"/>
          <w:shd w:val="clear" w:color="auto" w:fill="FFFFFF"/>
        </w:rPr>
        <w:t>%，较年初预算数增加22.19万元，增长33.15%，主要原因是</w:t>
      </w:r>
      <w:r>
        <w:rPr>
          <w:rFonts w:hint="eastAsia" w:ascii="方正仿宋_GBK" w:hAnsi="方正仿宋_GBK" w:eastAsia="方正仿宋_GBK" w:cs="方正仿宋_GBK"/>
          <w:color w:val="auto"/>
          <w:sz w:val="32"/>
          <w:szCs w:val="32"/>
        </w:rPr>
        <w:t>本年度</w:t>
      </w:r>
      <w:r>
        <w:rPr>
          <w:rFonts w:hint="eastAsia" w:ascii="方正仿宋_GBK" w:hAnsi="方正仿宋_GBK" w:eastAsia="方正仿宋_GBK" w:cs="方正仿宋_GBK"/>
          <w:color w:val="auto"/>
          <w:sz w:val="32"/>
          <w:szCs w:val="32"/>
          <w:shd w:val="clear" w:color="auto" w:fill="FFFFFF"/>
          <w:lang w:val="en-US" w:eastAsia="zh-CN"/>
        </w:rPr>
        <w:t>医疗经费增加</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住房保障支出124.14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4.83</w:t>
      </w:r>
      <w:r>
        <w:rPr>
          <w:rFonts w:ascii="方正仿宋_GBK" w:hAnsi="方正仿宋_GBK" w:eastAsia="方正仿宋_GBK" w:cs="方正仿宋_GBK"/>
          <w:color w:val="auto"/>
          <w:sz w:val="32"/>
          <w:szCs w:val="32"/>
          <w:shd w:val="clear" w:color="auto" w:fill="FFFFFF"/>
        </w:rPr>
        <w:t>%，较年初预算数减少2.06万元，下降1.63%，主要原因是</w:t>
      </w:r>
      <w:r>
        <w:rPr>
          <w:rFonts w:hint="eastAsia" w:ascii="方正仿宋_GBK" w:hAnsi="方正仿宋_GBK" w:eastAsia="方正仿宋_GBK" w:cs="方正仿宋_GBK"/>
          <w:color w:val="auto"/>
          <w:sz w:val="32"/>
          <w:szCs w:val="32"/>
          <w:shd w:val="clear" w:color="auto" w:fill="FFFFFF"/>
          <w:lang w:val="en-US" w:eastAsia="zh-CN"/>
        </w:rPr>
        <w:t>本年度单位人员人数减少</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2262.70</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1887.38</w:t>
      </w:r>
      <w:r>
        <w:rPr>
          <w:rFonts w:ascii="方正仿宋_GBK" w:hAnsi="方正仿宋_GBK" w:eastAsia="方正仿宋_GBK" w:cs="方正仿宋_GBK"/>
          <w:color w:val="auto"/>
          <w:sz w:val="32"/>
          <w:szCs w:val="32"/>
          <w:shd w:val="clear" w:color="auto" w:fill="FFFFFF"/>
        </w:rPr>
        <w:t>万元，较上年决算数增加15.45万元，增长0.83%，主要原因是</w:t>
      </w:r>
      <w:r>
        <w:rPr>
          <w:rFonts w:ascii="方正仿宋_GBK" w:hAnsi="方正仿宋_GBK" w:eastAsia="方正仿宋_GBK" w:cs="方正仿宋_GBK"/>
          <w:color w:val="auto"/>
          <w:spacing w:val="-6"/>
          <w:sz w:val="32"/>
          <w:szCs w:val="32"/>
        </w:rPr>
        <w:t>本年度增加人员经费、人员经费</w:t>
      </w:r>
      <w:r>
        <w:rPr>
          <w:rFonts w:ascii="方正仿宋_GBK" w:hAnsi="方正仿宋_GBK" w:eastAsia="方正仿宋_GBK" w:cs="方正仿宋_GBK"/>
          <w:color w:val="auto"/>
          <w:sz w:val="32"/>
          <w:szCs w:val="32"/>
        </w:rPr>
        <w:t>普调</w:t>
      </w:r>
      <w:r>
        <w:rPr>
          <w:rFonts w:hint="eastAsia" w:ascii="方正仿宋_GBK" w:hAnsi="方正仿宋_GBK" w:eastAsia="方正仿宋_GBK" w:cs="方正仿宋_GBK"/>
          <w:color w:val="auto"/>
          <w:sz w:val="32"/>
          <w:szCs w:val="32"/>
          <w:lang w:val="en-US" w:eastAsia="zh-CN"/>
        </w:rPr>
        <w:t>等</w:t>
      </w:r>
      <w:r>
        <w:rPr>
          <w:rFonts w:ascii="方正仿宋_GBK" w:hAnsi="方正仿宋_GBK" w:eastAsia="方正仿宋_GBK" w:cs="方正仿宋_GBK"/>
          <w:color w:val="auto"/>
          <w:sz w:val="32"/>
          <w:szCs w:val="32"/>
          <w:shd w:val="clear" w:color="auto" w:fill="FFFFFF"/>
        </w:rPr>
        <w:t>。人员经费用途主要包括</w:t>
      </w:r>
      <w:r>
        <w:rPr>
          <w:rFonts w:ascii="方正仿宋_GBK" w:hAnsi="方正仿宋_GBK" w:eastAsia="方正仿宋_GBK" w:cs="方正仿宋_GBK"/>
          <w:color w:val="auto"/>
          <w:sz w:val="32"/>
          <w:szCs w:val="32"/>
        </w:rPr>
        <w:t>基本工资、津贴补贴、奖金、社会保障缴费及其他工资福利支出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375.33</w:t>
      </w:r>
      <w:r>
        <w:rPr>
          <w:rFonts w:ascii="方正仿宋_GBK" w:hAnsi="方正仿宋_GBK" w:eastAsia="方正仿宋_GBK" w:cs="方正仿宋_GBK"/>
          <w:color w:val="auto"/>
          <w:sz w:val="32"/>
          <w:szCs w:val="32"/>
          <w:shd w:val="clear" w:color="auto" w:fill="FFFFFF"/>
        </w:rPr>
        <w:t>万元，较上年决算数减少103.03万元，下降21.54%，主要原因是</w:t>
      </w:r>
      <w:r>
        <w:rPr>
          <w:rFonts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。公用经费用途主要包括</w:t>
      </w:r>
      <w:r>
        <w:rPr>
          <w:rFonts w:ascii="方正仿宋_GBK" w:hAnsi="方正仿宋_GBK" w:eastAsia="方正仿宋_GBK" w:cs="方正仿宋_GBK"/>
          <w:color w:val="auto"/>
          <w:sz w:val="32"/>
          <w:szCs w:val="32"/>
        </w:rPr>
        <w:t>办公费、印刷费、咨询费、手续费、差旅费、公务用车运行费、其他交通费用、劳务费、邮电费</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（五）政府性基金预算收支决算情况说明</w:t>
      </w:r>
    </w:p>
    <w:p>
      <w:pPr>
        <w:pStyle w:val="10"/>
        <w:autoSpaceDE w:val="0"/>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年度无政府性基金预算财政拨款收支</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（六）国有资本经营预算财政拨款支出决算情况说明</w:t>
      </w:r>
    </w:p>
    <w:p>
      <w:pPr>
        <w:pStyle w:val="5"/>
        <w:shd w:val="clear" w:color="auto" w:fill="FFFFFF"/>
        <w:ind w:firstLine="640" w:firstLineChars="200"/>
        <w:rPr>
          <w:rStyle w:val="15"/>
          <w:rFonts w:hint="eastAsia" w:ascii="方正仿宋_GBK" w:hAnsi="方正仿宋_GBK" w:eastAsia="方正仿宋_GBK" w:cs="方正仿宋_GBK"/>
          <w:b w:val="0"/>
          <w:color w:val="auto"/>
          <w:sz w:val="32"/>
          <w:szCs w:val="32"/>
          <w:lang w:eastAsia="zh-CN"/>
        </w:rPr>
      </w:pPr>
      <w:r>
        <w:rPr>
          <w:rStyle w:val="15"/>
          <w:rFonts w:hint="eastAsia" w:ascii="方正仿宋_GBK" w:hAnsi="方正仿宋_GBK" w:eastAsia="方正仿宋_GBK" w:cs="方正仿宋_GBK"/>
          <w:b w:val="0"/>
          <w:color w:val="auto"/>
          <w:sz w:val="32"/>
          <w:szCs w:val="32"/>
        </w:rPr>
        <w:t>本部门202</w:t>
      </w:r>
      <w:r>
        <w:rPr>
          <w:rStyle w:val="15"/>
          <w:rFonts w:hint="eastAsia" w:ascii="方正仿宋_GBK" w:hAnsi="方正仿宋_GBK" w:eastAsia="方正仿宋_GBK" w:cs="方正仿宋_GBK"/>
          <w:b w:val="0"/>
          <w:color w:val="auto"/>
          <w:sz w:val="32"/>
          <w:szCs w:val="32"/>
          <w:lang w:val="en-US" w:eastAsia="zh-CN"/>
        </w:rPr>
        <w:t>3</w:t>
      </w:r>
      <w:r>
        <w:rPr>
          <w:rStyle w:val="15"/>
          <w:rFonts w:hint="eastAsia" w:ascii="方正仿宋_GBK" w:hAnsi="方正仿宋_GBK" w:eastAsia="方正仿宋_GBK" w:cs="方正仿宋_GBK"/>
          <w:b w:val="0"/>
          <w:color w:val="auto"/>
          <w:sz w:val="32"/>
          <w:szCs w:val="32"/>
        </w:rPr>
        <w:t>年度无国有资本经营预算财政拨款支出</w:t>
      </w:r>
      <w:r>
        <w:rPr>
          <w:rStyle w:val="15"/>
          <w:rFonts w:hint="eastAsia" w:ascii="方正仿宋_GBK" w:hAnsi="方正仿宋_GBK" w:eastAsia="方正仿宋_GBK" w:cs="方正仿宋_GBK"/>
          <w:b w:val="0"/>
          <w:color w:val="auto"/>
          <w:sz w:val="32"/>
          <w:szCs w:val="32"/>
          <w:lang w:eastAsia="zh-CN"/>
        </w:rPr>
        <w:t>。</w:t>
      </w:r>
    </w:p>
    <w:p>
      <w:pPr>
        <w:pStyle w:val="5"/>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三、“三公”经费情况说明</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26.37</w:t>
      </w:r>
      <w:r>
        <w:rPr>
          <w:rFonts w:ascii="方正仿宋_GBK" w:hAnsi="方正仿宋_GBK" w:eastAsia="方正仿宋_GBK" w:cs="方正仿宋_GBK"/>
          <w:color w:val="auto"/>
          <w:sz w:val="32"/>
          <w:szCs w:val="32"/>
          <w:shd w:val="clear" w:color="auto" w:fill="FFFFFF"/>
        </w:rPr>
        <w:t>万元，较年初预算数减少20.13万元，下降43.29%，主要原因是</w:t>
      </w:r>
      <w:r>
        <w:rPr>
          <w:rFonts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。较上年支出数减少3.74万元，下降12.42%，主要原因是</w:t>
      </w:r>
      <w:r>
        <w:rPr>
          <w:rFonts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（二）“三公”经费分项支出情况</w:t>
      </w:r>
    </w:p>
    <w:p>
      <w:pPr>
        <w:pStyle w:val="14"/>
        <w:adjustRightInd w:val="0"/>
        <w:snapToGrid w:val="0"/>
        <w:spacing w:before="0" w:beforeAutospacing="0" w:after="0" w:afterAutospacing="0" w:line="594" w:lineRule="exact"/>
        <w:ind w:firstLine="640" w:firstLineChars="200"/>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Style w:val="15"/>
          <w:rFonts w:hint="eastAsia" w:ascii="方正仿宋_GBK" w:hAnsi="方正仿宋_GBK" w:eastAsia="方正仿宋_GBK" w:cs="方正仿宋_GBK"/>
          <w:b w:val="0"/>
          <w:color w:val="auto"/>
          <w:sz w:val="32"/>
          <w:szCs w:val="32"/>
        </w:rPr>
        <w:t>202</w:t>
      </w:r>
      <w:r>
        <w:rPr>
          <w:rStyle w:val="15"/>
          <w:rFonts w:hint="eastAsia" w:ascii="方正仿宋_GBK" w:hAnsi="方正仿宋_GBK" w:eastAsia="方正仿宋_GBK" w:cs="方正仿宋_GBK"/>
          <w:b w:val="0"/>
          <w:color w:val="auto"/>
          <w:sz w:val="32"/>
          <w:szCs w:val="32"/>
          <w:lang w:val="en-US" w:eastAsia="zh-CN"/>
        </w:rPr>
        <w:t>3</w:t>
      </w:r>
      <w:r>
        <w:rPr>
          <w:rStyle w:val="15"/>
          <w:rFonts w:hint="eastAsia" w:ascii="方正仿宋_GBK" w:hAnsi="方正仿宋_GBK" w:eastAsia="方正仿宋_GBK" w:cs="方正仿宋_GBK"/>
          <w:b w:val="0"/>
          <w:color w:val="auto"/>
          <w:sz w:val="32"/>
          <w:szCs w:val="32"/>
        </w:rPr>
        <w:t>年度未发生</w:t>
      </w:r>
      <w:r>
        <w:rPr>
          <w:rFonts w:ascii="方正仿宋_GBK" w:hAnsi="方正仿宋_GBK" w:eastAsia="方正仿宋_GBK" w:cs="方正仿宋_GBK"/>
          <w:color w:val="auto"/>
          <w:sz w:val="32"/>
          <w:szCs w:val="32"/>
        </w:rPr>
        <w:t>因公出国（境）费用</w:t>
      </w:r>
      <w:r>
        <w:rPr>
          <w:rFonts w:ascii="方正仿宋_GBK" w:hAnsi="方正仿宋_GBK" w:eastAsia="方正仿宋_GBK" w:cs="方正仿宋_GBK"/>
          <w:color w:val="auto"/>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上年和本年均未发生因公出国（境）费用</w:t>
      </w:r>
      <w:r>
        <w:rPr>
          <w:rFonts w:ascii="方正仿宋_GBK" w:hAnsi="方正仿宋_GBK" w:eastAsia="方正仿宋_GBK" w:cs="方正仿宋_GBK"/>
          <w:color w:val="auto"/>
          <w:sz w:val="32"/>
          <w:szCs w:val="32"/>
          <w:shd w:val="clear" w:color="auto" w:fill="FFFFFF"/>
        </w:rPr>
        <w:t>。</w:t>
      </w:r>
    </w:p>
    <w:p>
      <w:pPr>
        <w:pStyle w:val="14"/>
        <w:adjustRightInd w:val="0"/>
        <w:snapToGrid w:val="0"/>
        <w:spacing w:before="0" w:beforeAutospacing="0" w:after="0" w:afterAutospacing="0" w:line="594" w:lineRule="exact"/>
        <w:ind w:firstLine="640" w:firstLineChars="200"/>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万元。费用支出较年初预算数无增减，主要原因是</w:t>
      </w:r>
      <w:r>
        <w:rPr>
          <w:rStyle w:val="15"/>
          <w:rFonts w:hint="eastAsia" w:ascii="方正仿宋_GBK" w:hAnsi="方正仿宋_GBK" w:eastAsia="方正仿宋_GBK" w:cs="方正仿宋_GBK"/>
          <w:b w:val="0"/>
          <w:color w:val="auto"/>
          <w:sz w:val="32"/>
          <w:szCs w:val="32"/>
        </w:rPr>
        <w:t>202</w:t>
      </w:r>
      <w:r>
        <w:rPr>
          <w:rStyle w:val="15"/>
          <w:rFonts w:hint="eastAsia" w:ascii="方正仿宋_GBK" w:hAnsi="方正仿宋_GBK" w:eastAsia="方正仿宋_GBK" w:cs="方正仿宋_GBK"/>
          <w:b w:val="0"/>
          <w:color w:val="auto"/>
          <w:sz w:val="32"/>
          <w:szCs w:val="32"/>
          <w:lang w:val="en-US" w:eastAsia="zh-CN"/>
        </w:rPr>
        <w:t>3</w:t>
      </w:r>
      <w:r>
        <w:rPr>
          <w:rStyle w:val="15"/>
          <w:rFonts w:hint="eastAsia" w:ascii="方正仿宋_GBK" w:hAnsi="方正仿宋_GBK" w:eastAsia="方正仿宋_GBK" w:cs="方正仿宋_GBK"/>
          <w:b w:val="0"/>
          <w:color w:val="auto"/>
          <w:sz w:val="32"/>
          <w:szCs w:val="32"/>
        </w:rPr>
        <w:t>年度未发生</w:t>
      </w:r>
      <w:r>
        <w:rPr>
          <w:rFonts w:ascii="方正仿宋_GBK" w:hAnsi="方正仿宋_GBK" w:eastAsia="方正仿宋_GBK" w:cs="方正仿宋_GBK"/>
          <w:color w:val="auto"/>
          <w:sz w:val="32"/>
          <w:szCs w:val="32"/>
        </w:rPr>
        <w:t>公务车购置费。</w:t>
      </w:r>
      <w:r>
        <w:rPr>
          <w:rFonts w:ascii="方正仿宋_GBK" w:hAnsi="方正仿宋_GBK" w:eastAsia="方正仿宋_GBK" w:cs="方正仿宋_GBK"/>
          <w:color w:val="auto"/>
          <w:sz w:val="32"/>
          <w:szCs w:val="32"/>
          <w:shd w:val="clear" w:color="auto" w:fill="FFFFFF"/>
        </w:rPr>
        <w:t>较上年支出数无增减，主要原因是</w:t>
      </w:r>
      <w:r>
        <w:rPr>
          <w:rFonts w:hint="default" w:ascii="方正仿宋_GBK" w:hAnsi="方正仿宋_GBK" w:eastAsia="方正仿宋_GBK" w:cs="方正仿宋_GBK"/>
          <w:sz w:val="32"/>
          <w:szCs w:val="32"/>
          <w:shd w:val="clear" w:color="auto" w:fill="FFFFFF"/>
        </w:rPr>
        <w:t>上年和本年均未发生因公出国（境）费用</w:t>
      </w:r>
      <w:r>
        <w:rPr>
          <w:rFonts w:ascii="方正仿宋_GBK" w:hAnsi="方正仿宋_GBK" w:eastAsia="方正仿宋_GBK" w:cs="方正仿宋_GBK"/>
          <w:color w:val="auto"/>
          <w:sz w:val="32"/>
          <w:szCs w:val="32"/>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19.98</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rPr>
        <w:t>因公出行、调研等工作所需车辆的燃料费、维修费、过桥过路费、保险费</w:t>
      </w:r>
      <w:r>
        <w:rPr>
          <w:rFonts w:ascii="方正仿宋_GBK" w:hAnsi="方正仿宋_GBK" w:eastAsia="方正仿宋_GBK" w:cs="方正仿宋_GBK"/>
          <w:color w:val="auto"/>
          <w:sz w:val="32"/>
          <w:szCs w:val="32"/>
          <w:shd w:val="clear" w:color="auto" w:fill="FFFFFF"/>
        </w:rPr>
        <w:t>。费用支出较年初预算数减少20.02万元，下降50.05%，主要原因是</w:t>
      </w:r>
      <w:r>
        <w:rPr>
          <w:rFonts w:hint="eastAsia"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。较上年支出数减少3.76万元，下降15.84%，主要原因是</w:t>
      </w:r>
      <w:r>
        <w:rPr>
          <w:rFonts w:hint="eastAsia"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6.39</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rPr>
        <w:t>接待市人大各专工委室、各区县人大以及市外、县外人大及其相关单位、乡镇人大交流学习、调研等开支的用餐及住宿费用</w:t>
      </w:r>
      <w:r>
        <w:rPr>
          <w:rFonts w:ascii="方正仿宋_GBK" w:hAnsi="方正仿宋_GBK" w:eastAsia="方正仿宋_GBK" w:cs="方正仿宋_GBK"/>
          <w:color w:val="auto"/>
          <w:sz w:val="32"/>
          <w:szCs w:val="32"/>
          <w:shd w:val="clear" w:color="auto" w:fill="FFFFFF"/>
        </w:rPr>
        <w:t>。费用支出较年初预算数减少0.11万元，下降1.69%，主要原因是</w:t>
      </w:r>
      <w:r>
        <w:rPr>
          <w:rFonts w:hint="eastAsia"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。较上年支出数增加0.03万元，增长0.47%，主要原因是</w:t>
      </w:r>
      <w:r>
        <w:rPr>
          <w:rFonts w:hint="eastAsia"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2023年度本部门因公出国（境）共计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53</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2200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人。2023年本部门人均接待费</w:t>
      </w:r>
      <w:r>
        <w:rPr>
          <w:rFonts w:ascii="方正仿宋_GBK" w:hAnsi="方正仿宋_GBK" w:eastAsia="方正仿宋_GBK" w:cs="方正仿宋_GBK"/>
          <w:color w:val="auto"/>
          <w:sz w:val="32"/>
          <w:szCs w:val="32"/>
        </w:rPr>
        <w:t>29.04</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5.00</w:t>
      </w:r>
      <w:r>
        <w:rPr>
          <w:rFonts w:ascii="方正仿宋_GBK" w:hAnsi="方正仿宋_GBK" w:eastAsia="方正仿宋_GBK" w:cs="方正仿宋_GBK"/>
          <w:color w:val="auto"/>
          <w:sz w:val="32"/>
          <w:szCs w:val="32"/>
          <w:shd w:val="clear" w:color="auto" w:fill="FFFFFF"/>
        </w:rPr>
        <w:t>万元。</w:t>
      </w:r>
    </w:p>
    <w:p>
      <w:pPr>
        <w:pStyle w:val="5"/>
        <w:shd w:val="clear" w:color="auto" w:fill="FFFFFF"/>
        <w:rPr>
          <w:rStyle w:val="9"/>
          <w:rFonts w:hint="default" w:ascii="方正仿宋_GBK" w:hAnsi="方正仿宋_GBK" w:eastAsia="方正仿宋_GBK" w:cs="方正仿宋_GBK"/>
          <w:color w:val="auto"/>
          <w:sz w:val="32"/>
          <w:szCs w:val="32"/>
          <w:shd w:val="clear" w:color="auto" w:fill="FFFFFF"/>
        </w:rPr>
      </w:pPr>
      <w:r>
        <w:rPr>
          <w:rStyle w:val="9"/>
          <w:rFonts w:hint="eastAsia" w:ascii="黑体" w:hAnsi="黑体" w:eastAsia="黑体" w:cs="黑体"/>
          <w:color w:val="auto"/>
          <w:sz w:val="32"/>
          <w:szCs w:val="32"/>
          <w:shd w:val="clear" w:color="auto" w:fill="FFFFFF"/>
        </w:rPr>
        <w:t>四、其他需要说明的事项</w:t>
      </w:r>
    </w:p>
    <w:p>
      <w:pPr>
        <w:pStyle w:val="10"/>
        <w:autoSpaceDE w:val="0"/>
        <w:ind w:left="0" w:leftChars="0" w:firstLine="643" w:firstLineChars="20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（一）财政拨款会议费和培训费情况说明</w:t>
      </w:r>
    </w:p>
    <w:p>
      <w:pPr>
        <w:jc w:val="left"/>
        <w:rPr>
          <w:rFonts w:hint="eastAsia" w:ascii="楷体" w:hAnsi="楷体" w:eastAsia="楷体" w:cs="楷体"/>
          <w:b/>
          <w:bCs/>
          <w:color w:val="auto"/>
          <w:sz w:val="32"/>
          <w:szCs w:val="32"/>
          <w:shd w:val="clear" w:color="auto" w:fill="FFFFFF"/>
          <w:lang w:bidi="ar"/>
        </w:rPr>
      </w:pPr>
      <w:r>
        <w:rPr>
          <w:rFonts w:ascii="方正仿宋_GBK" w:hAnsi="方正仿宋_GBK" w:eastAsia="方正仿宋_GBK" w:cs="方正仿宋_GBK"/>
          <w:color w:val="auto"/>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100.85</w:t>
      </w:r>
      <w:r>
        <w:rPr>
          <w:rFonts w:ascii="方正仿宋_GBK" w:hAnsi="方正仿宋_GBK" w:eastAsia="方正仿宋_GBK" w:cs="方正仿宋_GBK"/>
          <w:color w:val="auto"/>
          <w:sz w:val="32"/>
          <w:szCs w:val="32"/>
          <w:shd w:val="clear" w:color="auto" w:fill="FFFFFF"/>
        </w:rPr>
        <w:t>万元，较上年决算数减少77.78万元，下降43.54%，主要原因是</w:t>
      </w:r>
      <w:r>
        <w:rPr>
          <w:rFonts w:hint="eastAsia" w:ascii="方正仿宋_GBK" w:hAnsi="方正仿宋_GBK" w:eastAsia="方正仿宋_GBK" w:cs="方正仿宋_GBK"/>
          <w:color w:val="auto"/>
          <w:sz w:val="32"/>
          <w:szCs w:val="32"/>
          <w:shd w:val="clear" w:color="auto" w:fill="FFFFFF"/>
          <w:lang w:val="en-US" w:eastAsia="zh-CN"/>
        </w:rPr>
        <w:t>精简会议支出</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12.79</w:t>
      </w:r>
      <w:r>
        <w:rPr>
          <w:rFonts w:ascii="方正仿宋_GBK" w:hAnsi="方正仿宋_GBK" w:eastAsia="方正仿宋_GBK" w:cs="方正仿宋_GBK"/>
          <w:color w:val="auto"/>
          <w:sz w:val="32"/>
          <w:szCs w:val="32"/>
          <w:shd w:val="clear" w:color="auto" w:fill="FFFFFF"/>
        </w:rPr>
        <w:t>万元，较上年决算数增加8.06万元，增长170.40%，主要原因是</w:t>
      </w:r>
      <w:r>
        <w:rPr>
          <w:rFonts w:hint="eastAsia" w:ascii="方正仿宋_GBK" w:hAnsi="方正仿宋_GBK" w:eastAsia="方正仿宋_GBK" w:cs="方正仿宋_GBK"/>
          <w:color w:val="auto"/>
          <w:sz w:val="32"/>
          <w:szCs w:val="32"/>
          <w:shd w:val="clear" w:color="auto" w:fill="FFFFFF"/>
          <w:lang w:val="en-US" w:eastAsia="zh-CN"/>
        </w:rPr>
        <w:t>增加了</w:t>
      </w:r>
      <w:r>
        <w:rPr>
          <w:rFonts w:hint="eastAsia" w:ascii="方正仿宋_GBK" w:hAnsi="方正仿宋_GBK" w:eastAsia="方正仿宋_GBK" w:cs="方正仿宋_GBK"/>
          <w:color w:val="auto"/>
          <w:sz w:val="30"/>
          <w:szCs w:val="30"/>
        </w:rPr>
        <w:t>人大代表及人大干部履职培训计划</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eastAsia="zh-CN"/>
        </w:rPr>
        <w:br w:type="textWrapping"/>
      </w:r>
      <w:r>
        <w:rPr>
          <w:rFonts w:hint="eastAsia" w:ascii="方正仿宋_GBK" w:hAnsi="方正仿宋_GBK" w:eastAsia="方正仿宋_GBK" w:cs="方正仿宋_GBK"/>
          <w:color w:val="auto"/>
          <w:sz w:val="30"/>
          <w:szCs w:val="30"/>
          <w:lang w:val="en-US" w:eastAsia="zh-CN"/>
        </w:rPr>
        <w:t xml:space="preserve">    </w:t>
      </w:r>
      <w:r>
        <w:rPr>
          <w:rFonts w:hint="eastAsia" w:ascii="楷体" w:hAnsi="楷体" w:eastAsia="楷体" w:cs="楷体"/>
          <w:b/>
          <w:bCs/>
          <w:color w:val="auto"/>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2023年度本部门机关运行经费支出</w:t>
      </w:r>
      <w:r>
        <w:rPr>
          <w:rFonts w:ascii="方正仿宋_GBK" w:hAnsi="方正仿宋_GBK" w:eastAsia="方正仿宋_GBK" w:cs="方正仿宋_GBK"/>
          <w:color w:val="auto"/>
          <w:sz w:val="32"/>
          <w:szCs w:val="32"/>
        </w:rPr>
        <w:t>355.22</w:t>
      </w:r>
      <w:r>
        <w:rPr>
          <w:rFonts w:ascii="方正仿宋_GBK" w:hAnsi="方正仿宋_GBK" w:eastAsia="方正仿宋_GBK" w:cs="方正仿宋_GBK"/>
          <w:color w:val="auto"/>
          <w:sz w:val="32"/>
          <w:szCs w:val="32"/>
          <w:shd w:val="clear" w:color="auto" w:fill="FFFFFF"/>
        </w:rPr>
        <w:t>万元，机关运行经费主要用于</w:t>
      </w:r>
      <w:bookmarkStart w:id="0" w:name="_GoBack"/>
      <w:bookmarkEnd w:id="0"/>
      <w:r>
        <w:rPr>
          <w:rFonts w:hint="eastAsia" w:ascii="方正仿宋_GBK" w:hAnsi="方正仿宋_GBK" w:eastAsia="方正仿宋_GBK" w:cs="方正仿宋_GBK"/>
          <w:color w:val="auto"/>
          <w:sz w:val="32"/>
          <w:szCs w:val="32"/>
        </w:rPr>
        <w:t>开支办公费、印刷费、咨询费、手续费、差旅费、公务用车运行费、其他交通费用、劳务费、邮电费</w:t>
      </w:r>
      <w:r>
        <w:rPr>
          <w:rFonts w:ascii="方正仿宋_GBK" w:hAnsi="方正仿宋_GBK" w:eastAsia="方正仿宋_GBK" w:cs="方正仿宋_GBK"/>
          <w:color w:val="auto"/>
          <w:sz w:val="32"/>
          <w:szCs w:val="32"/>
          <w:shd w:val="clear" w:color="auto" w:fill="FFFFFF"/>
        </w:rPr>
        <w:t>。机关运行经费较上年支出数减少107.40万元，下降23.22%，主要原因是</w:t>
      </w:r>
      <w:r>
        <w:rPr>
          <w:rFonts w:hint="eastAsia" w:ascii="方正仿宋_GBK" w:hAnsi="方正仿宋_GBK" w:eastAsia="方正仿宋_GBK" w:cs="方正仿宋_GBK"/>
          <w:color w:val="auto"/>
          <w:sz w:val="32"/>
          <w:szCs w:val="32"/>
        </w:rPr>
        <w:t>压减不必要的开支，节省经费支出</w:t>
      </w:r>
      <w:r>
        <w:rPr>
          <w:rFonts w:ascii="方正仿宋_GBK" w:hAnsi="方正仿宋_GBK" w:eastAsia="方正仿宋_GBK" w:cs="方正仿宋_GBK"/>
          <w:color w:val="auto"/>
          <w:sz w:val="32"/>
          <w:szCs w:val="32"/>
          <w:shd w:val="clear" w:color="auto" w:fill="FFFFFF"/>
        </w:rPr>
        <w:t>。</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截至2023年12月31日，本部门共有车辆</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（四）政府采购支出情况说明</w:t>
      </w:r>
    </w:p>
    <w:p>
      <w:pPr>
        <w:pStyle w:val="5"/>
        <w:snapToGrid w:val="0"/>
        <w:spacing w:before="0" w:beforeAutospacing="0" w:after="0" w:afterAutospacing="0" w:line="600" w:lineRule="exact"/>
        <w:jc w:val="both"/>
        <w:rPr>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color w:val="auto"/>
          <w:sz w:val="32"/>
          <w:szCs w:val="32"/>
          <w:shd w:val="clear" w:color="auto" w:fill="FFFFFF"/>
        </w:rPr>
        <w:t>2023年度我</w:t>
      </w:r>
      <w:r>
        <w:rPr>
          <w:rFonts w:hint="eastAsia" w:ascii="方正仿宋_GBK" w:hAnsi="方正仿宋_GBK" w:eastAsia="方正仿宋_GBK" w:cs="方正仿宋_GBK"/>
          <w:color w:val="auto"/>
          <w:sz w:val="32"/>
          <w:szCs w:val="32"/>
          <w:shd w:val="clear" w:color="auto" w:fill="FFFFFF"/>
          <w:lang w:val="en-US" w:eastAsia="zh-CN"/>
        </w:rPr>
        <w:t>部门</w:t>
      </w:r>
      <w:r>
        <w:rPr>
          <w:rFonts w:hint="eastAsia" w:ascii="方正仿宋_GBK" w:hAnsi="方正仿宋_GBK" w:eastAsia="方正仿宋_GBK" w:cs="方正仿宋_GBK"/>
          <w:color w:val="auto"/>
          <w:sz w:val="32"/>
          <w:szCs w:val="32"/>
          <w:shd w:val="clear" w:color="auto" w:fill="FFFFFF"/>
        </w:rPr>
        <w:t>未发生政府采购事项，无相关经费支出。</w:t>
      </w:r>
    </w:p>
    <w:p>
      <w:pPr>
        <w:pStyle w:val="5"/>
        <w:numPr>
          <w:ilvl w:val="0"/>
          <w:numId w:val="1"/>
        </w:numPr>
        <w:shd w:val="clear" w:color="auto" w:fill="FFFFFF"/>
        <w:rPr>
          <w:rStyle w:val="9"/>
          <w:rFonts w:hint="eastAsia" w:ascii="黑体" w:hAnsi="黑体" w:eastAsia="黑体" w:cs="黑体"/>
          <w:color w:val="auto"/>
          <w:sz w:val="32"/>
          <w:szCs w:val="32"/>
          <w:shd w:val="clear" w:color="auto" w:fill="FFFFFF"/>
        </w:rPr>
      </w:pPr>
      <w:r>
        <w:rPr>
          <w:rStyle w:val="9"/>
          <w:rFonts w:hint="eastAsia" w:ascii="黑体" w:hAnsi="黑体" w:eastAsia="黑体" w:cs="黑体"/>
          <w:color w:val="auto"/>
          <w:sz w:val="32"/>
          <w:szCs w:val="32"/>
          <w:shd w:val="clear" w:color="auto" w:fill="FFFFFF"/>
        </w:rPr>
        <w:t>预算绩效管理情况说明</w:t>
      </w:r>
    </w:p>
    <w:p>
      <w:pPr>
        <w:pStyle w:val="10"/>
        <w:autoSpaceDE w:val="0"/>
        <w:ind w:firstLine="640"/>
        <w:rPr>
          <w:rFonts w:hint="default" w:ascii="楷体" w:hAnsi="楷体" w:eastAsia="楷体" w:cs="楷体"/>
          <w:b/>
          <w:bCs/>
          <w:color w:val="auto"/>
          <w:sz w:val="32"/>
          <w:szCs w:val="32"/>
          <w:shd w:val="clear" w:color="auto" w:fill="FFFFFF"/>
          <w:lang w:val="en-US" w:eastAsia="zh-CN" w:bidi="ar"/>
        </w:rPr>
      </w:pPr>
      <w:r>
        <w:rPr>
          <w:rFonts w:hint="eastAsia" w:ascii="楷体" w:hAnsi="楷体" w:eastAsia="楷体" w:cs="楷体"/>
          <w:b/>
          <w:bCs/>
          <w:color w:val="auto"/>
          <w:sz w:val="32"/>
          <w:szCs w:val="32"/>
          <w:shd w:val="clear" w:color="auto" w:fill="FFFFFF"/>
          <w:lang w:bidi="ar"/>
        </w:rPr>
        <w:t>（一）</w:t>
      </w:r>
      <w:r>
        <w:rPr>
          <w:rFonts w:hint="eastAsia" w:ascii="楷体" w:hAnsi="楷体" w:eastAsia="楷体" w:cs="楷体"/>
          <w:b/>
          <w:bCs/>
          <w:color w:val="auto"/>
          <w:sz w:val="32"/>
          <w:szCs w:val="32"/>
          <w:shd w:val="clear" w:color="auto" w:fill="FFFFFF"/>
          <w:lang w:eastAsia="zh-CN" w:bidi="ar"/>
        </w:rPr>
        <w:t>部门</w:t>
      </w:r>
      <w:r>
        <w:rPr>
          <w:rFonts w:hint="eastAsia" w:ascii="楷体" w:hAnsi="楷体" w:eastAsia="楷体" w:cs="楷体"/>
          <w:b/>
          <w:bCs/>
          <w:color w:val="auto"/>
          <w:sz w:val="32"/>
          <w:szCs w:val="32"/>
          <w:shd w:val="clear" w:color="auto" w:fill="FFFFFF"/>
          <w:lang w:bidi="ar"/>
        </w:rPr>
        <w:t>自评情况</w:t>
      </w:r>
    </w:p>
    <w:p>
      <w:pPr>
        <w:pStyle w:val="11"/>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bidi="ar"/>
        </w:rPr>
        <w:t>根据预算绩效管理要求，我部门对部门整体</w:t>
      </w:r>
      <w:r>
        <w:rPr>
          <w:rFonts w:hint="eastAsia" w:ascii="方正仿宋_GBK" w:hAnsi="方正仿宋_GBK" w:eastAsia="方正仿宋_GBK" w:cs="方正仿宋_GBK"/>
          <w:color w:val="auto"/>
          <w:sz w:val="32"/>
          <w:szCs w:val="32"/>
          <w:shd w:val="clear" w:color="auto" w:fill="FFFFFF"/>
          <w:lang w:val="en-US" w:eastAsia="zh-CN" w:bidi="ar"/>
        </w:rPr>
        <w:t>和9</w:t>
      </w:r>
      <w:r>
        <w:rPr>
          <w:rFonts w:hint="eastAsia" w:ascii="方正仿宋_GBK" w:hAnsi="方正仿宋_GBK" w:eastAsia="方正仿宋_GBK" w:cs="方正仿宋_GBK"/>
          <w:color w:val="auto"/>
          <w:sz w:val="32"/>
          <w:szCs w:val="32"/>
          <w:shd w:val="clear" w:color="auto" w:fill="FFFFFF"/>
          <w:lang w:bidi="ar"/>
        </w:rPr>
        <w:t>个二级项目开展了绩效自评，涉及财政拨款项目支出资金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bidi="ar"/>
        </w:rPr>
        <w:t>305.64</w:t>
      </w:r>
      <w:r>
        <w:rPr>
          <w:rFonts w:hint="eastAsia" w:ascii="方正仿宋_GBK" w:hAnsi="方正仿宋_GBK" w:eastAsia="方正仿宋_GBK" w:cs="方正仿宋_GBK"/>
          <w:color w:val="auto"/>
          <w:sz w:val="32"/>
          <w:szCs w:val="32"/>
          <w:shd w:val="clear" w:color="auto" w:fill="FFFFFF"/>
          <w:lang w:bidi="ar"/>
        </w:rPr>
        <w:t>万元</w:t>
      </w:r>
      <w:r>
        <w:rPr>
          <w:rFonts w:hint="eastAsia" w:ascii="方正仿宋_GBK" w:hAnsi="方正仿宋_GBK" w:eastAsia="方正仿宋_GBK" w:cs="方正仿宋_GBK"/>
          <w:color w:val="auto"/>
          <w:sz w:val="32"/>
          <w:szCs w:val="32"/>
          <w:shd w:val="clear" w:color="auto" w:fill="FFFFFF"/>
          <w:lang w:eastAsia="zh-CN" w:bidi="ar"/>
        </w:rPr>
        <w:t>。</w:t>
      </w:r>
    </w:p>
    <w:p>
      <w:pPr>
        <w:pStyle w:val="11"/>
        <w:autoSpaceDE w:val="0"/>
        <w:spacing w:before="0" w:beforeAutospacing="0" w:line="240" w:lineRule="auto"/>
        <w:ind w:firstLine="640" w:firstLineChars="200"/>
        <w:rPr>
          <w:rFonts w:hint="default" w:ascii="方正仿宋_GBK" w:hAnsi="方正仿宋_GBK" w:eastAsia="方正仿宋_GBK" w:cs="方正仿宋_GBK"/>
          <w:color w:val="auto"/>
          <w:sz w:val="32"/>
          <w:szCs w:val="32"/>
          <w:shd w:val="clear" w:color="auto" w:fill="FFFFFF"/>
          <w:lang w:val="en-US" w:eastAsia="zh-CN" w:bidi="ar"/>
        </w:rPr>
      </w:pPr>
      <w:r>
        <w:rPr>
          <w:rFonts w:hint="default" w:ascii="方正仿宋_GBK" w:hAnsi="方正仿宋_GBK" w:eastAsia="方正仿宋_GBK" w:cs="方正仿宋_GBK"/>
          <w:color w:val="auto"/>
          <w:sz w:val="32"/>
          <w:szCs w:val="32"/>
          <w:shd w:val="clear" w:color="auto" w:fill="FFFFFF"/>
          <w:lang w:val="en-US" w:eastAsia="zh-CN" w:bidi="ar"/>
        </w:rPr>
        <w:drawing>
          <wp:inline distT="0" distB="0" distL="114300" distR="114300">
            <wp:extent cx="5774055" cy="6256655"/>
            <wp:effectExtent l="0" t="0" r="17145" b="10795"/>
            <wp:docPr id="2" name="图片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
                    <pic:cNvPicPr>
                      <a:picLocks noChangeAspect="1"/>
                    </pic:cNvPicPr>
                  </pic:nvPicPr>
                  <pic:blipFill>
                    <a:blip r:embed="rId7"/>
                    <a:stretch>
                      <a:fillRect/>
                    </a:stretch>
                  </pic:blipFill>
                  <pic:spPr>
                    <a:xfrm>
                      <a:off x="0" y="0"/>
                      <a:ext cx="5774055" cy="6256655"/>
                    </a:xfrm>
                    <a:prstGeom prst="rect">
                      <a:avLst/>
                    </a:prstGeom>
                  </pic:spPr>
                </pic:pic>
              </a:graphicData>
            </a:graphic>
          </wp:inline>
        </w:drawing>
      </w:r>
    </w:p>
    <w:p>
      <w:pPr>
        <w:pStyle w:val="11"/>
        <w:autoSpaceDE w:val="0"/>
        <w:spacing w:before="0" w:beforeAutospacing="0" w:line="240" w:lineRule="auto"/>
        <w:ind w:firstLine="640" w:firstLineChars="2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eastAsia="zh-CN" w:bidi="ar"/>
        </w:rPr>
        <w:drawing>
          <wp:inline distT="0" distB="0" distL="114300" distR="114300">
            <wp:extent cx="5278755" cy="4364990"/>
            <wp:effectExtent l="0" t="0" r="17145" b="1651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8"/>
                    <a:stretch>
                      <a:fillRect/>
                    </a:stretch>
                  </pic:blipFill>
                  <pic:spPr>
                    <a:xfrm>
                      <a:off x="0" y="0"/>
                      <a:ext cx="5278755" cy="4364990"/>
                    </a:xfrm>
                    <a:prstGeom prst="rect">
                      <a:avLst/>
                    </a:prstGeom>
                  </pic:spPr>
                </pic:pic>
              </a:graphicData>
            </a:graphic>
          </wp:inline>
        </w:drawing>
      </w:r>
    </w:p>
    <w:p>
      <w:pPr>
        <w:pStyle w:val="11"/>
        <w:autoSpaceDE w:val="0"/>
        <w:spacing w:before="0" w:beforeAutospacing="0" w:line="240" w:lineRule="auto"/>
        <w:ind w:firstLine="640" w:firstLineChars="2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eastAsia="zh-CN" w:bidi="ar"/>
        </w:rPr>
        <w:drawing>
          <wp:inline distT="0" distB="0" distL="114300" distR="114300">
            <wp:extent cx="5273040" cy="3921760"/>
            <wp:effectExtent l="0" t="0" r="3810" b="254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9"/>
                    <a:stretch>
                      <a:fillRect/>
                    </a:stretch>
                  </pic:blipFill>
                  <pic:spPr>
                    <a:xfrm>
                      <a:off x="0" y="0"/>
                      <a:ext cx="5273040" cy="3921760"/>
                    </a:xfrm>
                    <a:prstGeom prst="rect">
                      <a:avLst/>
                    </a:prstGeom>
                  </pic:spPr>
                </pic:pic>
              </a:graphicData>
            </a:graphic>
          </wp:inline>
        </w:drawing>
      </w:r>
    </w:p>
    <w:p>
      <w:pPr>
        <w:pStyle w:val="11"/>
        <w:autoSpaceDE w:val="0"/>
        <w:spacing w:before="0" w:beforeAutospacing="0" w:line="240" w:lineRule="auto"/>
        <w:ind w:firstLine="640" w:firstLineChars="200"/>
        <w:rPr>
          <w:rFonts w:hint="eastAsia" w:ascii="方正仿宋_GBK" w:hAnsi="方正仿宋_GBK" w:eastAsia="方正仿宋_GBK" w:cs="方正仿宋_GBK"/>
          <w:color w:val="auto"/>
          <w:sz w:val="32"/>
          <w:szCs w:val="32"/>
          <w:shd w:val="clear" w:color="auto" w:fill="FFFFFF"/>
          <w:lang w:eastAsia="zh-CN" w:bidi="ar"/>
        </w:rPr>
      </w:pPr>
      <w:r>
        <w:rPr>
          <w:rFonts w:hint="eastAsia" w:ascii="方正仿宋_GBK" w:hAnsi="方正仿宋_GBK" w:eastAsia="方正仿宋_GBK" w:cs="方正仿宋_GBK"/>
          <w:color w:val="auto"/>
          <w:sz w:val="32"/>
          <w:szCs w:val="32"/>
          <w:shd w:val="clear" w:color="auto" w:fill="FFFFFF"/>
          <w:lang w:eastAsia="zh-CN" w:bidi="ar"/>
        </w:rPr>
        <w:drawing>
          <wp:inline distT="0" distB="0" distL="114300" distR="114300">
            <wp:extent cx="5274310" cy="4119245"/>
            <wp:effectExtent l="0" t="0" r="2540" b="1460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10"/>
                    <a:stretch>
                      <a:fillRect/>
                    </a:stretch>
                  </pic:blipFill>
                  <pic:spPr>
                    <a:xfrm>
                      <a:off x="0" y="0"/>
                      <a:ext cx="5274310" cy="4119245"/>
                    </a:xfrm>
                    <a:prstGeom prst="rect">
                      <a:avLst/>
                    </a:prstGeom>
                  </pic:spPr>
                </pic:pic>
              </a:graphicData>
            </a:graphic>
          </wp:inline>
        </w:drawing>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（二）部门绩效评价情况</w:t>
      </w:r>
    </w:p>
    <w:p>
      <w:pPr>
        <w:pStyle w:val="10"/>
        <w:autoSpaceDE w:val="0"/>
        <w:ind w:firstLine="640"/>
        <w:rPr>
          <w:rFonts w:hint="eastAsia" w:ascii="方正仿宋_GBK" w:hAnsi="方正仿宋_GBK" w:eastAsia="方正仿宋_GBK" w:cs="方正仿宋_GBK"/>
          <w:b w:val="0"/>
          <w:bCs w:val="0"/>
          <w:color w:val="auto"/>
          <w:sz w:val="32"/>
          <w:szCs w:val="32"/>
          <w:highlight w:val="none"/>
          <w:shd w:val="clear" w:color="auto" w:fill="FFFFFF"/>
          <w:lang w:eastAsia="zh-CN" w:bidi="ar"/>
        </w:rPr>
      </w:pPr>
      <w:r>
        <w:rPr>
          <w:rFonts w:hint="eastAsia" w:ascii="方正仿宋_GBK" w:hAnsi="方正仿宋_GBK" w:eastAsia="方正仿宋_GBK" w:cs="方正仿宋_GBK"/>
          <w:b w:val="0"/>
          <w:bCs w:val="0"/>
          <w:color w:val="auto"/>
          <w:sz w:val="32"/>
          <w:szCs w:val="32"/>
          <w:highlight w:val="none"/>
          <w:shd w:val="clear" w:color="auto" w:fill="FFFFFF"/>
          <w:lang w:eastAsia="zh-CN" w:bidi="ar"/>
        </w:rPr>
        <w:t>我</w:t>
      </w:r>
      <w:r>
        <w:rPr>
          <w:rFonts w:hint="eastAsia" w:ascii="方正仿宋_GBK" w:hAnsi="方正仿宋_GBK" w:eastAsia="方正仿宋_GBK" w:cs="方正仿宋_GBK"/>
          <w:b w:val="0"/>
          <w:bCs w:val="0"/>
          <w:color w:val="auto"/>
          <w:sz w:val="32"/>
          <w:szCs w:val="32"/>
          <w:highlight w:val="none"/>
          <w:shd w:val="clear" w:color="auto" w:fill="FFFFFF"/>
          <w:lang w:val="en-US" w:eastAsia="zh-CN" w:bidi="ar"/>
        </w:rPr>
        <w:t>部门</w:t>
      </w:r>
      <w:r>
        <w:rPr>
          <w:rFonts w:hint="eastAsia" w:ascii="方正仿宋_GBK" w:hAnsi="方正仿宋_GBK" w:eastAsia="方正仿宋_GBK" w:cs="方正仿宋_GBK"/>
          <w:b w:val="0"/>
          <w:bCs w:val="0"/>
          <w:color w:val="auto"/>
          <w:sz w:val="32"/>
          <w:szCs w:val="32"/>
          <w:highlight w:val="none"/>
          <w:shd w:val="clear" w:color="auto" w:fill="FFFFFF"/>
          <w:lang w:eastAsia="zh-CN" w:bidi="ar"/>
        </w:rPr>
        <w:t>未组织开展绩效评价。</w:t>
      </w:r>
    </w:p>
    <w:p>
      <w:pPr>
        <w:pStyle w:val="10"/>
        <w:autoSpaceDE w:val="0"/>
        <w:ind w:firstLine="640"/>
        <w:rPr>
          <w:rFonts w:hint="eastAsia" w:ascii="楷体" w:hAnsi="楷体" w:eastAsia="楷体" w:cs="楷体"/>
          <w:b/>
          <w:bCs/>
          <w:color w:val="auto"/>
          <w:sz w:val="32"/>
          <w:szCs w:val="32"/>
          <w:shd w:val="clear" w:color="auto" w:fill="FFFFFF"/>
          <w:lang w:bidi="ar"/>
        </w:rPr>
      </w:pPr>
      <w:r>
        <w:rPr>
          <w:rFonts w:hint="eastAsia" w:ascii="楷体" w:hAnsi="楷体" w:eastAsia="楷体" w:cs="楷体"/>
          <w:b/>
          <w:bCs/>
          <w:color w:val="auto"/>
          <w:sz w:val="32"/>
          <w:szCs w:val="32"/>
          <w:shd w:val="clear" w:color="auto" w:fill="FFFFFF"/>
          <w:lang w:bidi="ar"/>
        </w:rPr>
        <w:t>（三）财政绩效评价情况</w:t>
      </w:r>
    </w:p>
    <w:p>
      <w:pPr>
        <w:pStyle w:val="10"/>
        <w:autoSpaceDE w:val="0"/>
        <w:ind w:firstLine="640"/>
        <w:rPr>
          <w:rFonts w:hint="eastAsia" w:ascii="方正仿宋_GBK" w:hAnsi="方正仿宋_GBK" w:eastAsia="方正仿宋_GBK" w:cs="方正仿宋_GBK"/>
          <w:b w:val="0"/>
          <w:bCs w:val="0"/>
          <w:color w:val="auto"/>
          <w:sz w:val="32"/>
          <w:szCs w:val="32"/>
          <w:highlight w:val="none"/>
          <w:shd w:val="clear" w:color="auto" w:fill="FFFFFF"/>
          <w:lang w:bidi="ar"/>
        </w:rPr>
      </w:pPr>
      <w:r>
        <w:rPr>
          <w:rFonts w:hint="eastAsia" w:ascii="方正仿宋_GBK" w:hAnsi="方正仿宋_GBK" w:eastAsia="方正仿宋_GBK" w:cs="方正仿宋_GBK"/>
          <w:b w:val="0"/>
          <w:bCs w:val="0"/>
          <w:color w:val="auto"/>
          <w:sz w:val="32"/>
          <w:szCs w:val="32"/>
          <w:highlight w:val="none"/>
          <w:shd w:val="clear" w:color="auto" w:fill="FFFFFF"/>
          <w:lang w:eastAsia="zh-CN" w:bidi="ar"/>
        </w:rPr>
        <w:t>县财政局未委托第三方对我</w:t>
      </w:r>
      <w:r>
        <w:rPr>
          <w:rFonts w:hint="eastAsia" w:ascii="方正仿宋_GBK" w:hAnsi="方正仿宋_GBK" w:eastAsia="方正仿宋_GBK" w:cs="方正仿宋_GBK"/>
          <w:b w:val="0"/>
          <w:bCs w:val="0"/>
          <w:color w:val="auto"/>
          <w:sz w:val="32"/>
          <w:szCs w:val="32"/>
          <w:highlight w:val="none"/>
          <w:shd w:val="clear" w:color="auto" w:fill="FFFFFF"/>
          <w:lang w:val="en-US" w:eastAsia="zh-CN" w:bidi="ar"/>
        </w:rPr>
        <w:t>部门</w:t>
      </w:r>
      <w:r>
        <w:rPr>
          <w:rFonts w:hint="eastAsia" w:ascii="方正仿宋_GBK" w:hAnsi="方正仿宋_GBK" w:eastAsia="方正仿宋_GBK" w:cs="方正仿宋_GBK"/>
          <w:b w:val="0"/>
          <w:bCs w:val="0"/>
          <w:color w:val="auto"/>
          <w:sz w:val="32"/>
          <w:szCs w:val="32"/>
          <w:highlight w:val="none"/>
          <w:shd w:val="clear" w:color="auto" w:fill="FFFFFF"/>
          <w:lang w:eastAsia="zh-CN" w:bidi="ar"/>
        </w:rPr>
        <w:t>开展绩效评价。</w:t>
      </w:r>
    </w:p>
    <w:p>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六、专业名词解释</w:t>
      </w:r>
    </w:p>
    <w:p>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以下为常见专业名词解释目录，仅供参考，</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shd w:val="clear" w:color="auto" w:fill="FFFFFF"/>
          <w:lang w:val="en-US" w:eastAsia="zh-CN" w:bidi="ar"/>
        </w:rPr>
        <w:t> </w:t>
      </w:r>
      <w:r>
        <w:rPr>
          <w:rFonts w:hint="eastAsia" w:ascii="楷体" w:hAnsi="楷体" w:eastAsia="楷体" w:cs="楷体"/>
          <w:b/>
          <w:bCs/>
          <w:color w:val="auto"/>
          <w:kern w:val="0"/>
          <w:sz w:val="32"/>
          <w:szCs w:val="32"/>
          <w:shd w:val="clear" w:color="auto" w:fill="FFFFFF"/>
          <w:lang w:val="en-US" w:eastAsia="zh-CN" w:bidi="ar"/>
        </w:rPr>
        <w:t>（一）财政拨款收入：</w:t>
      </w:r>
      <w:r>
        <w:rPr>
          <w:rFonts w:hint="eastAsia"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（二）事业收入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（三）经营收入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（四）其他收入</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（五）使用非财政拨款结余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（六）年初结转和结余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（七）结余分配</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（八）年末结转和结余</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（九）基本支出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（十）项目支出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（十一）经营支出</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（十二）“三公”经费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（十三）机关运行经费</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（十四）工资福利支出（支出经济分类科目类级）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（十五）商品和服务支出（支出经济分类科目类级）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楷体" w:hAnsi="楷体" w:eastAsia="楷体" w:cs="楷体"/>
          <w:color w:val="auto"/>
          <w:sz w:val="32"/>
          <w:szCs w:val="32"/>
          <w:shd w:val="clear" w:color="auto" w:fill="FFFFFF"/>
        </w:rPr>
        <w:t> （十六）对个人和家庭的补助（支出经济分类科目类级）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auto"/>
          <w:sz w:val="32"/>
          <w:szCs w:val="32"/>
        </w:rPr>
      </w:pPr>
      <w:r>
        <w:rPr>
          <w:rStyle w:val="9"/>
          <w:rFonts w:hint="eastAsia" w:ascii="方正仿宋_GBK" w:hAnsi="方正仿宋_GBK" w:eastAsia="方正仿宋_GBK" w:cs="方正仿宋_GBK"/>
          <w:color w:val="auto"/>
          <w:sz w:val="32"/>
          <w:szCs w:val="32"/>
          <w:shd w:val="clear" w:color="auto" w:fill="FFFFFF"/>
        </w:rPr>
        <w:t> </w:t>
      </w:r>
      <w:r>
        <w:rPr>
          <w:rStyle w:val="9"/>
          <w:rFonts w:hint="eastAsia" w:ascii="楷体" w:hAnsi="楷体" w:eastAsia="楷体" w:cs="楷体"/>
          <w:color w:val="auto"/>
          <w:sz w:val="32"/>
          <w:szCs w:val="32"/>
          <w:shd w:val="clear" w:color="auto" w:fill="FFFFFF"/>
        </w:rPr>
        <w:t>（十七）其他资本性支出（支出经济分类科目类级）</w:t>
      </w:r>
      <w:r>
        <w:rPr>
          <w:rFonts w:hint="eastAsia" w:ascii="楷体" w:hAnsi="楷体" w:eastAsia="楷体" w:cs="楷体"/>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eastAsia" w:ascii="方正仿宋_GBK" w:hAnsi="方正仿宋_GBK" w:eastAsia="方正仿宋_GBK" w:cs="方正仿宋_GBK"/>
          <w:color w:val="auto"/>
          <w:sz w:val="32"/>
          <w:szCs w:val="32"/>
          <w:shd w:val="clear" w:color="auto" w:fill="FFFFFF"/>
          <w:lang w:val="en-US" w:eastAsia="zh-CN"/>
        </w:rPr>
      </w:pPr>
      <w:r>
        <w:rPr>
          <w:rStyle w:val="9"/>
          <w:rFonts w:hint="eastAsia" w:ascii="方正仿宋_GBK" w:hAnsi="方正仿宋_GBK" w:eastAsia="方正仿宋_GBK" w:cs="方正仿宋_GBK"/>
          <w:color w:val="auto"/>
          <w:sz w:val="32"/>
          <w:szCs w:val="32"/>
          <w:shd w:val="clear" w:color="auto" w:fill="FFFFFF"/>
          <w:lang w:val="en-US" w:eastAsia="zh-CN"/>
        </w:rPr>
        <w:t xml:space="preserve">  </w:t>
      </w:r>
      <w:r>
        <w:rPr>
          <w:rStyle w:val="9"/>
          <w:rFonts w:hint="eastAsia" w:ascii="黑体" w:hAnsi="黑体" w:eastAsia="黑体" w:cs="黑体"/>
          <w:color w:val="auto"/>
          <w:sz w:val="32"/>
          <w:szCs w:val="32"/>
          <w:shd w:val="clear" w:color="auto" w:fill="FFFFFF"/>
          <w:lang w:val="en-US" w:eastAsia="zh-CN"/>
        </w:rPr>
        <w:t>七、决算公开联系方式及信息反馈渠道</w:t>
      </w:r>
    </w:p>
    <w:p>
      <w:pPr>
        <w:pStyle w:val="5"/>
        <w:widowControl/>
        <w:adjustRightInd w:val="0"/>
        <w:snapToGrid w:val="0"/>
        <w:spacing w:before="0" w:beforeAutospacing="0" w:after="0" w:afterAutospacing="0" w:line="594" w:lineRule="exact"/>
        <w:ind w:firstLine="640" w:firstLineChars="200"/>
        <w:jc w:val="left"/>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本单位决算公开信息反馈和联系方式：</w:t>
      </w:r>
    </w:p>
    <w:p>
      <w:pPr>
        <w:pStyle w:val="5"/>
        <w:widowControl/>
        <w:adjustRightInd w:val="0"/>
        <w:snapToGrid w:val="0"/>
        <w:spacing w:before="0" w:beforeAutospacing="0" w:after="0" w:afterAutospacing="0" w:line="594"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谭</w:t>
      </w:r>
      <w:r>
        <w:rPr>
          <w:rFonts w:hint="eastAsia" w:ascii="方正仿宋_GBK" w:hAnsi="方正仿宋_GBK" w:eastAsia="方正仿宋_GBK" w:cs="方正仿宋_GBK"/>
          <w:color w:val="auto"/>
          <w:sz w:val="32"/>
          <w:szCs w:val="32"/>
          <w:shd w:val="clear" w:color="auto" w:fill="FFFFFF"/>
          <w:lang w:val="en-US" w:eastAsia="zh-CN"/>
        </w:rPr>
        <w:t>老师</w:t>
      </w:r>
      <w:r>
        <w:rPr>
          <w:rFonts w:hint="eastAsia" w:ascii="方正仿宋_GBK" w:hAnsi="方正仿宋_GBK" w:eastAsia="方正仿宋_GBK" w:cs="方正仿宋_GBK"/>
          <w:color w:val="auto"/>
          <w:sz w:val="32"/>
          <w:szCs w:val="32"/>
          <w:shd w:val="clear" w:color="auto" w:fill="FFFFFF"/>
        </w:rPr>
        <w:t>  </w:t>
      </w:r>
      <w:r>
        <w:rPr>
          <w:rFonts w:hint="eastAsia" w:ascii="方正仿宋_GBK" w:hAnsi="方正仿宋_GBK" w:eastAsia="方正仿宋_GBK" w:cs="方正仿宋_GBK"/>
          <w:color w:val="auto"/>
          <w:sz w:val="32"/>
          <w:szCs w:val="32"/>
        </w:rPr>
        <w:t>023-74521077</w:t>
      </w:r>
    </w:p>
    <w:p>
      <w:pPr>
        <w:pStyle w:val="5"/>
        <w:snapToGrid w:val="0"/>
        <w:spacing w:before="0" w:beforeAutospacing="0" w:after="0" w:afterAutospacing="0" w:line="600" w:lineRule="exact"/>
        <w:ind w:firstLine="643" w:firstLineChars="200"/>
        <w:jc w:val="both"/>
        <w:rPr>
          <w:rStyle w:val="9"/>
          <w:rFonts w:hint="eastAsia" w:ascii="方正仿宋_GBK" w:hAnsi="方正仿宋_GBK" w:eastAsia="方正仿宋_GBK" w:cs="方正仿宋_GBK"/>
          <w:color w:val="auto"/>
          <w:sz w:val="32"/>
          <w:szCs w:val="32"/>
          <w:shd w:val="clear" w:color="auto" w:fill="FFFF00"/>
        </w:rPr>
      </w:pPr>
    </w:p>
    <w:p>
      <w:pPr>
        <w:pStyle w:val="5"/>
        <w:snapToGrid w:val="0"/>
        <w:spacing w:before="0" w:beforeAutospacing="0" w:after="0" w:afterAutospacing="0" w:line="600" w:lineRule="exact"/>
        <w:ind w:firstLine="643" w:firstLineChars="200"/>
        <w:jc w:val="both"/>
        <w:rPr>
          <w:rStyle w:val="9"/>
          <w:rFonts w:hint="eastAsia"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W w:w="5005" w:type="pct"/>
        <w:tblInd w:w="0" w:type="dxa"/>
        <w:tblLayout w:type="autofit"/>
        <w:tblCellMar>
          <w:top w:w="0" w:type="dxa"/>
          <w:left w:w="0" w:type="dxa"/>
          <w:bottom w:w="0" w:type="dxa"/>
          <w:right w:w="0" w:type="dxa"/>
        </w:tblCellMar>
      </w:tblPr>
      <w:tblGrid>
        <w:gridCol w:w="7445"/>
        <w:gridCol w:w="2935"/>
        <w:gridCol w:w="6989"/>
        <w:gridCol w:w="500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垫江县人民代表大会常务委员会办公室</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2,520.37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2,012.00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340.93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124.14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2,520.37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2,568.35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47.98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2,568.35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2,568.35</w:t>
            </w:r>
            <w:r>
              <w:rPr>
                <w:color w:val="000000"/>
                <w:sz w:val="20"/>
                <w:u w:color="auto"/>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spacing w:line="240" w:lineRule="exact"/>
        <w:rPr>
          <w:rFonts w:hint="default" w:cs="宋体"/>
          <w:sz w:val="20"/>
          <w:szCs w:val="20"/>
        </w:rPr>
      </w:pPr>
    </w:p>
    <w:tbl>
      <w:tblPr>
        <w:tblStyle w:val="6"/>
        <w:tblW w:w="5000" w:type="pct"/>
        <w:tblInd w:w="0" w:type="dxa"/>
        <w:tblLayout w:type="fixed"/>
        <w:tblCellMar>
          <w:top w:w="0" w:type="dxa"/>
          <w:left w:w="0" w:type="dxa"/>
          <w:bottom w:w="0" w:type="dxa"/>
          <w:right w:w="0" w:type="dxa"/>
        </w:tblCellMar>
      </w:tblPr>
      <w:tblGrid>
        <w:gridCol w:w="2471"/>
        <w:gridCol w:w="4608"/>
        <w:gridCol w:w="1793"/>
        <w:gridCol w:w="1793"/>
        <w:gridCol w:w="1793"/>
        <w:gridCol w:w="1793"/>
        <w:gridCol w:w="1985"/>
        <w:gridCol w:w="1899"/>
        <w:gridCol w:w="2092"/>
        <w:gridCol w:w="2124"/>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垫江县人民代表大会常务委员会办公室</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2,520.37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2,520.37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1,565.02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30" w:hanging="60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5000" w:type="pct"/>
        <w:tblInd w:w="0" w:type="dxa"/>
        <w:tblLayout w:type="autofit"/>
        <w:tblCellMar>
          <w:top w:w="0" w:type="dxa"/>
          <w:left w:w="0" w:type="dxa"/>
          <w:bottom w:w="0" w:type="dxa"/>
          <w:right w:w="0" w:type="dxa"/>
        </w:tblCellMar>
      </w:tblPr>
      <w:tblGrid>
        <w:gridCol w:w="2618"/>
        <w:gridCol w:w="4877"/>
        <w:gridCol w:w="2472"/>
        <w:gridCol w:w="2472"/>
        <w:gridCol w:w="2472"/>
        <w:gridCol w:w="2450"/>
        <w:gridCol w:w="2450"/>
        <w:gridCol w:w="253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垫江县人民代表大会常务委员会办公室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2,568.35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2,262.70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305.64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1,706.42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1,575.02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89.13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ascii="宋体" w:hAnsi="宋体" w:eastAsia="宋体" w:cs="宋体"/>
          <w:color w:val="auto"/>
          <w:sz w:val="21"/>
          <w:szCs w:val="21"/>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4790" w:type="pct"/>
        <w:tblInd w:w="0" w:type="dxa"/>
        <w:tblLayout w:type="autofit"/>
        <w:tblCellMar>
          <w:top w:w="0" w:type="dxa"/>
          <w:left w:w="0" w:type="dxa"/>
          <w:bottom w:w="0" w:type="dxa"/>
          <w:right w:w="0" w:type="dxa"/>
        </w:tblCellMar>
      </w:tblPr>
      <w:tblGrid>
        <w:gridCol w:w="4329"/>
        <w:gridCol w:w="2218"/>
        <w:gridCol w:w="4638"/>
        <w:gridCol w:w="2471"/>
        <w:gridCol w:w="2471"/>
        <w:gridCol w:w="2471"/>
        <w:gridCol w:w="2813"/>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垫江县人民代表大会常务委员会办公室</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2,520.37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47.98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2,568.35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2,568.35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rPr>
          <w:rFonts w:hint="eastAsia" w:ascii="宋体" w:hAnsi="宋体" w:eastAsia="宋体" w:cs="宋体"/>
          <w:color w:val="auto"/>
          <w:sz w:val="21"/>
          <w:szCs w:val="21"/>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5000" w:type="pct"/>
        <w:tblInd w:w="0" w:type="dxa"/>
        <w:tblLayout w:type="autofit"/>
        <w:tblCellMar>
          <w:top w:w="0" w:type="dxa"/>
          <w:left w:w="0" w:type="dxa"/>
          <w:bottom w:w="0" w:type="dxa"/>
          <w:right w:w="0" w:type="dxa"/>
        </w:tblCellMar>
      </w:tblPr>
      <w:tblGrid>
        <w:gridCol w:w="2700"/>
        <w:gridCol w:w="5158"/>
        <w:gridCol w:w="4823"/>
        <w:gridCol w:w="4823"/>
        <w:gridCol w:w="4846"/>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垫江县人民代表大会常务委员会办公室</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2,568.35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2,262.70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305.64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1,706.42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305.58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1,706.42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305.58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1,575.02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89.13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ascii="宋体" w:hAnsi="宋体" w:eastAsia="宋体" w:cs="宋体"/>
          <w:color w:val="auto"/>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numPr>
          <w:ilvl w:val="0"/>
          <w:numId w:val="0"/>
        </w:numPr>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4994" w:type="pct"/>
        <w:tblInd w:w="0" w:type="dxa"/>
        <w:tblLayout w:type="fixed"/>
        <w:tblCellMar>
          <w:top w:w="0" w:type="dxa"/>
          <w:left w:w="0" w:type="dxa"/>
          <w:bottom w:w="0" w:type="dxa"/>
          <w:right w:w="0" w:type="dxa"/>
        </w:tblCellMar>
      </w:tblPr>
      <w:tblGrid>
        <w:gridCol w:w="880"/>
        <w:gridCol w:w="3982"/>
        <w:gridCol w:w="2000"/>
        <w:gridCol w:w="1215"/>
        <w:gridCol w:w="2795"/>
        <w:gridCol w:w="2407"/>
        <w:gridCol w:w="1174"/>
        <w:gridCol w:w="5126"/>
        <w:gridCol w:w="2745"/>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垫江县人民代表大会常务委员会办公室</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606.92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91.93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1,887.38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375.33</w:t>
            </w:r>
            <w:r>
              <w:rPr>
                <w:color w:val="000000"/>
                <w:sz w:val="18"/>
                <w:u w:color="auto"/>
              </w:rPr>
              <w:t xml:space="preserve"> </w:t>
            </w:r>
          </w:p>
        </w:tc>
      </w:tr>
    </w:tbl>
    <w:p>
      <w:pPr>
        <w:rPr>
          <w:rFonts w:hint="eastAsia" w:ascii="宋体" w:hAnsi="宋体" w:eastAsia="宋体" w:cs="宋体"/>
          <w:color w:val="auto"/>
          <w:sz w:val="21"/>
          <w:szCs w:val="21"/>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垫江县人民代表大会常务委员会办公室</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color w:val="auto"/>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备注：本表反映部门本年度政府性基金预算财政拨款收入支出及结转和结余情况。本部门无政府性基金收支，故本表无数据。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公开部门</w:t>
            </w:r>
            <w:r>
              <w:rPr>
                <w:rFonts w:hint="eastAsia" w:asciiTheme="minorEastAsia" w:hAnsiTheme="minorEastAsia" w:eastAsiaTheme="minorEastAsia" w:cstheme="minorEastAsia"/>
                <w:color w:val="auto"/>
                <w:sz w:val="24"/>
                <w:szCs w:val="24"/>
                <w:lang w:bidi="ar"/>
              </w:rPr>
              <w:t xml:space="preserve">： </w:t>
            </w:r>
            <w:r>
              <w:rPr>
                <w:color w:val="auto"/>
                <w:sz w:val="24"/>
                <w:u w:color="auto"/>
              </w:rPr>
              <w:t>垫江县人民代表大会常务委员会办公室</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auto"/>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4850" w:type="pct"/>
        <w:tblInd w:w="0" w:type="dxa"/>
        <w:tblLayout w:type="fixed"/>
        <w:tblCellMar>
          <w:top w:w="0" w:type="dxa"/>
          <w:left w:w="170" w:type="dxa"/>
          <w:bottom w:w="0" w:type="dxa"/>
          <w:right w:w="170" w:type="dxa"/>
        </w:tblCellMar>
      </w:tblPr>
      <w:tblGrid>
        <w:gridCol w:w="5841"/>
        <w:gridCol w:w="3130"/>
        <w:gridCol w:w="3053"/>
        <w:gridCol w:w="6538"/>
        <w:gridCol w:w="311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垫江县人民代表大会常务委员会办公室</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355.22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26.37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26.37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355.22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19.98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19.98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6.39</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6.39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100.85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12.79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eastAsia" w:ascii="宋体" w:hAnsi="宋体" w:eastAsia="宋体" w:cs="宋体"/>
          <w:color w:val="auto"/>
          <w:sz w:val="21"/>
          <w:szCs w:val="21"/>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color w:val="auto"/>
          <w:sz w:val="21"/>
          <w:szCs w:val="21"/>
        </w:rPr>
        <w:br w:type="textWrapping"/>
      </w: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pStyle w:val="10"/>
        <w:autoSpaceDE w:val="0"/>
        <w:ind w:firstLine="0" w:firstLineChars="0"/>
        <w:rPr>
          <w:rFonts w:hint="default" w:ascii="宋体" w:hAnsi="宋体" w:eastAsia="宋体" w:cs="宋体"/>
          <w:color w:val="auto"/>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DhhNjljMjJiMzY0ZjZiZTg0YjRmNGUzNThkMTYifQ=="/>
    <w:docVar w:name="KSO_WPS_MARK_KEY" w:val="3621c566-d1b8-45bb-ac05-d03d7d51cdfd"/>
  </w:docVars>
  <w:rsids>
    <w:rsidRoot w:val="00B03CCD"/>
    <w:rsid w:val="002E5443"/>
    <w:rsid w:val="00550ABE"/>
    <w:rsid w:val="007B419D"/>
    <w:rsid w:val="009B67B8"/>
    <w:rsid w:val="00B03CCD"/>
    <w:rsid w:val="00E76362"/>
    <w:rsid w:val="00F73F90"/>
    <w:rsid w:val="01474EBF"/>
    <w:rsid w:val="01F3521E"/>
    <w:rsid w:val="035B4507"/>
    <w:rsid w:val="03B87EA0"/>
    <w:rsid w:val="03E3214F"/>
    <w:rsid w:val="044C50BA"/>
    <w:rsid w:val="056E267B"/>
    <w:rsid w:val="05BC6D49"/>
    <w:rsid w:val="06194FF1"/>
    <w:rsid w:val="06A2550B"/>
    <w:rsid w:val="06F80EE2"/>
    <w:rsid w:val="07001CCA"/>
    <w:rsid w:val="075678DB"/>
    <w:rsid w:val="079D7CC7"/>
    <w:rsid w:val="08051BCA"/>
    <w:rsid w:val="086C12F4"/>
    <w:rsid w:val="08BA052C"/>
    <w:rsid w:val="08DB07BA"/>
    <w:rsid w:val="08FD4BD5"/>
    <w:rsid w:val="0969353F"/>
    <w:rsid w:val="098305D0"/>
    <w:rsid w:val="09A17C56"/>
    <w:rsid w:val="0A5C4B69"/>
    <w:rsid w:val="0A727E00"/>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A001CE1"/>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2617B2B"/>
    <w:rsid w:val="24B92327"/>
    <w:rsid w:val="24C14514"/>
    <w:rsid w:val="2533755C"/>
    <w:rsid w:val="25791755"/>
    <w:rsid w:val="26396DF4"/>
    <w:rsid w:val="265C0D35"/>
    <w:rsid w:val="26A76454"/>
    <w:rsid w:val="27167136"/>
    <w:rsid w:val="27B23302"/>
    <w:rsid w:val="29310A5F"/>
    <w:rsid w:val="299A404E"/>
    <w:rsid w:val="29C37A35"/>
    <w:rsid w:val="2A076083"/>
    <w:rsid w:val="2A5A3FBB"/>
    <w:rsid w:val="2A73162E"/>
    <w:rsid w:val="2B167953"/>
    <w:rsid w:val="2B200583"/>
    <w:rsid w:val="2B8209DE"/>
    <w:rsid w:val="2C6762A3"/>
    <w:rsid w:val="2EBF7B3E"/>
    <w:rsid w:val="2FCA4B37"/>
    <w:rsid w:val="2FE029D7"/>
    <w:rsid w:val="2FF06E00"/>
    <w:rsid w:val="30562E26"/>
    <w:rsid w:val="30586FEC"/>
    <w:rsid w:val="30CB71E3"/>
    <w:rsid w:val="315F0B22"/>
    <w:rsid w:val="319D022C"/>
    <w:rsid w:val="31C90022"/>
    <w:rsid w:val="31D84415"/>
    <w:rsid w:val="32285F6F"/>
    <w:rsid w:val="32770556"/>
    <w:rsid w:val="329C0913"/>
    <w:rsid w:val="32AA0460"/>
    <w:rsid w:val="3337290D"/>
    <w:rsid w:val="33D64335"/>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891C5C"/>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847356"/>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375A78"/>
    <w:rsid w:val="4F0C6BA3"/>
    <w:rsid w:val="4F186D58"/>
    <w:rsid w:val="4FEA65B7"/>
    <w:rsid w:val="50F06B6E"/>
    <w:rsid w:val="52234D33"/>
    <w:rsid w:val="522F6E0C"/>
    <w:rsid w:val="52463BA1"/>
    <w:rsid w:val="52724976"/>
    <w:rsid w:val="52F163D4"/>
    <w:rsid w:val="531A2DB4"/>
    <w:rsid w:val="53C0244D"/>
    <w:rsid w:val="53DD4D4E"/>
    <w:rsid w:val="53E578CE"/>
    <w:rsid w:val="541330F0"/>
    <w:rsid w:val="54272666"/>
    <w:rsid w:val="543B029D"/>
    <w:rsid w:val="54861779"/>
    <w:rsid w:val="54C57E31"/>
    <w:rsid w:val="552256E1"/>
    <w:rsid w:val="554E5773"/>
    <w:rsid w:val="555A3CBC"/>
    <w:rsid w:val="5582012B"/>
    <w:rsid w:val="558E4E05"/>
    <w:rsid w:val="55BE2E85"/>
    <w:rsid w:val="56530F5D"/>
    <w:rsid w:val="567700D3"/>
    <w:rsid w:val="56FF7E9E"/>
    <w:rsid w:val="578867FC"/>
    <w:rsid w:val="5842572D"/>
    <w:rsid w:val="5A3B59D6"/>
    <w:rsid w:val="5A4B6B1B"/>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1197E"/>
    <w:rsid w:val="66EE5541"/>
    <w:rsid w:val="67924660"/>
    <w:rsid w:val="68407834"/>
    <w:rsid w:val="6883293E"/>
    <w:rsid w:val="688412AD"/>
    <w:rsid w:val="688A6AED"/>
    <w:rsid w:val="68EB1B71"/>
    <w:rsid w:val="69322C7A"/>
    <w:rsid w:val="69475C96"/>
    <w:rsid w:val="6AAD2300"/>
    <w:rsid w:val="6B474EF5"/>
    <w:rsid w:val="6BBF53FD"/>
    <w:rsid w:val="6C1C4C51"/>
    <w:rsid w:val="6C560CAE"/>
    <w:rsid w:val="6C576495"/>
    <w:rsid w:val="6D903FF5"/>
    <w:rsid w:val="6DA955B8"/>
    <w:rsid w:val="6DE346AB"/>
    <w:rsid w:val="6DE52764"/>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普通(网站) Char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5">
    <w:name w:val="3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8525</Words>
  <Characters>10907</Characters>
  <Lines>161</Lines>
  <Paragraphs>45</Paragraphs>
  <TotalTime>1</TotalTime>
  <ScaleCrop>false</ScaleCrop>
  <LinksUpToDate>false</LinksUpToDate>
  <CharactersWithSpaces>12124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2024-09-09T09:00:00Z</cp:lastPrinted>
  <dcterms:modified xsi:type="dcterms:W3CDTF">2024-09-11T03:23:46Z</dcterms:modified>
  <dc:title>垫江县人民代表大会常务委员会办公室2023年度决算公开说明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