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4" w:lineRule="exact"/>
        <w:jc w:val="center"/>
        <w:rPr>
          <w:rFonts w:hint="default" w:ascii="Times New Roman" w:hAnsi="Times New Roman" w:eastAsia="方正小标宋_GBK"/>
          <w:sz w:val="36"/>
          <w:szCs w:val="36"/>
          <w:shd w:val="clear" w:color="auto" w:fill="FFFFFF"/>
        </w:rPr>
      </w:pPr>
      <w:r>
        <w:rPr>
          <w:rFonts w:hint="default" w:ascii="Times New Roman" w:hAnsi="Times New Roman" w:eastAsia="方正小标宋_GBK"/>
          <w:sz w:val="36"/>
          <w:szCs w:val="36"/>
        </w:rPr>
        <w:t>垫江县统一战线服务中心</w:t>
      </w:r>
      <w:r>
        <w:rPr>
          <w:rFonts w:hint="default" w:ascii="Times New Roman" w:hAnsi="Times New Roman" w:eastAsia="方正小标宋_GBK"/>
          <w:sz w:val="36"/>
          <w:szCs w:val="36"/>
          <w:shd w:val="clear" w:color="auto" w:fill="FFFFFF"/>
        </w:rPr>
        <w:t>2023年度决算公开说明</w:t>
      </w:r>
    </w:p>
    <w:p>
      <w:pPr>
        <w:pStyle w:val="5"/>
        <w:spacing w:before="0" w:beforeAutospacing="0" w:after="0" w:afterAutospacing="0" w:line="594" w:lineRule="exact"/>
        <w:jc w:val="center"/>
        <w:rPr>
          <w:rFonts w:hint="default" w:ascii="Times New Roman" w:hAnsi="Times New Roman" w:eastAsia="方正小标宋_GBK"/>
          <w:sz w:val="36"/>
          <w:szCs w:val="36"/>
          <w:shd w:val="clear" w:color="auto" w:fill="FFFFFF"/>
        </w:rPr>
      </w:pPr>
    </w:p>
    <w:p>
      <w:pPr>
        <w:pStyle w:val="5"/>
        <w:spacing w:before="0" w:beforeAutospacing="0" w:after="0" w:afterAutospacing="0" w:line="594" w:lineRule="exact"/>
        <w:ind w:firstLine="640" w:firstLineChars="200"/>
        <w:rPr>
          <w:rStyle w:val="14"/>
          <w:rFonts w:hint="eastAsia" w:eastAsia="方正黑体_GBK"/>
          <w:b w:val="0"/>
          <w:bCs/>
          <w:sz w:val="32"/>
          <w:szCs w:val="32"/>
          <w:shd w:val="clear" w:color="auto" w:fill="FFFFFF"/>
          <w:lang w:bidi="ar"/>
        </w:rPr>
      </w:pPr>
      <w:r>
        <w:rPr>
          <w:rStyle w:val="14"/>
          <w:rFonts w:hint="eastAsia" w:eastAsia="方正黑体_GBK"/>
          <w:b w:val="0"/>
          <w:bCs/>
          <w:sz w:val="32"/>
          <w:szCs w:val="32"/>
          <w:shd w:val="clear" w:color="auto" w:fill="FFFFFF"/>
          <w:lang w:bidi="ar"/>
        </w:rPr>
        <w:t>一、单位基本情况</w:t>
      </w:r>
    </w:p>
    <w:p>
      <w:pPr>
        <w:pStyle w:val="11"/>
        <w:widowControl w:val="0"/>
        <w:autoSpaceDE w:val="0"/>
        <w:spacing w:before="0" w:beforeAutospacing="0" w:after="0" w:afterAutospacing="0" w:line="594" w:lineRule="exact"/>
        <w:ind w:firstLine="643" w:firstLineChars="200"/>
        <w:jc w:val="both"/>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（一）职能职责</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1.承担统一战线理论课题研究。</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2.协助联系各界代表人士反映意见和建议。</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3.协助做好民族宗教工作。</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4.做好香港、澳门和海外有关社团及代表人士和台胞、台属的服务工作。</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5.做好经济统战中的项目服务工作。</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6.调查了解党外知识分子的情况、反映动态。</w:t>
      </w:r>
    </w:p>
    <w:p>
      <w:pPr>
        <w:pStyle w:val="5"/>
        <w:spacing w:beforeAutospacing="0" w:after="0" w:afterAutospacing="0" w:line="594" w:lineRule="exact"/>
        <w:ind w:firstLine="643" w:firstLineChars="200"/>
        <w:rPr>
          <w:rFonts w:hint="default" w:ascii="Times New Roman" w:hAnsi="Times New Roman" w:eastAsia="楷体"/>
          <w:b/>
          <w:bCs/>
          <w:sz w:val="32"/>
          <w:szCs w:val="32"/>
          <w:shd w:val="clear" w:color="auto" w:fill="FFFFFF"/>
          <w:lang w:bidi="ar"/>
        </w:rPr>
      </w:pPr>
      <w:r>
        <w:rPr>
          <w:rFonts w:hint="default" w:ascii="Times New Roman" w:hAnsi="Times New Roman" w:eastAsia="楷体"/>
          <w:b/>
          <w:bCs/>
          <w:sz w:val="32"/>
          <w:szCs w:val="32"/>
          <w:shd w:val="clear" w:color="auto" w:fill="FFFFFF"/>
          <w:lang w:bidi="ar"/>
        </w:rPr>
        <w:t>（二）机构设置</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本部门内设机构2个（综合科、调研科），2023年末，实有在职人数7人。</w:t>
      </w:r>
    </w:p>
    <w:p>
      <w:pPr>
        <w:pStyle w:val="5"/>
        <w:spacing w:beforeAutospacing="0" w:after="0" w:afterAutospacing="0" w:line="594" w:lineRule="exact"/>
        <w:ind w:firstLine="643" w:firstLineChars="200"/>
        <w:rPr>
          <w:rStyle w:val="9"/>
          <w:rFonts w:hint="default" w:ascii="Times New Roman" w:hAnsi="Times New Roman" w:eastAsia="黑体"/>
          <w:sz w:val="32"/>
          <w:szCs w:val="32"/>
          <w:shd w:val="clear" w:color="auto" w:fill="FFFFFF"/>
        </w:rPr>
      </w:pPr>
      <w:r>
        <w:rPr>
          <w:rStyle w:val="9"/>
          <w:rFonts w:hint="default" w:ascii="Times New Roman" w:hAnsi="Times New Roman" w:eastAsia="黑体"/>
          <w:sz w:val="32"/>
          <w:szCs w:val="32"/>
          <w:shd w:val="clear" w:color="auto" w:fill="FFFFFF"/>
        </w:rPr>
        <w:t>二、部门决算情况说明</w:t>
      </w:r>
    </w:p>
    <w:p>
      <w:pPr>
        <w:pStyle w:val="10"/>
        <w:autoSpaceDE w:val="0"/>
        <w:spacing w:line="594"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（一）收入支出决算总体情况说明。</w:t>
      </w:r>
    </w:p>
    <w:p>
      <w:pPr>
        <w:pStyle w:val="5"/>
        <w:spacing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2023年度收入总计147.20万元，支出总计</w:t>
      </w:r>
      <w:r>
        <w:rPr>
          <w:rFonts w:hint="default" w:ascii="Times New Roman" w:hAnsi="Times New Roman" w:eastAsia="方正仿宋_GBK"/>
          <w:sz w:val="32"/>
          <w:szCs w:val="32"/>
        </w:rPr>
        <w:t>147.20</w:t>
      </w:r>
      <w:r>
        <w:rPr>
          <w:rFonts w:hint="default" w:ascii="Times New Roman" w:hAnsi="Times New Roman" w:eastAsia="方正仿宋_GBK"/>
          <w:sz w:val="32"/>
          <w:szCs w:val="32"/>
          <w:shd w:val="clear" w:color="auto" w:fill="FFFFFF"/>
        </w:rPr>
        <w:t>万元。收支较上年决算数增加9.02万元，增长6.53%，主要原因是</w:t>
      </w:r>
      <w:r>
        <w:rPr>
          <w:rFonts w:ascii="Times New Roman" w:hAnsi="Times New Roman" w:eastAsia="方正仿宋_GBK"/>
          <w:sz w:val="32"/>
          <w:szCs w:val="32"/>
          <w:shd w:val="clear" w:color="auto" w:fill="FFFFFF"/>
        </w:rPr>
        <w:t>职工超额绩效清算、晋岗晋级</w:t>
      </w:r>
      <w:r>
        <w:rPr>
          <w:rFonts w:ascii="方正仿宋_GBK" w:hAnsi="方正仿宋_GBK" w:eastAsia="方正仿宋_GBK" w:cs="方正仿宋_GBK"/>
          <w:bCs/>
          <w:sz w:val="32"/>
          <w:szCs w:val="32"/>
        </w:rPr>
        <w:t>等人员类经费增加</w:t>
      </w:r>
      <w:r>
        <w:rPr>
          <w:rFonts w:hint="default" w:ascii="Times New Roman" w:hAnsi="Times New Roman" w:eastAsia="方正仿宋_GBK"/>
          <w:sz w:val="32"/>
          <w:szCs w:val="32"/>
          <w:shd w:val="clear" w:color="auto" w:fill="FFFFFF"/>
        </w:rPr>
        <w:t>。</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9"/>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2023年度收入合计147.20万元，较上年决算数增加9.02万元，增长6.53%，主要原因是</w:t>
      </w:r>
      <w:r>
        <w:rPr>
          <w:rFonts w:ascii="Times New Roman" w:hAnsi="Times New Roman" w:eastAsia="方正仿宋_GBK"/>
          <w:sz w:val="32"/>
          <w:szCs w:val="32"/>
          <w:shd w:val="clear" w:color="auto" w:fill="FFFFFF"/>
        </w:rPr>
        <w:t>职工超额绩效清算、晋岗晋级</w:t>
      </w:r>
      <w:r>
        <w:rPr>
          <w:rFonts w:ascii="方正仿宋_GBK" w:hAnsi="方正仿宋_GBK" w:eastAsia="方正仿宋_GBK" w:cs="方正仿宋_GBK"/>
          <w:bCs/>
          <w:sz w:val="32"/>
          <w:szCs w:val="32"/>
        </w:rPr>
        <w:t>等人员类经费增加</w:t>
      </w:r>
      <w:r>
        <w:rPr>
          <w:rFonts w:hint="default" w:ascii="Times New Roman" w:hAnsi="Times New Roman" w:eastAsia="方正仿宋_GBK"/>
          <w:sz w:val="32"/>
          <w:szCs w:val="32"/>
          <w:shd w:val="clear" w:color="auto" w:fill="FFFFFF"/>
        </w:rPr>
        <w:t>。其中：财政拨款收入</w:t>
      </w:r>
      <w:r>
        <w:rPr>
          <w:rFonts w:hint="default" w:ascii="Times New Roman" w:hAnsi="Times New Roman" w:eastAsia="方正仿宋_GBK"/>
          <w:sz w:val="32"/>
          <w:szCs w:val="32"/>
        </w:rPr>
        <w:t>147.20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9"/>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2023年度支出合计</w:t>
      </w:r>
      <w:r>
        <w:rPr>
          <w:rFonts w:hint="default" w:ascii="Times New Roman" w:hAnsi="Times New Roman" w:eastAsia="方正仿宋_GBK"/>
          <w:sz w:val="32"/>
          <w:szCs w:val="32"/>
        </w:rPr>
        <w:t>147.20</w:t>
      </w:r>
      <w:r>
        <w:rPr>
          <w:rFonts w:hint="default" w:ascii="Times New Roman" w:hAnsi="Times New Roman" w:eastAsia="方正仿宋_GBK"/>
          <w:sz w:val="32"/>
          <w:szCs w:val="32"/>
          <w:shd w:val="clear" w:color="auto" w:fill="FFFFFF"/>
        </w:rPr>
        <w:t>万元，较上年决算数增加9.02万元，增长6.53%，主要原因是</w:t>
      </w:r>
      <w:r>
        <w:rPr>
          <w:rFonts w:ascii="Times New Roman" w:hAnsi="Times New Roman" w:eastAsia="方正仿宋_GBK"/>
          <w:sz w:val="32"/>
          <w:szCs w:val="32"/>
          <w:shd w:val="clear" w:color="auto" w:fill="FFFFFF"/>
        </w:rPr>
        <w:t>职工超额绩效清算、晋岗晋级</w:t>
      </w:r>
      <w:r>
        <w:rPr>
          <w:rFonts w:ascii="方正仿宋_GBK" w:hAnsi="方正仿宋_GBK" w:eastAsia="方正仿宋_GBK" w:cs="方正仿宋_GBK"/>
          <w:bCs/>
          <w:sz w:val="32"/>
          <w:szCs w:val="32"/>
        </w:rPr>
        <w:t>等人员类经费增加</w:t>
      </w:r>
      <w:r>
        <w:rPr>
          <w:rFonts w:hint="default" w:ascii="Times New Roman" w:hAnsi="Times New Roman" w:eastAsia="方正仿宋_GBK"/>
          <w:sz w:val="32"/>
          <w:szCs w:val="32"/>
          <w:shd w:val="clear" w:color="auto" w:fill="FFFFFF"/>
        </w:rPr>
        <w:t>。其中：基本支出</w:t>
      </w:r>
      <w:r>
        <w:rPr>
          <w:rFonts w:hint="default" w:ascii="Times New Roman" w:hAnsi="Times New Roman" w:eastAsia="方正仿宋_GBK"/>
          <w:sz w:val="32"/>
          <w:szCs w:val="32"/>
        </w:rPr>
        <w:t>147.20</w:t>
      </w:r>
      <w:r>
        <w:rPr>
          <w:rFonts w:hint="default" w:ascii="Times New Roman" w:hAnsi="Times New Roman" w:eastAsia="方正仿宋_GBK"/>
          <w:sz w:val="32"/>
          <w:szCs w:val="32"/>
          <w:shd w:val="clear" w:color="auto" w:fill="FFFFFF"/>
        </w:rPr>
        <w:t>万元，占100.00%；项目支出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4.结转结余情况。</w:t>
      </w:r>
      <w:r>
        <w:rPr>
          <w:rFonts w:hint="default" w:ascii="Times New Roman" w:hAnsi="Times New Roman" w:eastAsia="方正仿宋_GBK"/>
          <w:sz w:val="32"/>
          <w:szCs w:val="32"/>
          <w:shd w:val="clear" w:color="auto" w:fill="FFFFFF"/>
        </w:rPr>
        <w:t>2023年度年末结转和结余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万元，较上年决算数无增减，主要原因是年末</w:t>
      </w:r>
      <w:r>
        <w:rPr>
          <w:rFonts w:ascii="Times New Roman" w:hAnsi="Times New Roman" w:eastAsia="方正仿宋_GBK"/>
          <w:sz w:val="32"/>
          <w:szCs w:val="32"/>
          <w:shd w:val="clear" w:color="auto" w:fill="FFFFFF"/>
        </w:rPr>
        <w:t>均无</w:t>
      </w:r>
      <w:r>
        <w:rPr>
          <w:rFonts w:hint="default" w:ascii="Times New Roman" w:hAnsi="Times New Roman" w:eastAsia="方正仿宋_GBK"/>
          <w:sz w:val="32"/>
          <w:szCs w:val="32"/>
          <w:shd w:val="clear" w:color="auto" w:fill="FFFFFF"/>
        </w:rPr>
        <w:t>结转和结余。</w:t>
      </w:r>
    </w:p>
    <w:p>
      <w:pPr>
        <w:pStyle w:val="10"/>
        <w:autoSpaceDE w:val="0"/>
        <w:spacing w:line="594"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（二）财政拨款收入支出决算总体情况说明</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2023年度财政拨款收、支总计147.20万元。与2022年相比，财政拨款收、支总计各增加9.02万元，增长6.53%。主要原因是</w:t>
      </w:r>
      <w:r>
        <w:rPr>
          <w:rFonts w:ascii="Times New Roman" w:hAnsi="Times New Roman" w:eastAsia="方正仿宋_GBK"/>
          <w:sz w:val="32"/>
          <w:szCs w:val="32"/>
          <w:shd w:val="clear" w:color="auto" w:fill="FFFFFF"/>
        </w:rPr>
        <w:t>职工超额绩效清算、晋岗晋级</w:t>
      </w:r>
      <w:r>
        <w:rPr>
          <w:rFonts w:ascii="方正仿宋_GBK" w:hAnsi="方正仿宋_GBK" w:eastAsia="方正仿宋_GBK" w:cs="方正仿宋_GBK"/>
          <w:bCs/>
          <w:sz w:val="32"/>
          <w:szCs w:val="32"/>
        </w:rPr>
        <w:t>等人员类经费增加</w:t>
      </w:r>
      <w:r>
        <w:rPr>
          <w:rFonts w:hint="default" w:ascii="Times New Roman" w:hAnsi="Times New Roman" w:eastAsia="方正仿宋_GBK"/>
          <w:sz w:val="32"/>
          <w:szCs w:val="32"/>
          <w:shd w:val="clear" w:color="auto" w:fill="FFFFFF"/>
        </w:rPr>
        <w:t>。</w:t>
      </w:r>
    </w:p>
    <w:p>
      <w:pPr>
        <w:pStyle w:val="10"/>
        <w:autoSpaceDE w:val="0"/>
        <w:spacing w:line="594"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（三）一般公共预算财政拨款收入支出决算情况说明</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2023年度一般公共预算财政拨款收入</w:t>
      </w:r>
      <w:r>
        <w:rPr>
          <w:rFonts w:hint="default" w:ascii="Times New Roman" w:hAnsi="Times New Roman" w:eastAsia="方正仿宋_GBK"/>
          <w:sz w:val="32"/>
          <w:szCs w:val="32"/>
        </w:rPr>
        <w:t>147.20</w:t>
      </w:r>
      <w:r>
        <w:rPr>
          <w:rFonts w:hint="default" w:ascii="Times New Roman" w:hAnsi="Times New Roman" w:eastAsia="方正仿宋_GBK"/>
          <w:sz w:val="32"/>
          <w:szCs w:val="32"/>
          <w:shd w:val="clear" w:color="auto" w:fill="FFFFFF"/>
        </w:rPr>
        <w:t>万元，较上年决算数增加9.02万元，增长6.53%。主要原因是</w:t>
      </w:r>
      <w:r>
        <w:rPr>
          <w:rFonts w:ascii="Times New Roman" w:hAnsi="Times New Roman" w:eastAsia="方正仿宋_GBK"/>
          <w:sz w:val="32"/>
          <w:szCs w:val="32"/>
          <w:shd w:val="clear" w:color="auto" w:fill="FFFFFF"/>
        </w:rPr>
        <w:t>职工超额绩效清算、晋岗晋级</w:t>
      </w:r>
      <w:r>
        <w:rPr>
          <w:rFonts w:ascii="方正仿宋_GBK" w:hAnsi="方正仿宋_GBK" w:eastAsia="方正仿宋_GBK" w:cs="方正仿宋_GBK"/>
          <w:bCs/>
          <w:sz w:val="32"/>
          <w:szCs w:val="32"/>
        </w:rPr>
        <w:t>等人员类经费增加</w:t>
      </w:r>
      <w:r>
        <w:rPr>
          <w:rFonts w:hint="default" w:ascii="Times New Roman" w:hAnsi="Times New Roman" w:eastAsia="方正仿宋_GBK"/>
          <w:sz w:val="32"/>
          <w:szCs w:val="32"/>
          <w:shd w:val="clear" w:color="auto" w:fill="FFFFFF"/>
        </w:rPr>
        <w:t>。较年初预算数增加15.75万元，增长11.98%。主要原因是</w:t>
      </w:r>
      <w:r>
        <w:rPr>
          <w:rFonts w:ascii="Times New Roman" w:hAnsi="Times New Roman" w:eastAsia="方正仿宋_GBK"/>
          <w:sz w:val="32"/>
          <w:szCs w:val="32"/>
          <w:shd w:val="clear" w:color="auto" w:fill="FFFFFF"/>
        </w:rPr>
        <w:t>职工超额绩效清算、晋岗晋级</w:t>
      </w:r>
      <w:r>
        <w:rPr>
          <w:rFonts w:ascii="方正仿宋_GBK" w:hAnsi="方正仿宋_GBK" w:eastAsia="方正仿宋_GBK" w:cs="方正仿宋_GBK"/>
          <w:bCs/>
          <w:sz w:val="32"/>
          <w:szCs w:val="32"/>
        </w:rPr>
        <w:t>等人员类经费增加</w:t>
      </w:r>
      <w:r>
        <w:rPr>
          <w:rFonts w:hint="default" w:ascii="Times New Roman" w:hAnsi="Times New Roman" w:eastAsia="方正仿宋_GBK"/>
          <w:sz w:val="32"/>
          <w:szCs w:val="32"/>
          <w:shd w:val="clear" w:color="auto" w:fill="FFFFFF"/>
        </w:rPr>
        <w:t>。此外，年初财政拨款结转和结余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2023年度一般公共预算财政拨款支出</w:t>
      </w:r>
      <w:r>
        <w:rPr>
          <w:rFonts w:hint="default" w:ascii="Times New Roman" w:hAnsi="Times New Roman" w:eastAsia="方正仿宋_GBK"/>
          <w:sz w:val="32"/>
          <w:szCs w:val="32"/>
        </w:rPr>
        <w:t>147.20</w:t>
      </w:r>
      <w:r>
        <w:rPr>
          <w:rFonts w:hint="default" w:ascii="Times New Roman" w:hAnsi="Times New Roman" w:eastAsia="方正仿宋_GBK"/>
          <w:sz w:val="32"/>
          <w:szCs w:val="32"/>
          <w:shd w:val="clear" w:color="auto" w:fill="FFFFFF"/>
        </w:rPr>
        <w:t>万元，较上年决算数增加9.02万元，增长6.53%。主要原因是主要原因是</w:t>
      </w:r>
      <w:r>
        <w:rPr>
          <w:rFonts w:ascii="Times New Roman" w:hAnsi="Times New Roman" w:eastAsia="方正仿宋_GBK"/>
          <w:sz w:val="32"/>
          <w:szCs w:val="32"/>
          <w:shd w:val="clear" w:color="auto" w:fill="FFFFFF"/>
        </w:rPr>
        <w:t>职工超额绩效清算、晋岗晋级</w:t>
      </w:r>
      <w:r>
        <w:rPr>
          <w:rFonts w:ascii="方正仿宋_GBK" w:hAnsi="方正仿宋_GBK" w:eastAsia="方正仿宋_GBK" w:cs="方正仿宋_GBK"/>
          <w:bCs/>
          <w:sz w:val="32"/>
          <w:szCs w:val="32"/>
        </w:rPr>
        <w:t>等人员类经费增加</w:t>
      </w:r>
      <w:r>
        <w:rPr>
          <w:rFonts w:hint="default" w:ascii="Times New Roman" w:hAnsi="Times New Roman" w:eastAsia="方正仿宋_GBK"/>
          <w:sz w:val="32"/>
          <w:szCs w:val="32"/>
          <w:shd w:val="clear" w:color="auto" w:fill="FFFFFF"/>
        </w:rPr>
        <w:t>。较年初预算数增加15.75万元，增长11.98%。主要原因是</w:t>
      </w:r>
      <w:r>
        <w:rPr>
          <w:rFonts w:ascii="Times New Roman" w:hAnsi="Times New Roman" w:eastAsia="方正仿宋_GBK"/>
          <w:sz w:val="32"/>
          <w:szCs w:val="32"/>
          <w:shd w:val="clear" w:color="auto" w:fill="FFFFFF"/>
        </w:rPr>
        <w:t>职工超额绩效清算、晋岗晋级</w:t>
      </w:r>
      <w:r>
        <w:rPr>
          <w:rFonts w:ascii="方正仿宋_GBK" w:hAnsi="方正仿宋_GBK" w:eastAsia="方正仿宋_GBK" w:cs="方正仿宋_GBK"/>
          <w:bCs/>
          <w:sz w:val="32"/>
          <w:szCs w:val="32"/>
        </w:rPr>
        <w:t>等人员类经费增加</w:t>
      </w:r>
      <w:r>
        <w:rPr>
          <w:rFonts w:hint="default" w:ascii="Times New Roman" w:hAnsi="Times New Roman" w:eastAsia="方正仿宋_GBK"/>
          <w:sz w:val="32"/>
          <w:szCs w:val="32"/>
          <w:shd w:val="clear" w:color="auto" w:fill="FFFFFF"/>
        </w:rPr>
        <w:t>。</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3.结转结余情况。</w:t>
      </w:r>
      <w:r>
        <w:rPr>
          <w:rFonts w:hint="default" w:ascii="Times New Roman" w:hAnsi="Times New Roman" w:eastAsia="方正仿宋_GBK"/>
          <w:sz w:val="32"/>
          <w:szCs w:val="32"/>
          <w:shd w:val="clear" w:color="auto" w:fill="FFFFFF"/>
        </w:rPr>
        <w:t>2023年度年末一般公共预算财政拨款结转和结余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万元，较上年决算数无增减，主要原因是主要原因是年末</w:t>
      </w:r>
      <w:r>
        <w:rPr>
          <w:rFonts w:ascii="Times New Roman" w:hAnsi="Times New Roman" w:eastAsia="方正仿宋_GBK"/>
          <w:sz w:val="32"/>
          <w:szCs w:val="32"/>
          <w:shd w:val="clear" w:color="auto" w:fill="FFFFFF"/>
        </w:rPr>
        <w:t>均无</w:t>
      </w:r>
      <w:r>
        <w:rPr>
          <w:rFonts w:hint="default" w:ascii="Times New Roman" w:hAnsi="Times New Roman" w:eastAsia="方正仿宋_GBK"/>
          <w:sz w:val="32"/>
          <w:szCs w:val="32"/>
          <w:shd w:val="clear" w:color="auto" w:fill="FFFFFF"/>
        </w:rPr>
        <w:t>结转和结余。</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9"/>
          <w:rFonts w:hint="default" w:ascii="Times New Roman" w:hAnsi="Times New Roman" w:eastAsia="方正仿宋_GBK"/>
          <w:sz w:val="32"/>
          <w:szCs w:val="32"/>
          <w:shd w:val="clear" w:color="auto" w:fill="FFFFFF"/>
        </w:rPr>
        <w:t xml:space="preserve"> 4.比较情况。</w:t>
      </w:r>
      <w:r>
        <w:rPr>
          <w:rFonts w:hint="default" w:ascii="Times New Roman" w:hAnsi="Times New Roman" w:eastAsia="方正仿宋_GBK"/>
          <w:sz w:val="32"/>
          <w:szCs w:val="32"/>
          <w:shd w:val="clear" w:color="auto" w:fill="FFFFFF"/>
        </w:rPr>
        <w:t>本部门2023年度一般公共预算财政拨款支出主要用于以下几个方面：</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（1）一般公共服务支出</w:t>
      </w:r>
      <w:r>
        <w:rPr>
          <w:rFonts w:hint="default" w:ascii="Times New Roman" w:hAnsi="Times New Roman" w:eastAsia="方正仿宋_GBK"/>
          <w:sz w:val="32"/>
          <w:szCs w:val="32"/>
        </w:rPr>
        <w:t>121.43</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82.49</w:t>
      </w:r>
      <w:r>
        <w:rPr>
          <w:rFonts w:hint="default" w:ascii="Times New Roman" w:hAnsi="Times New Roman" w:eastAsia="方正仿宋_GBK"/>
          <w:sz w:val="32"/>
          <w:szCs w:val="32"/>
          <w:shd w:val="clear" w:color="auto" w:fill="FFFFFF"/>
        </w:rPr>
        <w:t>%，较年初预算数增加12.62万元，增长11.60%，主要原因是</w:t>
      </w:r>
      <w:r>
        <w:rPr>
          <w:rFonts w:ascii="Times New Roman" w:hAnsi="Times New Roman" w:eastAsia="方正仿宋_GBK"/>
          <w:sz w:val="32"/>
          <w:szCs w:val="32"/>
          <w:shd w:val="clear" w:color="auto" w:fill="FFFFFF"/>
        </w:rPr>
        <w:t>追加职工超额绩效</w:t>
      </w:r>
      <w:r>
        <w:rPr>
          <w:rFonts w:hint="default" w:ascii="Times New Roman" w:hAnsi="Times New Roman" w:eastAsia="方正仿宋_GBK"/>
          <w:sz w:val="32"/>
          <w:szCs w:val="32"/>
          <w:shd w:val="clear" w:color="auto" w:fill="FFFFFF"/>
        </w:rPr>
        <w:t>。</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2</w:t>
      </w:r>
      <w:r>
        <w:rPr>
          <w:rFonts w:hint="default" w:ascii="Times New Roman" w:hAnsi="Times New Roman" w:eastAsia="方正仿宋_GBK"/>
          <w:sz w:val="32"/>
          <w:szCs w:val="32"/>
          <w:shd w:val="clear" w:color="auto" w:fill="FFFFFF"/>
        </w:rPr>
        <w:t>）社会保障与就业支出</w:t>
      </w:r>
      <w:r>
        <w:rPr>
          <w:rFonts w:hint="default" w:ascii="Times New Roman" w:hAnsi="Times New Roman" w:eastAsia="方正仿宋_GBK"/>
          <w:sz w:val="32"/>
          <w:szCs w:val="32"/>
        </w:rPr>
        <w:t>11.62</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7.89</w:t>
      </w:r>
      <w:r>
        <w:rPr>
          <w:rFonts w:hint="default" w:ascii="Times New Roman" w:hAnsi="Times New Roman" w:eastAsia="方正仿宋_GBK"/>
          <w:sz w:val="32"/>
          <w:szCs w:val="32"/>
          <w:shd w:val="clear" w:color="auto" w:fill="FFFFFF"/>
        </w:rPr>
        <w:t>%，较年初预算数无增减，主要原因是</w:t>
      </w:r>
      <w:r>
        <w:rPr>
          <w:rFonts w:ascii="Times New Roman" w:hAnsi="Times New Roman" w:eastAsia="方正仿宋_GBK"/>
          <w:sz w:val="32"/>
          <w:szCs w:val="32"/>
          <w:shd w:val="clear" w:color="auto" w:fill="FFFFFF"/>
        </w:rPr>
        <w:t>严格按照年初预算支出</w:t>
      </w:r>
      <w:r>
        <w:rPr>
          <w:rFonts w:hint="default" w:ascii="Times New Roman" w:hAnsi="Times New Roman" w:eastAsia="方正仿宋_GBK"/>
          <w:sz w:val="32"/>
          <w:szCs w:val="32"/>
          <w:shd w:val="clear" w:color="auto" w:fill="FFFFFF"/>
        </w:rPr>
        <w:t>。</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3</w:t>
      </w:r>
      <w:r>
        <w:rPr>
          <w:rFonts w:hint="default" w:ascii="Times New Roman" w:hAnsi="Times New Roman" w:eastAsia="方正仿宋_GBK"/>
          <w:sz w:val="32"/>
          <w:szCs w:val="32"/>
          <w:shd w:val="clear" w:color="auto" w:fill="FFFFFF"/>
        </w:rPr>
        <w:t>）卫生健康支出</w:t>
      </w:r>
      <w:r>
        <w:rPr>
          <w:rFonts w:hint="default" w:ascii="Times New Roman" w:hAnsi="Times New Roman" w:eastAsia="方正仿宋_GBK"/>
          <w:sz w:val="32"/>
          <w:szCs w:val="32"/>
        </w:rPr>
        <w:t>4.57</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3.11</w:t>
      </w:r>
      <w:r>
        <w:rPr>
          <w:rFonts w:hint="default" w:ascii="Times New Roman" w:hAnsi="Times New Roman" w:eastAsia="方正仿宋_GBK"/>
          <w:sz w:val="32"/>
          <w:szCs w:val="32"/>
          <w:shd w:val="clear" w:color="auto" w:fill="FFFFFF"/>
        </w:rPr>
        <w:t>%，较年初预算数减少0.27万元，下降5.58%，主要原因是</w:t>
      </w:r>
      <w:r>
        <w:rPr>
          <w:rFonts w:ascii="Times New Roman" w:hAnsi="Times New Roman" w:eastAsia="方正仿宋_GBK"/>
          <w:sz w:val="32"/>
          <w:szCs w:val="32"/>
          <w:shd w:val="clear" w:color="auto" w:fill="FFFFFF"/>
        </w:rPr>
        <w:t>县委统战部（本级）垫支</w:t>
      </w:r>
      <w:r>
        <w:rPr>
          <w:rFonts w:hint="default" w:ascii="Times New Roman" w:hAnsi="Times New Roman" w:eastAsia="方正仿宋_GBK"/>
          <w:sz w:val="32"/>
          <w:szCs w:val="32"/>
        </w:rPr>
        <w:t>。</w:t>
      </w:r>
    </w:p>
    <w:p>
      <w:pPr>
        <w:spacing w:line="594" w:lineRule="exact"/>
        <w:ind w:firstLine="640" w:firstLineChars="20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4</w:t>
      </w:r>
      <w:r>
        <w:rPr>
          <w:rFonts w:hint="default" w:ascii="Times New Roman" w:hAnsi="Times New Roman" w:eastAsia="方正仿宋_GBK"/>
          <w:sz w:val="32"/>
          <w:szCs w:val="32"/>
          <w:shd w:val="clear" w:color="auto" w:fill="FFFFFF"/>
        </w:rPr>
        <w:t>）</w:t>
      </w:r>
      <w:r>
        <w:rPr>
          <w:rFonts w:hint="default" w:ascii="Times New Roman" w:hAnsi="Times New Roman" w:eastAsia="方正仿宋_GBK"/>
          <w:sz w:val="32"/>
          <w:szCs w:val="32"/>
        </w:rPr>
        <w:t>住房保障支出9.58</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6.51</w:t>
      </w:r>
      <w:r>
        <w:rPr>
          <w:rFonts w:hint="default" w:ascii="Times New Roman" w:hAnsi="Times New Roman" w:eastAsia="方正仿宋_GBK"/>
          <w:sz w:val="32"/>
          <w:szCs w:val="32"/>
          <w:shd w:val="clear" w:color="auto" w:fill="FFFFFF"/>
        </w:rPr>
        <w:t>%，较年初预算数增加3.77万元，增长64.89%，主要原因是</w:t>
      </w:r>
      <w:r>
        <w:rPr>
          <w:rFonts w:ascii="Times New Roman" w:hAnsi="Times New Roman" w:eastAsia="方正仿宋_GBK"/>
          <w:sz w:val="32"/>
          <w:szCs w:val="32"/>
          <w:shd w:val="clear" w:color="auto" w:fill="FFFFFF"/>
        </w:rPr>
        <w:t>补缴职工住房公积金</w:t>
      </w:r>
      <w:r>
        <w:rPr>
          <w:rFonts w:hint="default" w:ascii="Times New Roman" w:hAnsi="Times New Roman" w:eastAsia="方正仿宋_GBK"/>
          <w:sz w:val="32"/>
          <w:szCs w:val="32"/>
          <w:shd w:val="clear" w:color="auto" w:fill="FFFFFF"/>
        </w:rPr>
        <w:t>。</w:t>
      </w:r>
    </w:p>
    <w:p>
      <w:pPr>
        <w:pStyle w:val="10"/>
        <w:autoSpaceDE w:val="0"/>
        <w:spacing w:line="594"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（四）一般公共预算财政拨款基本支出决算情况说明</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2023年度一般公共财政拨款基本支出</w:t>
      </w:r>
      <w:r>
        <w:rPr>
          <w:rFonts w:hint="default" w:ascii="Times New Roman" w:hAnsi="Times New Roman" w:eastAsia="方正仿宋_GBK"/>
          <w:sz w:val="32"/>
          <w:szCs w:val="32"/>
        </w:rPr>
        <w:t>147.20</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130.23</w:t>
      </w:r>
      <w:r>
        <w:rPr>
          <w:rFonts w:hint="default" w:ascii="Times New Roman" w:hAnsi="Times New Roman" w:eastAsia="方正仿宋_GBK"/>
          <w:sz w:val="32"/>
          <w:szCs w:val="32"/>
          <w:shd w:val="clear" w:color="auto" w:fill="FFFFFF"/>
        </w:rPr>
        <w:t>万元，较上年决算数增加6.90万元，增长5.59%，</w:t>
      </w:r>
      <w:r>
        <w:rPr>
          <w:rFonts w:ascii="Times New Roman" w:hAnsi="Times New Roman" w:eastAsia="方正仿宋_GBK"/>
          <w:sz w:val="32"/>
          <w:szCs w:val="32"/>
          <w:shd w:val="clear" w:color="auto" w:fill="FFFFFF"/>
        </w:rPr>
        <w:t>职工超额绩效清算、晋岗晋级</w:t>
      </w:r>
      <w:r>
        <w:rPr>
          <w:rFonts w:ascii="方正仿宋_GBK" w:hAnsi="方正仿宋_GBK" w:eastAsia="方正仿宋_GBK" w:cs="方正仿宋_GBK"/>
          <w:bCs/>
          <w:sz w:val="32"/>
          <w:szCs w:val="32"/>
        </w:rPr>
        <w:t>等人员类经费增加</w:t>
      </w:r>
      <w:r>
        <w:rPr>
          <w:rFonts w:hint="default" w:ascii="Times New Roman" w:hAnsi="Times New Roman" w:eastAsia="方正仿宋_GBK"/>
          <w:sz w:val="32"/>
          <w:szCs w:val="32"/>
          <w:shd w:val="clear" w:color="auto" w:fill="FFFFFF"/>
        </w:rPr>
        <w:t>。人员经费用途主要包括</w:t>
      </w:r>
      <w:r>
        <w:rPr>
          <w:rFonts w:ascii="Times New Roman" w:hAnsi="Times New Roman" w:eastAsia="方正仿宋_GBK"/>
          <w:bCs/>
          <w:sz w:val="32"/>
          <w:szCs w:val="32"/>
        </w:rPr>
        <w:t>工资福利支出</w:t>
      </w:r>
      <w:r>
        <w:rPr>
          <w:rFonts w:hint="default" w:ascii="Times New Roman" w:hAnsi="Times New Roman" w:eastAsia="方正仿宋_GBK"/>
          <w:bCs/>
          <w:sz w:val="32"/>
          <w:szCs w:val="32"/>
        </w:rPr>
        <w:t>。</w:t>
      </w:r>
      <w:r>
        <w:rPr>
          <w:rFonts w:hint="default" w:ascii="Times New Roman" w:hAnsi="Times New Roman" w:eastAsia="方正仿宋_GBK"/>
          <w:sz w:val="32"/>
          <w:szCs w:val="32"/>
          <w:shd w:val="clear" w:color="auto" w:fill="FFFFFF"/>
        </w:rPr>
        <w:t>公用经费</w:t>
      </w:r>
      <w:r>
        <w:rPr>
          <w:rFonts w:hint="default" w:ascii="Times New Roman" w:hAnsi="Times New Roman" w:eastAsia="方正仿宋_GBK"/>
          <w:sz w:val="32"/>
          <w:szCs w:val="32"/>
        </w:rPr>
        <w:t>16.97</w:t>
      </w:r>
      <w:r>
        <w:rPr>
          <w:rFonts w:hint="default" w:ascii="Times New Roman" w:hAnsi="Times New Roman" w:eastAsia="方正仿宋_GBK"/>
          <w:sz w:val="32"/>
          <w:szCs w:val="32"/>
          <w:shd w:val="clear" w:color="auto" w:fill="FFFFFF"/>
        </w:rPr>
        <w:t>万元，较上年决算数增加2.12万元，增长14.28%，主要原因是</w:t>
      </w:r>
      <w:r>
        <w:rPr>
          <w:rFonts w:ascii="Times New Roman" w:hAnsi="Times New Roman" w:eastAsia="方正仿宋_GBK"/>
          <w:sz w:val="32"/>
          <w:szCs w:val="32"/>
          <w:shd w:val="clear" w:color="auto" w:fill="FFFFFF"/>
        </w:rPr>
        <w:t>工会经费增加</w:t>
      </w:r>
      <w:r>
        <w:rPr>
          <w:rFonts w:hint="default" w:ascii="Times New Roman" w:hAnsi="Times New Roman" w:eastAsia="方正仿宋_GBK"/>
          <w:sz w:val="32"/>
          <w:szCs w:val="32"/>
          <w:shd w:val="clear" w:color="auto" w:fill="FFFFFF"/>
        </w:rPr>
        <w:t>。公用经费用途主要包括</w:t>
      </w:r>
      <w:r>
        <w:rPr>
          <w:rFonts w:ascii="Times New Roman" w:hAnsi="Times New Roman" w:eastAsia="方正仿宋_GBK"/>
          <w:bCs/>
          <w:sz w:val="32"/>
          <w:szCs w:val="32"/>
        </w:rPr>
        <w:t>办公费、邮电费、培训费、差旅费、工会经费等。</w:t>
      </w:r>
    </w:p>
    <w:p>
      <w:pPr>
        <w:pStyle w:val="10"/>
        <w:autoSpaceDE w:val="0"/>
        <w:spacing w:line="594"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（五）政府性基金预算收支决算情况说明</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color w:val="000000" w:themeColor="text1"/>
          <w:sz w:val="32"/>
          <w:szCs w:val="32"/>
          <w:shd w:val="clear" w:color="auto" w:fill="FFFFFF"/>
          <w14:textFill>
            <w14:solidFill>
              <w14:schemeClr w14:val="tx1"/>
            </w14:solidFill>
          </w14:textFill>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10"/>
        <w:autoSpaceDE w:val="0"/>
        <w:spacing w:line="594"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（六）国有资本经营预算财政拨款支出决算情况说明</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本部门2023年度无国有资本经营预算财政拨款支出</w:t>
      </w:r>
    </w:p>
    <w:p>
      <w:pPr>
        <w:pStyle w:val="5"/>
        <w:snapToGrid w:val="0"/>
        <w:spacing w:before="0" w:beforeAutospacing="0" w:after="0" w:afterAutospacing="0" w:line="594" w:lineRule="exact"/>
        <w:ind w:firstLine="643" w:firstLineChars="200"/>
        <w:jc w:val="both"/>
        <w:rPr>
          <w:rStyle w:val="9"/>
          <w:rFonts w:hint="default" w:ascii="Times New Roman" w:hAnsi="Times New Roman" w:eastAsia="黑体"/>
          <w:sz w:val="32"/>
          <w:szCs w:val="32"/>
          <w:shd w:val="clear" w:color="auto" w:fill="FFFFFF"/>
        </w:rPr>
      </w:pPr>
      <w:r>
        <w:rPr>
          <w:rStyle w:val="9"/>
          <w:rFonts w:hint="default" w:ascii="Times New Roman" w:hAnsi="Times New Roman" w:eastAsia="黑体"/>
          <w:sz w:val="32"/>
          <w:szCs w:val="32"/>
          <w:shd w:val="clear" w:color="auto" w:fill="FFFFFF"/>
        </w:rPr>
        <w:t>三、</w:t>
      </w:r>
      <w:r>
        <w:rPr>
          <w:rStyle w:val="9"/>
          <w:rFonts w:ascii="Times New Roman" w:hAnsi="Times New Roman" w:eastAsia="黑体"/>
          <w:sz w:val="32"/>
          <w:szCs w:val="32"/>
          <w:shd w:val="clear" w:color="auto" w:fill="FFFFFF"/>
        </w:rPr>
        <w:t>“</w:t>
      </w:r>
      <w:r>
        <w:rPr>
          <w:rStyle w:val="9"/>
          <w:rFonts w:hint="default" w:ascii="Times New Roman" w:hAnsi="Times New Roman" w:eastAsia="黑体"/>
          <w:sz w:val="32"/>
          <w:szCs w:val="32"/>
          <w:shd w:val="clear" w:color="auto" w:fill="FFFFFF"/>
        </w:rPr>
        <w:t>三公</w:t>
      </w:r>
      <w:r>
        <w:rPr>
          <w:rStyle w:val="9"/>
          <w:rFonts w:ascii="Times New Roman" w:hAnsi="Times New Roman" w:eastAsia="黑体"/>
          <w:sz w:val="32"/>
          <w:szCs w:val="32"/>
          <w:shd w:val="clear" w:color="auto" w:fill="FFFFFF"/>
        </w:rPr>
        <w:t>”</w:t>
      </w:r>
      <w:r>
        <w:rPr>
          <w:rStyle w:val="9"/>
          <w:rFonts w:hint="default" w:ascii="Times New Roman" w:hAnsi="Times New Roman" w:eastAsia="黑体"/>
          <w:sz w:val="32"/>
          <w:szCs w:val="32"/>
          <w:shd w:val="clear" w:color="auto" w:fill="FFFFFF"/>
        </w:rPr>
        <w:t>经费情况说明</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（一）“三公”经费支出总体情况说明</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2023年度“三公”经费支出共计0.00万元，较年初预算数无增减，主要原因是我单位2023年未发生“三公”经费支出。较上年支出数无增减，主要原因是我单位本年及上年均未发生“三公”经费支出。</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pPr>
        <w:adjustRightInd w:val="0"/>
        <w:snapToGrid w:val="0"/>
        <w:spacing w:line="60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adjustRightInd w:val="0"/>
        <w:snapToGrid w:val="0"/>
        <w:spacing w:line="60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adjustRightInd w:val="0"/>
        <w:snapToGrid w:val="0"/>
        <w:spacing w:line="600" w:lineRule="exact"/>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sz w:val="32"/>
          <w:szCs w:val="32"/>
        </w:rPr>
        <w:t>主要原因是年初预算数未安排且本年未发生公务接待费用</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rPr>
        <w:t>主要原因是上年和本年均未发生公务接待费用。</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 </w:t>
      </w:r>
      <w:r>
        <w:rPr>
          <w:rFonts w:hint="default" w:ascii="Times New Roman" w:hAnsi="Times New Roman" w:eastAsia="方正仿宋_GBK"/>
          <w:sz w:val="32"/>
          <w:szCs w:val="32"/>
          <w:shd w:val="clear" w:color="auto" w:fill="FFFFFF"/>
        </w:rPr>
        <w:t xml:space="preserve"> 2023年度本部门因公出国（境）共计0个团组，0人；公务用车购置0辆，公务车保有量为0辆；国内公务接待0批次0人，其中：国内外事接待0批次，0人；国（境）外公务接待0批次，0人。2023年本部门人均接待费0元，车均购置费0万元，车均维护费0万元。</w:t>
      </w:r>
    </w:p>
    <w:p>
      <w:pPr>
        <w:pStyle w:val="5"/>
        <w:snapToGrid w:val="0"/>
        <w:spacing w:before="0" w:beforeAutospacing="0" w:after="0" w:afterAutospacing="0" w:line="594" w:lineRule="exact"/>
        <w:ind w:firstLine="643" w:firstLineChars="200"/>
        <w:jc w:val="both"/>
        <w:rPr>
          <w:rStyle w:val="9"/>
          <w:rFonts w:hint="default" w:ascii="Times New Roman" w:hAnsi="Times New Roman" w:eastAsia="方正仿宋_GBK"/>
          <w:sz w:val="32"/>
          <w:szCs w:val="32"/>
          <w:shd w:val="clear" w:color="auto" w:fill="FFFFFF"/>
        </w:rPr>
      </w:pPr>
      <w:r>
        <w:rPr>
          <w:rStyle w:val="9"/>
          <w:rFonts w:hint="default" w:ascii="Times New Roman" w:hAnsi="Times New Roman" w:eastAsia="黑体"/>
          <w:sz w:val="32"/>
          <w:szCs w:val="32"/>
          <w:shd w:val="clear" w:color="auto" w:fill="FFFFFF"/>
        </w:rPr>
        <w:t>四、其他需要说明的事项</w:t>
      </w:r>
    </w:p>
    <w:p>
      <w:pPr>
        <w:pStyle w:val="10"/>
        <w:autoSpaceDE w:val="0"/>
        <w:spacing w:line="594"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（一）财政拨款会议费和培训费情况说明</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本年度会议费支出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万元，较上年决算数无增减，主要原因是</w:t>
      </w:r>
      <w:r>
        <w:rPr>
          <w:rFonts w:ascii="Times New Roman" w:hAnsi="Times New Roman" w:eastAsia="方正仿宋_GBK"/>
          <w:sz w:val="32"/>
          <w:szCs w:val="32"/>
          <w:shd w:val="clear" w:color="auto" w:fill="FFFFFF"/>
        </w:rPr>
        <w:t>本年度本单位无会议</w:t>
      </w:r>
      <w:r>
        <w:rPr>
          <w:rFonts w:hint="default" w:ascii="Times New Roman" w:hAnsi="Times New Roman" w:eastAsia="方正仿宋_GBK"/>
          <w:sz w:val="32"/>
          <w:szCs w:val="32"/>
          <w:shd w:val="clear" w:color="auto" w:fill="FFFFFF"/>
        </w:rPr>
        <w:t>。本年度培训费支出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万元，较上年决算数减少0.33万元，下降100.00%，主要原因是</w:t>
      </w:r>
      <w:r>
        <w:rPr>
          <w:rFonts w:ascii="Times New Roman" w:hAnsi="Times New Roman" w:eastAsia="方正仿宋_GBK"/>
          <w:sz w:val="32"/>
          <w:szCs w:val="32"/>
          <w:shd w:val="clear" w:color="auto" w:fill="FFFFFF"/>
        </w:rPr>
        <w:t>本年度本单位无培训</w:t>
      </w:r>
      <w:r>
        <w:rPr>
          <w:rFonts w:hint="default" w:ascii="Times New Roman" w:hAnsi="Times New Roman" w:eastAsia="方正仿宋_GBK"/>
          <w:sz w:val="32"/>
          <w:szCs w:val="32"/>
          <w:shd w:val="clear" w:color="auto" w:fill="FFFFFF"/>
        </w:rPr>
        <w:t>。</w:t>
      </w:r>
    </w:p>
    <w:p>
      <w:pPr>
        <w:pStyle w:val="10"/>
        <w:autoSpaceDE w:val="0"/>
        <w:spacing w:line="594"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（二）机关运行经费情况说明</w:t>
      </w:r>
    </w:p>
    <w:p>
      <w:pPr>
        <w:pStyle w:val="10"/>
        <w:autoSpaceDE w:val="0"/>
        <w:spacing w:line="594" w:lineRule="exact"/>
        <w:ind w:firstLine="640"/>
        <w:rPr>
          <w:rFonts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pStyle w:val="10"/>
        <w:autoSpaceDE w:val="0"/>
        <w:spacing w:line="594"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（三）国有资产占用情况说明</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截至2023年12月31日，本部门共有车辆</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pPr>
        <w:pStyle w:val="10"/>
        <w:autoSpaceDE w:val="0"/>
        <w:spacing w:line="594"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（四）政府采购支出情况说明</w:t>
      </w:r>
    </w:p>
    <w:p>
      <w:pPr>
        <w:pStyle w:val="5"/>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cs="Times New Roman"/>
          <w:sz w:val="32"/>
          <w:szCs w:val="32"/>
          <w:shd w:val="clear" w:color="auto" w:fill="FFFFFF"/>
        </w:rPr>
        <w:t>2023年度本部门政府采购支出总额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%。2023年度我单位未发生政府采购事项，无相关经费支出。</w:t>
      </w:r>
    </w:p>
    <w:p>
      <w:pPr>
        <w:pStyle w:val="10"/>
        <w:autoSpaceDE w:val="0"/>
        <w:spacing w:line="594" w:lineRule="exact"/>
        <w:ind w:firstLine="643"/>
        <w:rPr>
          <w:rStyle w:val="9"/>
          <w:rFonts w:ascii="Times New Roman" w:hAnsi="Times New Roman" w:eastAsia="黑体"/>
          <w:sz w:val="32"/>
          <w:szCs w:val="32"/>
          <w:shd w:val="clear" w:color="auto" w:fill="FFFFFF"/>
        </w:rPr>
      </w:pPr>
      <w:r>
        <w:rPr>
          <w:rStyle w:val="9"/>
          <w:rFonts w:hint="eastAsia" w:ascii="Times New Roman" w:hAnsi="Times New Roman" w:eastAsia="黑体"/>
          <w:sz w:val="32"/>
          <w:szCs w:val="32"/>
          <w:shd w:val="clear" w:color="auto" w:fill="FFFFFF"/>
        </w:rPr>
        <w:t>五、</w:t>
      </w:r>
      <w:r>
        <w:rPr>
          <w:rStyle w:val="9"/>
          <w:rFonts w:ascii="Times New Roman" w:hAnsi="Times New Roman" w:eastAsia="黑体"/>
          <w:sz w:val="32"/>
          <w:szCs w:val="32"/>
          <w:shd w:val="clear" w:color="auto" w:fill="FFFFFF"/>
        </w:rPr>
        <w:t>预算绩效管理情况说明</w:t>
      </w:r>
    </w:p>
    <w:p>
      <w:pPr>
        <w:pStyle w:val="10"/>
        <w:autoSpaceDE w:val="0"/>
        <w:spacing w:line="594"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（一）单位自评情况</w:t>
      </w:r>
    </w:p>
    <w:p>
      <w:pPr>
        <w:pStyle w:val="11"/>
        <w:widowControl w:val="0"/>
        <w:autoSpaceDE w:val="0"/>
        <w:spacing w:before="0" w:beforeAutospacing="0" w:after="0" w:afterAutospacing="0" w:line="594" w:lineRule="exact"/>
        <w:ind w:firstLine="640" w:firstLineChars="200"/>
        <w:jc w:val="both"/>
        <w:rPr>
          <w:rFonts w:ascii="Times New Roman" w:hAnsi="Times New Roman" w:eastAsia="方正仿宋_GBK"/>
          <w:bCs/>
          <w:sz w:val="32"/>
          <w:szCs w:val="32"/>
          <w:shd w:val="clear" w:color="auto" w:fill="FFFFFF"/>
        </w:rPr>
      </w:pPr>
      <w:r>
        <w:rPr>
          <w:rFonts w:hint="eastAsia" w:ascii="方正仿宋_GBK" w:hAnsi="方正仿宋_GBK" w:eastAsia="方正仿宋_GBK" w:cs="方正仿宋_GBK"/>
          <w:bCs/>
          <w:sz w:val="32"/>
          <w:szCs w:val="32"/>
          <w:shd w:val="clear" w:color="auto" w:fill="FFFFFF"/>
        </w:rPr>
        <w:t>根据预算绩效管理要求，本单位属于县委统战部下属事业单位，无需进行部门整体绩效自评，项目绩效预算管理自评工作由主管部门县委统战部统一组织实施并统一公开。</w:t>
      </w:r>
    </w:p>
    <w:p>
      <w:pPr>
        <w:pStyle w:val="10"/>
        <w:autoSpaceDE w:val="0"/>
        <w:spacing w:line="594"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（二）单位绩效评价情况</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我单位未组织开展绩效评价。</w:t>
      </w:r>
    </w:p>
    <w:p>
      <w:pPr>
        <w:pStyle w:val="10"/>
        <w:autoSpaceDE w:val="0"/>
        <w:spacing w:line="594" w:lineRule="exact"/>
        <w:ind w:firstLine="643"/>
        <w:rPr>
          <w:rFonts w:ascii="Times New Roman" w:hAnsi="Times New Roman" w:eastAsia="楷体"/>
          <w:b/>
          <w:bCs/>
          <w:sz w:val="32"/>
          <w:szCs w:val="32"/>
          <w:shd w:val="clear" w:color="auto" w:fill="FFFFFF"/>
          <w:lang w:bidi="ar"/>
        </w:rPr>
      </w:pPr>
      <w:r>
        <w:rPr>
          <w:rFonts w:ascii="Times New Roman" w:hAnsi="Times New Roman" w:eastAsia="楷体"/>
          <w:b/>
          <w:bCs/>
          <w:sz w:val="32"/>
          <w:szCs w:val="32"/>
          <w:shd w:val="clear" w:color="auto" w:fill="FFFFFF"/>
          <w:lang w:bidi="ar"/>
        </w:rPr>
        <w:t>（三）财政绩效评价情况</w:t>
      </w:r>
    </w:p>
    <w:p>
      <w:pPr>
        <w:pStyle w:val="10"/>
        <w:autoSpaceDE w:val="0"/>
        <w:spacing w:line="594" w:lineRule="exact"/>
        <w:ind w:firstLine="643"/>
        <w:rPr>
          <w:rFonts w:ascii="Times New Roman" w:hAnsi="Times New Roman" w:eastAsia="楷体"/>
          <w:b/>
          <w:bCs/>
          <w:sz w:val="32"/>
          <w:szCs w:val="32"/>
          <w:shd w:val="clear" w:color="auto" w:fill="FFFFFF"/>
          <w:lang w:bidi="ar"/>
        </w:rPr>
      </w:pPr>
      <w:r>
        <w:rPr>
          <w:rFonts w:hint="eastAsia" w:ascii="Times New Roman" w:hAnsi="Times New Roman" w:eastAsia="楷体"/>
          <w:b/>
          <w:bCs/>
          <w:sz w:val="32"/>
          <w:szCs w:val="32"/>
          <w:shd w:val="clear" w:color="auto" w:fill="FFFFFF"/>
          <w:lang w:bidi="ar"/>
        </w:rPr>
        <w:t>县</w:t>
      </w:r>
      <w:r>
        <w:rPr>
          <w:rFonts w:ascii="Times New Roman" w:hAnsi="Times New Roman" w:eastAsia="楷体"/>
          <w:b/>
          <w:bCs/>
          <w:sz w:val="32"/>
          <w:szCs w:val="32"/>
          <w:shd w:val="clear" w:color="auto" w:fill="FFFFFF"/>
          <w:lang w:bidi="ar"/>
        </w:rPr>
        <w:t>财政局未委托第三方对我单位开展绩效评价。</w:t>
      </w:r>
    </w:p>
    <w:p>
      <w:pPr>
        <w:pStyle w:val="10"/>
        <w:numPr>
          <w:ilvl w:val="0"/>
          <w:numId w:val="1"/>
        </w:numPr>
        <w:autoSpaceDE w:val="0"/>
        <w:spacing w:line="594" w:lineRule="exact"/>
        <w:ind w:firstLine="643"/>
        <w:rPr>
          <w:rStyle w:val="9"/>
          <w:rFonts w:ascii="Times New Roman" w:hAnsi="Times New Roman" w:eastAsia="黑体"/>
          <w:sz w:val="32"/>
          <w:szCs w:val="32"/>
          <w:shd w:val="clear" w:color="auto" w:fill="FFFFFF"/>
        </w:rPr>
      </w:pPr>
      <w:r>
        <w:rPr>
          <w:rStyle w:val="9"/>
          <w:rFonts w:ascii="Times New Roman" w:hAnsi="Times New Roman" w:eastAsia="黑体"/>
          <w:sz w:val="32"/>
          <w:szCs w:val="32"/>
          <w:shd w:val="clear" w:color="auto" w:fill="FFFFFF"/>
        </w:rPr>
        <w:t>专业名词解释</w:t>
      </w:r>
    </w:p>
    <w:p>
      <w:pPr>
        <w:pStyle w:val="10"/>
        <w:autoSpaceDE w:val="0"/>
        <w:spacing w:line="594" w:lineRule="exact"/>
        <w:ind w:firstLine="643"/>
        <w:rPr>
          <w:rFonts w:ascii="Times New Roman" w:hAnsi="Times New Roman" w:eastAsia="方正仿宋_GBK"/>
          <w:sz w:val="32"/>
          <w:szCs w:val="32"/>
        </w:rPr>
      </w:pPr>
      <w:r>
        <w:rPr>
          <w:rFonts w:ascii="Times New Roman" w:hAnsi="Times New Roman" w:eastAsia="楷体"/>
          <w:b/>
          <w:bCs/>
          <w:sz w:val="32"/>
          <w:szCs w:val="32"/>
          <w:shd w:val="clear" w:color="auto" w:fill="FFFFFF"/>
          <w:lang w:bidi="ar"/>
        </w:rPr>
        <w:t>（一）财政拨款收入：</w:t>
      </w:r>
      <w:r>
        <w:rPr>
          <w:rFonts w:ascii="Times New Roman" w:hAnsi="Times New Roman" w:eastAsia="方正仿宋_GBK"/>
          <w:sz w:val="32"/>
          <w:szCs w:val="32"/>
          <w:shd w:val="clear" w:color="auto" w:fill="FFFFFF"/>
        </w:rPr>
        <w:t>指本年度从本级财政部门取得的财政拨款，包括一般公共预算财政拨款和政府性基金预算财政拨款。</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楷体"/>
          <w:sz w:val="32"/>
          <w:szCs w:val="32"/>
          <w:shd w:val="clear" w:color="auto" w:fill="FFFFFF"/>
        </w:rPr>
        <w:t>（二）事业收入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楷体"/>
          <w:sz w:val="32"/>
          <w:szCs w:val="32"/>
          <w:shd w:val="clear" w:color="auto" w:fill="FFFFFF"/>
        </w:rPr>
        <w:t>（三）经营收入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指事业单位在专业业务活动及其辅助活动之外开展非独立核算经营活动取得的现金流入。</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楷体"/>
          <w:sz w:val="32"/>
          <w:szCs w:val="32"/>
          <w:shd w:val="clear" w:color="auto" w:fill="FFFFFF"/>
        </w:rPr>
        <w:t>（四）其他收入</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指单位取得的除</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财政拨款收入</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事业收入</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经营收入</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楷体"/>
          <w:sz w:val="32"/>
          <w:szCs w:val="32"/>
          <w:shd w:val="clear" w:color="auto" w:fill="FFFFFF"/>
        </w:rPr>
        <w:t>（五）使用非财政拨款结余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指单位在当年的</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财政拨款收入</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事业收入</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经营收入</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其他收入</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等不足以安排当年支出的情况下，使用以前年度积累的非财政拨款结余弥补本年度收支缺口的资金。</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楷体"/>
          <w:sz w:val="32"/>
          <w:szCs w:val="32"/>
          <w:shd w:val="clear" w:color="auto" w:fill="FFFFFF"/>
        </w:rPr>
        <w:t>（六）年初结转和结余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指单位上年结转本年使用的基本支出结转、项目支出结转和结余、经营结余。</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楷体"/>
          <w:sz w:val="32"/>
          <w:szCs w:val="32"/>
          <w:shd w:val="clear" w:color="auto" w:fill="FFFFFF"/>
        </w:rPr>
        <w:t>（七）结余分配</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指单位按照国家有关规定，缴纳所得税、提取专用基金、转入非财政拨款结余等当年结余的分配情况。</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楷体"/>
          <w:sz w:val="32"/>
          <w:szCs w:val="32"/>
          <w:shd w:val="clear" w:color="auto" w:fill="FFFFFF"/>
        </w:rPr>
        <w:t>（八）年末结转和结余</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指单位结转下年的基本支出结转、项目支出结转和结余、经营结余。</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楷体"/>
          <w:sz w:val="32"/>
          <w:szCs w:val="32"/>
          <w:shd w:val="clear" w:color="auto" w:fill="FFFFFF"/>
        </w:rPr>
        <w:t>（九）基本支出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指为保障机构正常运转、完成日常工作任务而发生的人员经费和公用</w:t>
      </w:r>
      <w:bookmarkStart w:id="0" w:name="_GoBack"/>
      <w:bookmarkEnd w:id="0"/>
      <w:r>
        <w:rPr>
          <w:rFonts w:hint="default" w:ascii="Times New Roman" w:hAnsi="Times New Roman" w:eastAsia="方正仿宋_GBK"/>
          <w:sz w:val="32"/>
          <w:szCs w:val="32"/>
          <w:shd w:val="clear" w:color="auto" w:fill="FFFFFF"/>
        </w:rPr>
        <w:t>经费。其中：人员经费指政府收支分类经济科目中的</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工资福利支出</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和</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对个人和家庭的补助</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；公用经费指政府收支分类经济科目中除</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工资福利支出</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和</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对个人和家庭的补助</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外的其他支出。</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楷体"/>
          <w:sz w:val="32"/>
          <w:szCs w:val="32"/>
          <w:shd w:val="clear" w:color="auto" w:fill="FFFFFF"/>
        </w:rPr>
        <w:t>（十）项目支出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指在基本支出之外为完成特定行政任务和事业发展目标所发生的支出。</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楷体"/>
          <w:sz w:val="32"/>
          <w:szCs w:val="32"/>
          <w:shd w:val="clear" w:color="auto" w:fill="FFFFFF"/>
        </w:rPr>
        <w:t>（十一）经营支出</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指事业单位在专业业务活动及其辅助活动之外开展非独立核算经营活动发生的支出。</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 </w:t>
      </w:r>
      <w:r>
        <w:rPr>
          <w:rStyle w:val="9"/>
          <w:rFonts w:hint="default" w:ascii="Times New Roman" w:hAnsi="Times New Roman" w:eastAsia="楷体"/>
          <w:sz w:val="32"/>
          <w:szCs w:val="32"/>
          <w:shd w:val="clear" w:color="auto" w:fill="FFFFFF"/>
        </w:rPr>
        <w:t>（十二）</w:t>
      </w:r>
      <w:r>
        <w:rPr>
          <w:rStyle w:val="9"/>
          <w:rFonts w:ascii="Times New Roman" w:hAnsi="Times New Roman" w:eastAsia="楷体"/>
          <w:sz w:val="32"/>
          <w:szCs w:val="32"/>
          <w:shd w:val="clear" w:color="auto" w:fill="FFFFFF"/>
        </w:rPr>
        <w:t>“</w:t>
      </w:r>
      <w:r>
        <w:rPr>
          <w:rStyle w:val="9"/>
          <w:rFonts w:hint="default" w:ascii="Times New Roman" w:hAnsi="Times New Roman" w:eastAsia="楷体"/>
          <w:sz w:val="32"/>
          <w:szCs w:val="32"/>
          <w:shd w:val="clear" w:color="auto" w:fill="FFFFFF"/>
        </w:rPr>
        <w:t>三公</w:t>
      </w:r>
      <w:r>
        <w:rPr>
          <w:rStyle w:val="9"/>
          <w:rFonts w:ascii="Times New Roman" w:hAnsi="Times New Roman" w:eastAsia="楷体"/>
          <w:sz w:val="32"/>
          <w:szCs w:val="32"/>
          <w:shd w:val="clear" w:color="auto" w:fill="FFFFFF"/>
        </w:rPr>
        <w:t>”</w:t>
      </w:r>
      <w:r>
        <w:rPr>
          <w:rStyle w:val="9"/>
          <w:rFonts w:hint="default" w:ascii="Times New Roman" w:hAnsi="Times New Roman" w:eastAsia="楷体"/>
          <w:sz w:val="32"/>
          <w:szCs w:val="32"/>
          <w:shd w:val="clear" w:color="auto" w:fill="FFFFFF"/>
        </w:rPr>
        <w:t>经费</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楷体"/>
          <w:sz w:val="32"/>
          <w:szCs w:val="32"/>
          <w:shd w:val="clear" w:color="auto" w:fill="FFFFFF"/>
        </w:rPr>
        <w:t>（十三）机关运行经费</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楷体"/>
          <w:sz w:val="32"/>
          <w:szCs w:val="32"/>
          <w:shd w:val="clear" w:color="auto" w:fill="FFFFFF"/>
        </w:rPr>
        <w:t>（十四）工资福利支出（支出经济分类科目类级）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楷体"/>
          <w:sz w:val="32"/>
          <w:szCs w:val="32"/>
          <w:shd w:val="clear" w:color="auto" w:fill="FFFFFF"/>
        </w:rPr>
        <w:t>（十五）商品和服务支出（支出经济分类科目类级）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反映单位购买商品和服务的支出（不包括用于购置固定资产的支出、战略性和应急储备支出）。</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楷体"/>
          <w:sz w:val="32"/>
          <w:szCs w:val="32"/>
          <w:shd w:val="clear" w:color="auto" w:fill="FFFFFF"/>
        </w:rPr>
        <w:t>（十六）对个人和家庭的补助（支出经济分类科目类级）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反映用于对个人和家庭的补助支出。</w:t>
      </w:r>
    </w:p>
    <w:p>
      <w:pPr>
        <w:pStyle w:val="5"/>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楷体"/>
          <w:sz w:val="32"/>
          <w:szCs w:val="32"/>
          <w:shd w:val="clear" w:color="auto" w:fill="FFFFFF"/>
        </w:rPr>
        <w:t>（十七）其他资本性支出（支出经济分类科目类级）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spacing w:beforeAutospacing="0" w:after="0" w:afterAutospacing="0" w:line="594" w:lineRule="exact"/>
        <w:ind w:firstLine="643" w:firstLineChars="200"/>
        <w:rPr>
          <w:rStyle w:val="9"/>
          <w:rFonts w:hint="default" w:ascii="Times New Roman" w:hAnsi="Times New Roman" w:eastAsia="黑体"/>
          <w:sz w:val="32"/>
          <w:szCs w:val="32"/>
          <w:shd w:val="clear" w:color="auto" w:fill="FFFFFF"/>
        </w:rPr>
      </w:pPr>
      <w:r>
        <w:rPr>
          <w:rStyle w:val="9"/>
          <w:rFonts w:hint="default" w:ascii="Times New Roman" w:hAnsi="Times New Roman" w:eastAsia="黑体"/>
          <w:sz w:val="32"/>
          <w:szCs w:val="32"/>
          <w:shd w:val="clear" w:color="auto" w:fill="FFFFFF"/>
        </w:rPr>
        <w:t>七、决算公开联系方式及信息反馈渠道</w:t>
      </w:r>
    </w:p>
    <w:p>
      <w:pPr>
        <w:pStyle w:val="5"/>
        <w:spacing w:beforeAutospacing="0" w:after="0" w:afterAutospacing="0" w:line="594" w:lineRule="exact"/>
        <w:ind w:firstLine="640" w:firstLineChars="200"/>
        <w:rPr>
          <w:rFonts w:hint="default" w:ascii="Times New Roman" w:hAnsi="Times New Roman" w:eastAsia="方正仿宋_GBK"/>
          <w:bCs/>
          <w:sz w:val="32"/>
          <w:szCs w:val="32"/>
        </w:rPr>
      </w:pPr>
      <w:r>
        <w:rPr>
          <w:rFonts w:ascii="Times New Roman" w:hAnsi="Times New Roman" w:eastAsia="方正仿宋_GBK"/>
          <w:bCs/>
          <w:sz w:val="32"/>
          <w:szCs w:val="32"/>
        </w:rPr>
        <w:t>本单位决算公开信息反馈和联系方式：高老师，023-85650041</w:t>
      </w:r>
    </w:p>
    <w:p>
      <w:pPr>
        <w:pStyle w:val="10"/>
        <w:autoSpaceDE w:val="0"/>
        <w:ind w:firstLine="0" w:firstLineChars="0"/>
        <w:rPr>
          <w:rStyle w:val="9"/>
          <w:rFonts w:ascii="Times New Roman" w:hAnsi="Times New Roman" w:eastAsia="方正仿宋_GBK"/>
          <w:sz w:val="32"/>
          <w:szCs w:val="32"/>
          <w:shd w:val="clear" w:color="auto" w:fill="FFFF00"/>
        </w:rPr>
      </w:pPr>
    </w:p>
    <w:p>
      <w:pPr>
        <w:pStyle w:val="10"/>
        <w:autoSpaceDE w:val="0"/>
        <w:ind w:firstLine="0" w:firstLineChars="0"/>
        <w:rPr>
          <w:rStyle w:val="9"/>
          <w:rFonts w:ascii="Times New Roman" w:hAnsi="Times New Roman" w:eastAsia="方正仿宋_GBK"/>
          <w:sz w:val="32"/>
          <w:szCs w:val="32"/>
          <w:shd w:val="clear" w:color="auto" w:fill="FFFF00"/>
        </w:rPr>
      </w:pPr>
    </w:p>
    <w:p>
      <w:pPr>
        <w:pStyle w:val="10"/>
        <w:autoSpaceDE w:val="0"/>
        <w:ind w:firstLine="0" w:firstLineChars="0"/>
        <w:rPr>
          <w:rStyle w:val="9"/>
          <w:rFonts w:ascii="Times New Roman" w:hAnsi="Times New Roman" w:eastAsia="方正仿宋_GBK"/>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p>
      <w:pPr>
        <w:rPr>
          <w:rFonts w:hint="default" w:ascii="Times New Roman" w:hAnsi="Times New Roman"/>
          <w:sz w:val="21"/>
          <w:szCs w:val="21"/>
        </w:rPr>
      </w:pPr>
    </w:p>
    <w:tbl>
      <w:tblPr>
        <w:tblStyle w:val="6"/>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40"/>
                <w:szCs w:val="40"/>
              </w:rPr>
            </w:pPr>
            <w:r>
              <w:rPr>
                <w:rFonts w:hint="default" w:ascii="Times New Roman" w:hAnsi="Times New Roman"/>
                <w:b/>
                <w:color w:val="000000"/>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Times New Roman" w:hAnsi="Times New Roman"/>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ascii="Times New Roman" w:hAnsi="Times New Roman"/>
                <w:color w:val="000000"/>
              </w:rPr>
            </w:pPr>
            <w:r>
              <w:rPr>
                <w:rFonts w:hint="default" w:ascii="Times New Roman" w:hAnsi="Times New Roman"/>
              </w:rPr>
              <w:t>公开单位：垫江县统一战线服务中心</w:t>
            </w: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Times New Roman" w:hAnsi="Times New Roman"/>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单位：</w:t>
            </w:r>
            <w:r>
              <w:rPr>
                <w:rFonts w:hint="default" w:ascii="Times New Roman" w:hAnsi="Times New Roman"/>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147.20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121.43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11.62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Times New Roman" w:hAnsi="Times New Roman"/>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4.57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Times New Roman" w:hAnsi="Times New Roman"/>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Times New Roman" w:hAnsi="Times New Roman"/>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Times New Roman" w:hAnsi="Times New Roman"/>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9.58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147.20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147.20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147.20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1"/>
                <w:szCs w:val="21"/>
                <w:lang w:bidi="ar"/>
              </w:rPr>
              <w:t xml:space="preserve">147.20 </w:t>
            </w:r>
          </w:p>
        </w:tc>
      </w:tr>
    </w:tbl>
    <w:p>
      <w:pPr>
        <w:rPr>
          <w:rFonts w:hint="default" w:ascii="Times New Roman" w:hAnsi="Times New Roman"/>
          <w:sz w:val="21"/>
          <w:szCs w:val="21"/>
          <w:lang w:bidi="ar"/>
        </w:rPr>
      </w:pPr>
      <w:r>
        <w:rPr>
          <w:rFonts w:hint="default" w:ascii="Times New Roman" w:hAnsi="Times New Roman"/>
          <w:sz w:val="21"/>
          <w:szCs w:val="21"/>
          <w:lang w:bidi="ar"/>
        </w:rPr>
        <w:t>备注：1.本表反映单位本年度的总收支和年末结转结余情况。</w:t>
      </w:r>
      <w:r>
        <w:rPr>
          <w:rFonts w:hint="default" w:ascii="Times New Roman" w:hAnsi="Times New Roman"/>
          <w:sz w:val="21"/>
          <w:szCs w:val="21"/>
          <w:lang w:bidi="ar"/>
        </w:rPr>
        <w:br w:type="textWrapping"/>
      </w:r>
      <w:r>
        <w:rPr>
          <w:rFonts w:hint="default" w:ascii="Times New Roman" w:hAnsi="Times New Roman"/>
          <w:sz w:val="21"/>
          <w:szCs w:val="21"/>
          <w:lang w:bidi="ar"/>
        </w:rPr>
        <w:t xml:space="preserve">      2.本套报表金额单位转换时可能存在尾数误差。</w:t>
      </w:r>
      <w:r>
        <w:rPr>
          <w:rFonts w:hint="default" w:ascii="Times New Roman" w:hAnsi="Times New Roman"/>
          <w:sz w:val="21"/>
          <w:szCs w:val="21"/>
          <w:lang w:bidi="ar"/>
        </w:rPr>
        <w:br w:type="textWrapping"/>
      </w:r>
      <w:r>
        <w:rPr>
          <w:rFonts w:hint="default" w:ascii="Times New Roman" w:hAnsi="Times New Roman"/>
          <w:sz w:val="21"/>
          <w:szCs w:val="21"/>
        </w:rPr>
        <w:br w:type="textWrapping"/>
      </w:r>
    </w:p>
    <w:p>
      <w:pPr>
        <w:rPr>
          <w:rFonts w:hint="default" w:ascii="Times New Roman" w:hAnsi="Times New Roman"/>
          <w:sz w:val="21"/>
          <w:szCs w:val="21"/>
          <w:lang w:bidi="ar"/>
        </w:rPr>
      </w:pPr>
      <w:r>
        <w:rPr>
          <w:rFonts w:hint="default" w:ascii="Times New Roman" w:hAnsi="Times New Roman"/>
          <w:sz w:val="21"/>
          <w:szCs w:val="21"/>
          <w:lang w:bidi="ar"/>
        </w:rPr>
        <w:br w:type="page"/>
      </w:r>
    </w:p>
    <w:p>
      <w:pPr>
        <w:rPr>
          <w:rFonts w:hint="default" w:ascii="Times New Roman" w:hAnsi="Times New Roman"/>
          <w:sz w:val="21"/>
          <w:szCs w:val="21"/>
          <w:lang w:bidi="ar"/>
        </w:rPr>
      </w:pPr>
    </w:p>
    <w:tbl>
      <w:tblPr>
        <w:tblStyle w:val="6"/>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40"/>
                <w:szCs w:val="40"/>
              </w:rPr>
            </w:pPr>
            <w:r>
              <w:rPr>
                <w:rFonts w:hint="default" w:ascii="Times New Roman" w:hAnsi="Times New Roman"/>
                <w:b/>
                <w:color w:val="000000"/>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r>
              <w:rPr>
                <w:rFonts w:hint="default" w:ascii="Times New Roman" w:hAnsi="Times New Roman"/>
              </w:rPr>
              <w:t>公开单位：垫江县统一战线服务中心</w:t>
            </w: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单位：</w:t>
            </w:r>
            <w:r>
              <w:rPr>
                <w:rFonts w:hint="default" w:ascii="Times New Roman" w:hAnsi="Times New Roman"/>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b/>
                <w:color w:val="000000"/>
                <w:sz w:val="22"/>
                <w:szCs w:val="22"/>
              </w:rPr>
            </w:pPr>
            <w:r>
              <w:rPr>
                <w:rFonts w:hint="default" w:ascii="Times New Roman" w:hAnsi="Times New Roman"/>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color w:val="000000"/>
                <w:sz w:val="22"/>
                <w:szCs w:val="22"/>
              </w:rPr>
            </w:pPr>
            <w:r>
              <w:rPr>
                <w:rFonts w:hint="default" w:ascii="Times New Roman" w:hAnsi="Times New Roman"/>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项目（按</w:t>
            </w:r>
            <w:r>
              <w:rPr>
                <w:rFonts w:ascii="Times New Roman" w:hAnsi="Times New Roman"/>
                <w:b/>
                <w:color w:val="000000"/>
                <w:sz w:val="22"/>
                <w:szCs w:val="22"/>
                <w:lang w:bidi="ar"/>
              </w:rPr>
              <w:t>“</w:t>
            </w:r>
            <w:r>
              <w:rPr>
                <w:rFonts w:hint="default" w:ascii="Times New Roman" w:hAnsi="Times New Roman"/>
                <w:b/>
                <w:color w:val="000000"/>
                <w:sz w:val="22"/>
                <w:szCs w:val="22"/>
                <w:lang w:bidi="ar"/>
              </w:rPr>
              <w:t>项</w:t>
            </w:r>
            <w:r>
              <w:rPr>
                <w:rFonts w:ascii="Times New Roman" w:hAnsi="Times New Roman"/>
                <w:b/>
                <w:color w:val="000000"/>
                <w:sz w:val="22"/>
                <w:szCs w:val="22"/>
                <w:lang w:bidi="ar"/>
              </w:rPr>
              <w:t>”</w:t>
            </w:r>
            <w:r>
              <w:rPr>
                <w:rFonts w:hint="default" w:ascii="Times New Roman" w:hAnsi="Times New Roman"/>
                <w:b/>
                <w:color w:val="000000"/>
                <w:sz w:val="22"/>
                <w:szCs w:val="22"/>
                <w:lang w:bidi="ar"/>
              </w:rPr>
              <w:t>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147.20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147.20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121.43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121.43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20134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统战事务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121.43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121.43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2013450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121.43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121.43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11.62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11.62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11.62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11.62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7.75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7.75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3.87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3.87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4.57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4.57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4.57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4.57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4.57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4.57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9.58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9.58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9.58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9.58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9.58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9.58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bl>
    <w:p>
      <w:pPr>
        <w:ind w:left="630" w:hanging="630" w:hangingChars="300"/>
        <w:rPr>
          <w:rFonts w:hint="default" w:ascii="Times New Roman" w:hAnsi="Times New Roman"/>
          <w:sz w:val="21"/>
          <w:szCs w:val="21"/>
          <w:lang w:bidi="ar"/>
        </w:rPr>
      </w:pPr>
      <w:r>
        <w:rPr>
          <w:rFonts w:hint="default" w:ascii="Times New Roman" w:hAnsi="Times New Roman"/>
          <w:sz w:val="21"/>
          <w:szCs w:val="21"/>
          <w:lang w:bidi="ar"/>
        </w:rPr>
        <w:t>备注：1.本表反映单位本年度取得的各项收入情况。</w:t>
      </w:r>
      <w:r>
        <w:rPr>
          <w:rFonts w:hint="default" w:ascii="Times New Roman" w:hAnsi="Times New Roman"/>
          <w:sz w:val="21"/>
          <w:szCs w:val="21"/>
          <w:lang w:bidi="ar"/>
        </w:rPr>
        <w:br w:type="textWrapping"/>
      </w:r>
      <w:r>
        <w:rPr>
          <w:rFonts w:hint="default" w:ascii="Times New Roman" w:hAnsi="Times New Roman"/>
          <w:sz w:val="21"/>
          <w:szCs w:val="21"/>
          <w:lang w:bidi="ar"/>
        </w:rPr>
        <w:t>2.本套报表金额单位转换时可能存在尾数误差。</w:t>
      </w:r>
      <w:r>
        <w:rPr>
          <w:rFonts w:hint="default" w:ascii="Times New Roman" w:hAnsi="Times New Roman"/>
          <w:sz w:val="21"/>
          <w:szCs w:val="21"/>
          <w:lang w:bidi="ar"/>
        </w:rPr>
        <w:br w:type="textWrapping"/>
      </w:r>
      <w:r>
        <w:rPr>
          <w:rFonts w:hint="default" w:ascii="Times New Roman" w:hAnsi="Times New Roman"/>
          <w:sz w:val="21"/>
          <w:szCs w:val="21"/>
          <w:lang w:bidi="ar"/>
        </w:rPr>
        <w:br w:type="textWrapping"/>
      </w:r>
    </w:p>
    <w:p>
      <w:pPr>
        <w:rPr>
          <w:rFonts w:hint="default" w:ascii="Times New Roman" w:hAnsi="Times New Roman"/>
          <w:sz w:val="21"/>
          <w:szCs w:val="21"/>
          <w:lang w:bidi="ar"/>
        </w:rPr>
      </w:pPr>
      <w:r>
        <w:rPr>
          <w:rFonts w:hint="default" w:ascii="Times New Roman" w:hAnsi="Times New Roman"/>
          <w:sz w:val="21"/>
          <w:szCs w:val="21"/>
          <w:lang w:bidi="ar"/>
        </w:rPr>
        <w:br w:type="page"/>
      </w:r>
    </w:p>
    <w:p>
      <w:pPr>
        <w:ind w:left="630" w:hanging="630" w:hangingChars="300"/>
        <w:rPr>
          <w:rFonts w:hint="default" w:ascii="Times New Roman" w:hAnsi="Times New Roman"/>
          <w:sz w:val="21"/>
          <w:szCs w:val="21"/>
          <w:lang w:bidi="ar"/>
        </w:rPr>
      </w:pPr>
    </w:p>
    <w:tbl>
      <w:tblPr>
        <w:tblStyle w:val="6"/>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40"/>
                <w:szCs w:val="40"/>
              </w:rPr>
            </w:pPr>
            <w:r>
              <w:rPr>
                <w:rFonts w:hint="default" w:ascii="Times New Roman" w:hAnsi="Times New Roman"/>
                <w:b/>
                <w:color w:val="000000"/>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eastAsiaTheme="minorEastAsia"/>
              </w:rPr>
              <w:t>公开单位</w:t>
            </w:r>
            <w:r>
              <w:rPr>
                <w:rFonts w:hint="default" w:ascii="Times New Roman" w:hAnsi="Times New Roman" w:eastAsiaTheme="minorEastAsia"/>
                <w:color w:val="000000"/>
                <w:lang w:bidi="ar"/>
              </w:rPr>
              <w:t xml:space="preserve">： </w:t>
            </w:r>
            <w:r>
              <w:rPr>
                <w:rFonts w:hint="default" w:ascii="Times New Roman" w:hAnsi="Times New Roman"/>
                <w:color w:val="000000"/>
              </w:rPr>
              <w:t xml:space="preserve">垫江县统一战线服务中心 </w:t>
            </w: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单位：</w:t>
            </w:r>
            <w:r>
              <w:rPr>
                <w:rFonts w:hint="default" w:ascii="Times New Roman" w:hAnsi="Times New Roman"/>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color w:val="000000"/>
                <w:sz w:val="22"/>
                <w:szCs w:val="22"/>
              </w:rPr>
            </w:pPr>
            <w:r>
              <w:rPr>
                <w:rFonts w:hint="default" w:ascii="Times New Roman" w:hAnsi="Times New Roman"/>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项目（按</w:t>
            </w:r>
            <w:r>
              <w:rPr>
                <w:rFonts w:ascii="Times New Roman" w:hAnsi="Times New Roman"/>
                <w:b/>
                <w:color w:val="000000"/>
                <w:sz w:val="22"/>
                <w:szCs w:val="22"/>
                <w:lang w:bidi="ar"/>
              </w:rPr>
              <w:t>“</w:t>
            </w:r>
            <w:r>
              <w:rPr>
                <w:rFonts w:hint="default" w:ascii="Times New Roman" w:hAnsi="Times New Roman"/>
                <w:b/>
                <w:color w:val="000000"/>
                <w:sz w:val="22"/>
                <w:szCs w:val="22"/>
                <w:lang w:bidi="ar"/>
              </w:rPr>
              <w:t>项</w:t>
            </w:r>
            <w:r>
              <w:rPr>
                <w:rFonts w:ascii="Times New Roman" w:hAnsi="Times New Roman"/>
                <w:b/>
                <w:color w:val="000000"/>
                <w:sz w:val="22"/>
                <w:szCs w:val="22"/>
                <w:lang w:bidi="ar"/>
              </w:rPr>
              <w:t>”</w:t>
            </w:r>
            <w:r>
              <w:rPr>
                <w:rFonts w:hint="default" w:ascii="Times New Roman" w:hAnsi="Times New Roman"/>
                <w:b/>
                <w:color w:val="000000"/>
                <w:sz w:val="22"/>
                <w:szCs w:val="22"/>
                <w:lang w:bidi="ar"/>
              </w:rPr>
              <w:t>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147.20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147.20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121.43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121.43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20134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统战事务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121.43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121.43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2013450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121.43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121.43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11.62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11.62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11.62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11.62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7.75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7.75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3.87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3.87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4.57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4.57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4.57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4.57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4.57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4.57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9.58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9.58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9.58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b/>
                <w:color w:val="000000"/>
                <w:sz w:val="21"/>
                <w:szCs w:val="21"/>
                <w:lang w:bidi="ar"/>
              </w:rPr>
              <w:t xml:space="preserve">9.58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9.58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9.58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18"/>
                <w:szCs w:val="18"/>
              </w:rPr>
            </w:pPr>
            <w:r>
              <w:rPr>
                <w:rFonts w:hint="default" w:ascii="Times New Roman" w:hAnsi="Times New Roman"/>
                <w:color w:val="000000"/>
                <w:sz w:val="21"/>
                <w:szCs w:val="21"/>
                <w:lang w:bidi="ar"/>
              </w:rPr>
              <w:t xml:space="preserve"> </w:t>
            </w:r>
          </w:p>
        </w:tc>
      </w:tr>
    </w:tbl>
    <w:p>
      <w:pPr>
        <w:rPr>
          <w:rFonts w:hint="default" w:ascii="Times New Roman" w:hAnsi="Times New Roman"/>
          <w:sz w:val="21"/>
          <w:szCs w:val="21"/>
        </w:rPr>
      </w:pPr>
      <w:r>
        <w:rPr>
          <w:rFonts w:hint="default" w:ascii="Times New Roman" w:hAnsi="Times New Roman"/>
          <w:sz w:val="21"/>
          <w:szCs w:val="21"/>
          <w:lang w:bidi="ar"/>
        </w:rPr>
        <w:t>备注：1.本表反映单位本年度各项支出情况。</w:t>
      </w:r>
      <w:r>
        <w:rPr>
          <w:rFonts w:hint="default" w:ascii="Times New Roman" w:hAnsi="Times New Roman"/>
          <w:sz w:val="21"/>
          <w:szCs w:val="21"/>
          <w:lang w:bidi="ar"/>
        </w:rPr>
        <w:br w:type="textWrapping"/>
      </w:r>
      <w:r>
        <w:rPr>
          <w:rFonts w:hint="default" w:ascii="Times New Roman" w:hAnsi="Times New Roman"/>
          <w:sz w:val="21"/>
          <w:szCs w:val="21"/>
          <w:lang w:bidi="ar"/>
        </w:rPr>
        <w:t xml:space="preserve">      2.本套报表金额单位转换时可能存在尾数误差。</w:t>
      </w:r>
      <w:r>
        <w:rPr>
          <w:rFonts w:hint="default" w:ascii="Times New Roman" w:hAnsi="Times New Roman"/>
          <w:sz w:val="21"/>
          <w:szCs w:val="21"/>
          <w:lang w:bidi="ar"/>
        </w:rPr>
        <w:br w:type="textWrapping"/>
      </w:r>
      <w:r>
        <w:rPr>
          <w:rFonts w:hint="default" w:ascii="Times New Roman" w:hAnsi="Times New Roman"/>
          <w:sz w:val="21"/>
          <w:szCs w:val="21"/>
        </w:rPr>
        <w:br w:type="textWrapping"/>
      </w:r>
    </w:p>
    <w:p>
      <w:pPr>
        <w:rPr>
          <w:rFonts w:hint="default" w:ascii="Times New Roman" w:hAnsi="Times New Roman"/>
          <w:sz w:val="21"/>
          <w:szCs w:val="21"/>
          <w:lang w:bidi="ar"/>
        </w:rPr>
      </w:pPr>
      <w:r>
        <w:rPr>
          <w:rFonts w:hint="default" w:ascii="Times New Roman" w:hAnsi="Times New Roman"/>
          <w:sz w:val="21"/>
          <w:szCs w:val="21"/>
          <w:lang w:bidi="ar"/>
        </w:rPr>
        <w:br w:type="page"/>
      </w:r>
    </w:p>
    <w:p>
      <w:pPr>
        <w:rPr>
          <w:rFonts w:hint="default" w:ascii="Times New Roman" w:hAnsi="Times New Roman"/>
          <w:sz w:val="21"/>
          <w:szCs w:val="21"/>
          <w:lang w:bidi="ar"/>
        </w:rPr>
      </w:pPr>
    </w:p>
    <w:tbl>
      <w:tblPr>
        <w:tblStyle w:val="6"/>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40"/>
                <w:szCs w:val="40"/>
              </w:rPr>
            </w:pPr>
            <w:r>
              <w:rPr>
                <w:rFonts w:hint="default" w:ascii="Times New Roman" w:hAnsi="Times New Roman"/>
                <w:b/>
                <w:color w:val="000000"/>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r>
              <w:rPr>
                <w:rFonts w:hint="default" w:ascii="Times New Roman" w:hAnsi="Times New Roman" w:eastAsiaTheme="minorEastAsia"/>
              </w:rPr>
              <w:t>公开单位</w:t>
            </w:r>
            <w:r>
              <w:rPr>
                <w:rFonts w:hint="default" w:ascii="Times New Roman" w:hAnsi="Times New Roman" w:eastAsiaTheme="minorEastAsia"/>
                <w:color w:val="000000"/>
                <w:lang w:bidi="ar"/>
              </w:rPr>
              <w:t xml:space="preserve">： </w:t>
            </w:r>
            <w:r>
              <w:rPr>
                <w:rFonts w:hint="default" w:ascii="Times New Roman" w:hAnsi="Times New Roman"/>
                <w:color w:val="000000"/>
              </w:rPr>
              <w:t>垫江县统一战线服务中心</w:t>
            </w: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单位：</w:t>
            </w:r>
            <w:r>
              <w:rPr>
                <w:rFonts w:hint="default" w:ascii="Times New Roman" w:hAnsi="Times New Roman"/>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147.20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121.43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121.43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11.62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11.62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4.57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4.57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9.58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9.58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Times New Roman" w:hAnsi="Times New Roman"/>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Times New Roman" w:hAnsi="Times New Roman"/>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Times New Roman" w:hAnsi="Times New Roman"/>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147.20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147.20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147.20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Times New Roman" w:hAnsi="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147.20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1"/>
                <w:szCs w:val="21"/>
                <w:lang w:bidi="ar"/>
              </w:rPr>
              <w:t xml:space="preserve">147.20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1"/>
                <w:szCs w:val="21"/>
                <w:lang w:bidi="ar"/>
              </w:rPr>
              <w:t xml:space="preserve">147.20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bl>
    <w:p>
      <w:pPr>
        <w:rPr>
          <w:rFonts w:hint="default" w:ascii="Times New Roman" w:hAnsi="Times New Roman"/>
          <w:sz w:val="21"/>
          <w:szCs w:val="21"/>
        </w:rPr>
      </w:pPr>
      <w:r>
        <w:rPr>
          <w:rFonts w:hint="default" w:ascii="Times New Roman" w:hAnsi="Times New Roman"/>
          <w:sz w:val="21"/>
          <w:szCs w:val="21"/>
          <w:lang w:bidi="ar"/>
        </w:rPr>
        <w:t>备注：1.本表反映单位本年度一般公共预算财政拨款、政府性基金预算财政拨款及国有资本经营预算财政拨款的总收支和年末结转结余情况。</w:t>
      </w:r>
      <w:r>
        <w:rPr>
          <w:rFonts w:hint="default" w:ascii="Times New Roman" w:hAnsi="Times New Roman"/>
          <w:sz w:val="21"/>
          <w:szCs w:val="21"/>
          <w:lang w:bidi="ar"/>
        </w:rPr>
        <w:br w:type="textWrapping"/>
      </w:r>
      <w:r>
        <w:rPr>
          <w:rFonts w:hint="default" w:ascii="Times New Roman" w:hAnsi="Times New Roman"/>
          <w:sz w:val="21"/>
          <w:szCs w:val="21"/>
          <w:lang w:bidi="ar"/>
        </w:rPr>
        <w:t xml:space="preserve">      2.本套报表金额单位转换时可能存在尾数误差。</w:t>
      </w:r>
      <w:r>
        <w:rPr>
          <w:rFonts w:hint="default" w:ascii="Times New Roman" w:hAnsi="Times New Roman"/>
          <w:sz w:val="21"/>
          <w:szCs w:val="21"/>
          <w:lang w:bidi="ar"/>
        </w:rPr>
        <w:br w:type="textWrapping"/>
      </w:r>
      <w:r>
        <w:rPr>
          <w:rFonts w:hint="default" w:ascii="Times New Roman" w:hAnsi="Times New Roman"/>
          <w:sz w:val="21"/>
          <w:szCs w:val="21"/>
        </w:rPr>
        <w:br w:type="textWrapping"/>
      </w:r>
    </w:p>
    <w:p>
      <w:pPr>
        <w:rPr>
          <w:rFonts w:hint="default" w:ascii="Times New Roman" w:hAnsi="Times New Roman"/>
          <w:sz w:val="21"/>
          <w:szCs w:val="21"/>
        </w:rPr>
      </w:pPr>
      <w:r>
        <w:rPr>
          <w:rFonts w:hint="default" w:ascii="Times New Roman" w:hAnsi="Times New Roman"/>
          <w:sz w:val="21"/>
          <w:szCs w:val="21"/>
        </w:rPr>
        <w:br w:type="page"/>
      </w:r>
    </w:p>
    <w:tbl>
      <w:tblPr>
        <w:tblStyle w:val="6"/>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40"/>
                <w:szCs w:val="40"/>
              </w:rPr>
            </w:pPr>
            <w:r>
              <w:rPr>
                <w:rFonts w:hint="default" w:ascii="Times New Roman" w:hAnsi="Times New Roman"/>
                <w:b/>
                <w:color w:val="000000"/>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eastAsiaTheme="minorEastAsia"/>
              </w:rPr>
              <w:t>公开单位</w:t>
            </w:r>
            <w:r>
              <w:rPr>
                <w:rFonts w:hint="default" w:ascii="Times New Roman" w:hAnsi="Times New Roman" w:eastAsiaTheme="minorEastAsia"/>
                <w:color w:val="000000"/>
                <w:lang w:bidi="ar"/>
              </w:rPr>
              <w:t xml:space="preserve">： </w:t>
            </w:r>
            <w:r>
              <w:rPr>
                <w:rFonts w:hint="default" w:ascii="Times New Roman" w:hAnsi="Times New Roman"/>
                <w:color w:val="000000"/>
              </w:rPr>
              <w:t>垫江县统一战线服务中心</w:t>
            </w: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单位：</w:t>
            </w:r>
            <w:r>
              <w:rPr>
                <w:rFonts w:hint="default" w:ascii="Times New Roman" w:hAnsi="Times New Roman"/>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项目（按</w:t>
            </w:r>
            <w:r>
              <w:rPr>
                <w:rFonts w:ascii="Times New Roman" w:hAnsi="Times New Roman"/>
                <w:b/>
                <w:color w:val="000000"/>
                <w:sz w:val="22"/>
                <w:szCs w:val="22"/>
                <w:lang w:bidi="ar"/>
              </w:rPr>
              <w:t>“</w:t>
            </w:r>
            <w:r>
              <w:rPr>
                <w:rFonts w:hint="default" w:ascii="Times New Roman" w:hAnsi="Times New Roman"/>
                <w:b/>
                <w:color w:val="000000"/>
                <w:sz w:val="22"/>
                <w:szCs w:val="22"/>
                <w:lang w:bidi="ar"/>
              </w:rPr>
              <w:t>项</w:t>
            </w:r>
            <w:r>
              <w:rPr>
                <w:rFonts w:ascii="Times New Roman" w:hAnsi="Times New Roman"/>
                <w:b/>
                <w:color w:val="000000"/>
                <w:sz w:val="22"/>
                <w:szCs w:val="22"/>
                <w:lang w:bidi="ar"/>
              </w:rPr>
              <w:t>”</w:t>
            </w:r>
            <w:r>
              <w:rPr>
                <w:rFonts w:hint="default" w:ascii="Times New Roman" w:hAnsi="Times New Roman"/>
                <w:b/>
                <w:color w:val="000000"/>
                <w:sz w:val="22"/>
                <w:szCs w:val="22"/>
                <w:lang w:bidi="ar"/>
              </w:rPr>
              <w:t>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147.20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147.20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121.43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121.43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20134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统战事务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121.43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121.43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2013450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121.43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121.43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11.62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11.62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11.62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11.62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7.75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7.75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3.87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3.87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4.57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4.57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4.57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4.57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4.57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4.57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9.58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9.58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9.58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color w:val="000000"/>
                <w:sz w:val="21"/>
                <w:szCs w:val="21"/>
                <w:lang w:bidi="ar"/>
              </w:rPr>
              <w:t xml:space="preserve">9.58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9.58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9.58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color w:val="000000"/>
                <w:sz w:val="21"/>
                <w:szCs w:val="21"/>
                <w:lang w:bidi="ar"/>
              </w:rPr>
              <w:t xml:space="preserve"> </w:t>
            </w:r>
          </w:p>
        </w:tc>
      </w:tr>
    </w:tbl>
    <w:p>
      <w:pPr>
        <w:rPr>
          <w:rFonts w:hint="default" w:ascii="Times New Roman" w:hAnsi="Times New Roman"/>
          <w:sz w:val="21"/>
          <w:szCs w:val="21"/>
        </w:rPr>
      </w:pPr>
      <w:r>
        <w:rPr>
          <w:rFonts w:hint="default" w:ascii="Times New Roman" w:hAnsi="Times New Roman"/>
          <w:sz w:val="21"/>
          <w:szCs w:val="21"/>
          <w:lang w:bidi="ar"/>
        </w:rPr>
        <w:t>备注：1.本表反映单位本年度一般公共预算财政拨款支出情况。</w:t>
      </w:r>
      <w:r>
        <w:rPr>
          <w:rFonts w:hint="default" w:ascii="Times New Roman" w:hAnsi="Times New Roman"/>
          <w:sz w:val="21"/>
          <w:szCs w:val="21"/>
          <w:lang w:bidi="ar"/>
        </w:rPr>
        <w:br w:type="textWrapping"/>
      </w:r>
      <w:r>
        <w:rPr>
          <w:rFonts w:hint="default" w:ascii="Times New Roman" w:hAnsi="Times New Roman"/>
          <w:sz w:val="21"/>
          <w:szCs w:val="21"/>
          <w:lang w:bidi="ar"/>
        </w:rPr>
        <w:t xml:space="preserve">      2.本套报表金额单位转换时可能存在尾数误差。</w:t>
      </w:r>
      <w:r>
        <w:rPr>
          <w:rFonts w:hint="default" w:ascii="Times New Roman" w:hAnsi="Times New Roman"/>
          <w:sz w:val="21"/>
          <w:szCs w:val="21"/>
          <w:lang w:bidi="ar"/>
        </w:rPr>
        <w:br w:type="textWrapping"/>
      </w:r>
      <w:r>
        <w:rPr>
          <w:rFonts w:hint="default" w:ascii="Times New Roman" w:hAnsi="Times New Roman"/>
          <w:sz w:val="21"/>
          <w:szCs w:val="21"/>
        </w:rPr>
        <w:br w:type="textWrapping"/>
      </w:r>
    </w:p>
    <w:p>
      <w:pPr>
        <w:ind w:firstLine="630" w:firstLineChars="300"/>
        <w:rPr>
          <w:rFonts w:hint="default" w:ascii="Times New Roman" w:hAnsi="Times New Roman"/>
          <w:sz w:val="21"/>
          <w:szCs w:val="21"/>
        </w:rPr>
      </w:pPr>
      <w:r>
        <w:rPr>
          <w:rFonts w:hint="default" w:ascii="Times New Roman" w:hAnsi="Times New Roman"/>
          <w:sz w:val="21"/>
          <w:szCs w:val="21"/>
        </w:rPr>
        <w:br w:type="page"/>
      </w:r>
    </w:p>
    <w:tbl>
      <w:tblPr>
        <w:tblStyle w:val="6"/>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40"/>
                <w:szCs w:val="40"/>
              </w:rPr>
            </w:pPr>
            <w:r>
              <w:rPr>
                <w:rFonts w:hint="default" w:ascii="Times New Roman" w:hAnsi="Times New Roman"/>
                <w:b/>
                <w:color w:val="000000"/>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r>
              <w:rPr>
                <w:rFonts w:hint="default" w:ascii="Times New Roman" w:hAnsi="Times New Roman" w:eastAsiaTheme="minorEastAsia"/>
              </w:rPr>
              <w:t>公开单位</w:t>
            </w:r>
            <w:r>
              <w:rPr>
                <w:rFonts w:hint="default" w:ascii="Times New Roman" w:hAnsi="Times New Roman" w:eastAsiaTheme="minorEastAsia"/>
                <w:color w:val="000000"/>
                <w:lang w:bidi="ar"/>
              </w:rPr>
              <w:t xml:space="preserve">： </w:t>
            </w:r>
            <w:r>
              <w:rPr>
                <w:rFonts w:hint="default" w:ascii="Times New Roman" w:hAnsi="Times New Roman"/>
                <w:color w:val="000000"/>
              </w:rPr>
              <w:t>垫江县统一战线服务中心</w:t>
            </w: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单位：</w:t>
            </w:r>
            <w:r>
              <w:rPr>
                <w:rFonts w:hint="default" w:ascii="Times New Roman" w:hAnsi="Times New Roman"/>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经济分类科目（按</w:t>
            </w:r>
            <w:r>
              <w:rPr>
                <w:rFonts w:ascii="Times New Roman" w:hAnsi="Times New Roman"/>
                <w:b/>
                <w:color w:val="000000"/>
                <w:sz w:val="22"/>
                <w:szCs w:val="22"/>
                <w:lang w:bidi="ar"/>
              </w:rPr>
              <w:t>“</w:t>
            </w:r>
            <w:r>
              <w:rPr>
                <w:rFonts w:hint="default" w:ascii="Times New Roman" w:hAnsi="Times New Roman"/>
                <w:b/>
                <w:color w:val="000000"/>
                <w:sz w:val="22"/>
                <w:szCs w:val="22"/>
                <w:lang w:bidi="ar"/>
              </w:rPr>
              <w:t>款</w:t>
            </w:r>
            <w:r>
              <w:rPr>
                <w:rFonts w:ascii="Times New Roman" w:hAnsi="Times New Roman"/>
                <w:b/>
                <w:color w:val="000000"/>
                <w:sz w:val="22"/>
                <w:szCs w:val="22"/>
                <w:lang w:bidi="ar"/>
              </w:rPr>
              <w:t>”</w:t>
            </w:r>
            <w:r>
              <w:rPr>
                <w:rFonts w:hint="default" w:ascii="Times New Roman" w:hAnsi="Times New Roman"/>
                <w:b/>
                <w:color w:val="000000"/>
                <w:sz w:val="22"/>
                <w:szCs w:val="22"/>
                <w:lang w:bidi="ar"/>
              </w:rPr>
              <w:t>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经济分类科目（按</w:t>
            </w:r>
            <w:r>
              <w:rPr>
                <w:rFonts w:ascii="Times New Roman" w:hAnsi="Times New Roman"/>
                <w:b/>
                <w:color w:val="000000"/>
                <w:sz w:val="22"/>
                <w:szCs w:val="22"/>
                <w:lang w:bidi="ar"/>
              </w:rPr>
              <w:t>“</w:t>
            </w:r>
            <w:r>
              <w:rPr>
                <w:rFonts w:hint="default" w:ascii="Times New Roman" w:hAnsi="Times New Roman"/>
                <w:b/>
                <w:color w:val="000000"/>
                <w:sz w:val="22"/>
                <w:szCs w:val="22"/>
                <w:lang w:bidi="ar"/>
              </w:rPr>
              <w:t>款</w:t>
            </w:r>
            <w:r>
              <w:rPr>
                <w:rFonts w:ascii="Times New Roman" w:hAnsi="Times New Roman"/>
                <w:b/>
                <w:color w:val="000000"/>
                <w:sz w:val="22"/>
                <w:szCs w:val="22"/>
                <w:lang w:bidi="ar"/>
              </w:rPr>
              <w:t>”</w:t>
            </w:r>
            <w:r>
              <w:rPr>
                <w:rFonts w:hint="default" w:ascii="Times New Roman" w:hAnsi="Times New Roman"/>
                <w:b/>
                <w:color w:val="000000"/>
                <w:sz w:val="22"/>
                <w:szCs w:val="22"/>
                <w:lang w:bidi="ar"/>
              </w:rPr>
              <w:t>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经济分类科目（按</w:t>
            </w:r>
            <w:r>
              <w:rPr>
                <w:rFonts w:ascii="Times New Roman" w:hAnsi="Times New Roman"/>
                <w:b/>
                <w:color w:val="000000"/>
                <w:sz w:val="22"/>
                <w:szCs w:val="22"/>
                <w:lang w:bidi="ar"/>
              </w:rPr>
              <w:t>“</w:t>
            </w:r>
            <w:r>
              <w:rPr>
                <w:rFonts w:hint="default" w:ascii="Times New Roman" w:hAnsi="Times New Roman"/>
                <w:b/>
                <w:color w:val="000000"/>
                <w:sz w:val="22"/>
                <w:szCs w:val="22"/>
                <w:lang w:bidi="ar"/>
              </w:rPr>
              <w:t>款</w:t>
            </w:r>
            <w:r>
              <w:rPr>
                <w:rFonts w:ascii="Times New Roman" w:hAnsi="Times New Roman"/>
                <w:b/>
                <w:color w:val="000000"/>
                <w:sz w:val="22"/>
                <w:szCs w:val="22"/>
                <w:lang w:bidi="ar"/>
              </w:rPr>
              <w:t>”</w:t>
            </w:r>
            <w:r>
              <w:rPr>
                <w:rFonts w:hint="default" w:ascii="Times New Roman" w:hAnsi="Times New Roman"/>
                <w:b/>
                <w:color w:val="000000"/>
                <w:sz w:val="22"/>
                <w:szCs w:val="22"/>
                <w:lang w:bidi="ar"/>
              </w:rPr>
              <w:t>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130.23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16.97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25.52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6.63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1.08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76.00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7.75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3.87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4.57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0.14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9.76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9.58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1.12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0.59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0.58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130.23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2"/>
                <w:szCs w:val="22"/>
              </w:rPr>
            </w:pPr>
            <w:r>
              <w:rPr>
                <w:rFonts w:hint="default" w:ascii="Times New Roman" w:hAnsi="Times New Roman"/>
                <w:color w:val="000000"/>
                <w:sz w:val="21"/>
                <w:szCs w:val="21"/>
                <w:lang w:bidi="ar"/>
              </w:rPr>
              <w:t xml:space="preserve">16.97 </w:t>
            </w:r>
          </w:p>
        </w:tc>
      </w:tr>
    </w:tbl>
    <w:p>
      <w:pPr>
        <w:rPr>
          <w:rFonts w:hint="default" w:ascii="Times New Roman" w:hAnsi="Times New Roman"/>
          <w:sz w:val="21"/>
          <w:szCs w:val="21"/>
        </w:rPr>
      </w:pPr>
      <w:r>
        <w:rPr>
          <w:rFonts w:hint="default" w:ascii="Times New Roman" w:hAnsi="Times New Roman"/>
          <w:sz w:val="21"/>
          <w:szCs w:val="21"/>
          <w:lang w:bidi="ar"/>
        </w:rPr>
        <w:t>备注：1.本表反映单位本年度一般公共预算财政拨款基本支出明细情况。</w:t>
      </w:r>
      <w:r>
        <w:rPr>
          <w:rFonts w:hint="default" w:ascii="Times New Roman" w:hAnsi="Times New Roman"/>
          <w:sz w:val="21"/>
          <w:szCs w:val="21"/>
          <w:lang w:bidi="ar"/>
        </w:rPr>
        <w:br w:type="textWrapping"/>
      </w:r>
      <w:r>
        <w:rPr>
          <w:rFonts w:hint="default" w:ascii="Times New Roman" w:hAnsi="Times New Roman"/>
          <w:sz w:val="21"/>
          <w:szCs w:val="21"/>
          <w:lang w:bidi="ar"/>
        </w:rPr>
        <w:t xml:space="preserve">      2.本套报表金额单位转换时可能存在尾数误差。</w:t>
      </w:r>
      <w:r>
        <w:rPr>
          <w:rFonts w:hint="default" w:ascii="Times New Roman" w:hAnsi="Times New Roman"/>
          <w:sz w:val="21"/>
          <w:szCs w:val="21"/>
          <w:lang w:bidi="ar"/>
        </w:rPr>
        <w:br w:type="textWrapping"/>
      </w:r>
      <w:r>
        <w:rPr>
          <w:rFonts w:hint="default" w:ascii="Times New Roman" w:hAnsi="Times New Roman"/>
          <w:sz w:val="21"/>
          <w:szCs w:val="21"/>
        </w:rPr>
        <w:br w:type="textWrapping"/>
      </w:r>
    </w:p>
    <w:p>
      <w:pPr>
        <w:rPr>
          <w:rFonts w:hint="default" w:ascii="Times New Roman" w:hAnsi="Times New Roman"/>
          <w:sz w:val="21"/>
          <w:szCs w:val="21"/>
        </w:rPr>
      </w:pPr>
      <w:r>
        <w:rPr>
          <w:rFonts w:hint="default" w:ascii="Times New Roman" w:hAnsi="Times New Roman"/>
          <w:sz w:val="21"/>
          <w:szCs w:val="21"/>
        </w:rPr>
        <w:br w:type="page"/>
      </w:r>
    </w:p>
    <w:tbl>
      <w:tblPr>
        <w:tblStyle w:val="6"/>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40"/>
                <w:szCs w:val="40"/>
              </w:rPr>
            </w:pPr>
            <w:r>
              <w:rPr>
                <w:rFonts w:hint="default" w:ascii="Times New Roman" w:hAnsi="Times New Roman"/>
                <w:b/>
                <w:color w:val="000000"/>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eastAsiaTheme="minorEastAsia"/>
              </w:rPr>
              <w:t>公开单位</w:t>
            </w:r>
            <w:r>
              <w:rPr>
                <w:rFonts w:hint="default" w:ascii="Times New Roman" w:hAnsi="Times New Roman" w:eastAsiaTheme="minorEastAsia"/>
                <w:color w:val="000000"/>
                <w:lang w:bidi="ar"/>
              </w:rPr>
              <w:t xml:space="preserve">： </w:t>
            </w:r>
            <w:r>
              <w:rPr>
                <w:rFonts w:hint="default" w:ascii="Times New Roman" w:hAnsi="Times New Roman"/>
                <w:color w:val="000000"/>
              </w:rPr>
              <w:t>垫江县统一战线服务中心</w:t>
            </w: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单位：</w:t>
            </w:r>
            <w:r>
              <w:rPr>
                <w:rFonts w:hint="default" w:ascii="Times New Roman" w:hAnsi="Times New Roman"/>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项目（按</w:t>
            </w:r>
            <w:r>
              <w:rPr>
                <w:rFonts w:ascii="Times New Roman" w:hAnsi="Times New Roman"/>
                <w:b/>
                <w:color w:val="000000"/>
                <w:sz w:val="22"/>
                <w:szCs w:val="22"/>
                <w:lang w:bidi="ar"/>
              </w:rPr>
              <w:t>“</w:t>
            </w:r>
            <w:r>
              <w:rPr>
                <w:rFonts w:hint="default" w:ascii="Times New Roman" w:hAnsi="Times New Roman"/>
                <w:b/>
                <w:color w:val="000000"/>
                <w:sz w:val="22"/>
                <w:szCs w:val="22"/>
                <w:lang w:bidi="ar"/>
              </w:rPr>
              <w:t>项</w:t>
            </w:r>
            <w:r>
              <w:rPr>
                <w:rFonts w:ascii="Times New Roman" w:hAnsi="Times New Roman"/>
                <w:b/>
                <w:color w:val="000000"/>
                <w:sz w:val="22"/>
                <w:szCs w:val="22"/>
                <w:lang w:bidi="ar"/>
              </w:rPr>
              <w:t>”</w:t>
            </w:r>
            <w:r>
              <w:rPr>
                <w:rFonts w:hint="default" w:ascii="Times New Roman" w:hAnsi="Times New Roman"/>
                <w:b/>
                <w:color w:val="000000"/>
                <w:sz w:val="22"/>
                <w:szCs w:val="22"/>
                <w:lang w:bidi="ar"/>
              </w:rPr>
              <w:t>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r>
    </w:tbl>
    <w:p>
      <w:pPr>
        <w:rPr>
          <w:rFonts w:hint="default" w:ascii="Times New Roman" w:hAnsi="Times New Roman"/>
          <w:sz w:val="21"/>
          <w:szCs w:val="21"/>
        </w:rPr>
      </w:pPr>
      <w:r>
        <w:rPr>
          <w:rFonts w:hint="default" w:ascii="Times New Roman" w:hAnsi="Times New Roman"/>
          <w:sz w:val="21"/>
          <w:szCs w:val="21"/>
          <w:lang w:bidi="ar"/>
        </w:rPr>
        <w:t>备注：本表反映单位本年度政府性基金预算财政拨款收入支出及结转和结余情况。本单位无政府性基金收支，故本表无数据。</w:t>
      </w:r>
      <w:r>
        <w:rPr>
          <w:rFonts w:hint="default" w:ascii="Times New Roman" w:hAnsi="Times New Roman"/>
          <w:sz w:val="21"/>
          <w:szCs w:val="21"/>
          <w:lang w:bidi="ar"/>
        </w:rPr>
        <w:br w:type="textWrapping"/>
      </w:r>
      <w:r>
        <w:rPr>
          <w:rFonts w:hint="default" w:ascii="Times New Roman" w:hAnsi="Times New Roman"/>
          <w:sz w:val="21"/>
          <w:szCs w:val="21"/>
        </w:rPr>
        <w:br w:type="textWrapping"/>
      </w:r>
    </w:p>
    <w:p>
      <w:pPr>
        <w:rPr>
          <w:rFonts w:hint="default" w:ascii="Times New Roman" w:hAnsi="Times New Roman"/>
          <w:sz w:val="21"/>
          <w:szCs w:val="21"/>
        </w:rPr>
      </w:pPr>
      <w:r>
        <w:rPr>
          <w:rFonts w:hint="default" w:ascii="Times New Roman" w:hAnsi="Times New Roman"/>
          <w:sz w:val="21"/>
          <w:szCs w:val="21"/>
        </w:rPr>
        <w:br w:type="page"/>
      </w:r>
    </w:p>
    <w:tbl>
      <w:tblPr>
        <w:tblStyle w:val="6"/>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40"/>
                <w:szCs w:val="40"/>
              </w:rPr>
            </w:pPr>
            <w:r>
              <w:rPr>
                <w:rFonts w:hint="default" w:ascii="Times New Roman" w:hAnsi="Times New Roman"/>
                <w:b/>
                <w:color w:val="000000"/>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eastAsiaTheme="minorEastAsia"/>
              </w:rPr>
              <w:t>公开单位</w:t>
            </w:r>
            <w:r>
              <w:rPr>
                <w:rFonts w:hint="default" w:ascii="Times New Roman" w:hAnsi="Times New Roman" w:eastAsiaTheme="minorEastAsia"/>
                <w:color w:val="000000"/>
                <w:lang w:bidi="ar"/>
              </w:rPr>
              <w:t xml:space="preserve">： </w:t>
            </w:r>
            <w:r>
              <w:rPr>
                <w:rFonts w:hint="default" w:ascii="Times New Roman" w:hAnsi="Times New Roman"/>
                <w:color w:val="000000"/>
              </w:rPr>
              <w:t>垫江县统一战线服务中心</w:t>
            </w: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单位：</w:t>
            </w:r>
            <w:r>
              <w:rPr>
                <w:rFonts w:hint="default" w:ascii="Times New Roman" w:hAnsi="Times New Roman"/>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color w:val="000000"/>
                <w:sz w:val="22"/>
                <w:szCs w:val="22"/>
              </w:rPr>
            </w:pPr>
            <w:r>
              <w:rPr>
                <w:rFonts w:hint="default" w:ascii="Times New Roman" w:hAnsi="Times New Roman"/>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color w:val="000000"/>
                <w:sz w:val="22"/>
                <w:szCs w:val="22"/>
              </w:rPr>
            </w:pPr>
            <w:r>
              <w:rPr>
                <w:rFonts w:hint="default" w:ascii="Times New Roman" w:hAnsi="Times New Roman"/>
                <w:b/>
                <w:color w:val="000000"/>
                <w:sz w:val="22"/>
                <w:szCs w:val="22"/>
                <w:lang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2"/>
                <w:szCs w:val="22"/>
              </w:rPr>
            </w:pPr>
            <w:r>
              <w:rPr>
                <w:rFonts w:hint="default" w:ascii="Times New Roman" w:hAnsi="Times New Roman"/>
                <w:b/>
                <w:bCs/>
                <w:color w:val="000000"/>
                <w:sz w:val="21"/>
                <w:szCs w:val="21"/>
                <w:lang w:bidi="ar"/>
              </w:rPr>
              <w:t xml:space="preserve"> </w:t>
            </w:r>
          </w:p>
        </w:tc>
      </w:tr>
    </w:tbl>
    <w:p>
      <w:pPr>
        <w:rPr>
          <w:rFonts w:hint="default" w:ascii="Times New Roman" w:hAnsi="Times New Roman"/>
          <w:sz w:val="21"/>
          <w:szCs w:val="21"/>
          <w:lang w:bidi="ar"/>
        </w:rPr>
      </w:pPr>
      <w:r>
        <w:rPr>
          <w:rFonts w:hint="default" w:ascii="Times New Roman" w:hAnsi="Times New Roman"/>
          <w:sz w:val="21"/>
          <w:szCs w:val="21"/>
          <w:lang w:bidi="ar"/>
        </w:rPr>
        <w:t>备注：本表反映单位本年度国有资本经营预算财政拨款支出情况。本单位无国有资本经营收支，故本表无数据。</w:t>
      </w:r>
      <w:r>
        <w:rPr>
          <w:rFonts w:hint="default" w:ascii="Times New Roman" w:hAnsi="Times New Roman"/>
          <w:sz w:val="21"/>
          <w:szCs w:val="21"/>
          <w:lang w:bidi="ar"/>
        </w:rPr>
        <w:br w:type="textWrapping"/>
      </w:r>
      <w:r>
        <w:rPr>
          <w:rFonts w:hint="default" w:ascii="Times New Roman" w:hAnsi="Times New Roman"/>
          <w:sz w:val="21"/>
          <w:szCs w:val="21"/>
        </w:rPr>
        <w:br w:type="textWrapping"/>
      </w:r>
    </w:p>
    <w:p>
      <w:pPr>
        <w:rPr>
          <w:rFonts w:hint="default" w:ascii="Times New Roman" w:hAnsi="Times New Roman"/>
          <w:sz w:val="21"/>
          <w:szCs w:val="21"/>
        </w:rPr>
      </w:pPr>
      <w:r>
        <w:rPr>
          <w:rFonts w:hint="default" w:ascii="Times New Roman" w:hAnsi="Times New Roman"/>
          <w:sz w:val="21"/>
          <w:szCs w:val="21"/>
        </w:rPr>
        <w:br w:type="page"/>
      </w:r>
    </w:p>
    <w:tbl>
      <w:tblPr>
        <w:tblStyle w:val="6"/>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sz w:val="40"/>
                <w:szCs w:val="40"/>
              </w:rPr>
            </w:pPr>
            <w:r>
              <w:rPr>
                <w:rFonts w:hint="default" w:ascii="Times New Roman" w:hAnsi="Times New Roman"/>
                <w:b/>
                <w:color w:val="000000"/>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Times New Roman" w:hAnsi="Times New Roman"/>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Times New Roman" w:hAnsi="Times New Roman"/>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ascii="Times New Roman" w:hAnsi="Times New Roman"/>
                <w:color w:val="000000"/>
                <w:sz w:val="22"/>
                <w:szCs w:val="22"/>
              </w:rPr>
            </w:pPr>
            <w:r>
              <w:rPr>
                <w:rFonts w:hint="default" w:ascii="Times New Roman" w:hAnsi="Times New Roman" w:eastAsiaTheme="minorEastAsia"/>
              </w:rPr>
              <w:t>公开单位</w:t>
            </w:r>
            <w:r>
              <w:rPr>
                <w:rFonts w:hint="default" w:ascii="Times New Roman" w:hAnsi="Times New Roman" w:eastAsiaTheme="minorEastAsia"/>
                <w:color w:val="000000"/>
                <w:lang w:bidi="ar"/>
              </w:rPr>
              <w:t xml:space="preserve">： </w:t>
            </w:r>
            <w:r>
              <w:rPr>
                <w:rFonts w:hint="default" w:ascii="Times New Roman" w:hAnsi="Times New Roman"/>
                <w:color w:val="000000"/>
              </w:rPr>
              <w:t>垫江县统一战线服务中心</w:t>
            </w: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Times New Roman" w:hAnsi="Times New Roman"/>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Times New Roman" w:hAnsi="Times New Roman"/>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rPr>
            </w:pPr>
            <w:r>
              <w:rPr>
                <w:rFonts w:hint="default" w:ascii="Times New Roman" w:hAnsi="Times New Roman"/>
                <w:color w:val="000000"/>
                <w:lang w:bidi="ar"/>
              </w:rPr>
              <w:t>单位：</w:t>
            </w:r>
            <w:r>
              <w:rPr>
                <w:rFonts w:hint="default" w:ascii="Times New Roman" w:hAnsi="Times New Roman"/>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一、</w:t>
            </w:r>
            <w:r>
              <w:rPr>
                <w:rFonts w:ascii="Times New Roman" w:hAnsi="Times New Roman"/>
                <w:color w:val="000000"/>
                <w:sz w:val="22"/>
                <w:szCs w:val="22"/>
                <w:lang w:bidi="ar"/>
              </w:rPr>
              <w:t>“</w:t>
            </w:r>
            <w:r>
              <w:rPr>
                <w:rFonts w:hint="default" w:ascii="Times New Roman" w:hAnsi="Times New Roman"/>
                <w:color w:val="000000"/>
                <w:sz w:val="22"/>
                <w:szCs w:val="22"/>
                <w:lang w:bidi="ar"/>
              </w:rPr>
              <w:t>三公</w:t>
            </w:r>
            <w:r>
              <w:rPr>
                <w:rFonts w:ascii="Times New Roman" w:hAnsi="Times New Roman"/>
                <w:color w:val="000000"/>
                <w:sz w:val="22"/>
                <w:szCs w:val="22"/>
                <w:lang w:bidi="ar"/>
              </w:rPr>
              <w:t>”</w:t>
            </w:r>
            <w:r>
              <w:rPr>
                <w:rFonts w:hint="default" w:ascii="Times New Roman" w:hAnsi="Times New Roman"/>
                <w:color w:val="000000"/>
                <w:sz w:val="22"/>
                <w:szCs w:val="22"/>
                <w:lang w:bidi="ar"/>
              </w:rPr>
              <w:t>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Times New Roman" w:hAnsi="Times New Roman"/>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sz w:val="20"/>
                <w:szCs w:val="20"/>
              </w:rPr>
            </w:pPr>
            <w:r>
              <w:rPr>
                <w:rFonts w:hint="default" w:ascii="Times New Roman" w:hAnsi="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Times New Roman" w:hAnsi="Times New Roman"/>
                <w:color w:val="000000"/>
                <w:sz w:val="20"/>
                <w:szCs w:val="20"/>
              </w:rPr>
            </w:pPr>
          </w:p>
        </w:tc>
      </w:tr>
    </w:tbl>
    <w:p>
      <w:pPr>
        <w:rPr>
          <w:rFonts w:hint="default" w:ascii="Times New Roman" w:hAnsi="Times New Roman"/>
          <w:sz w:val="21"/>
          <w:szCs w:val="21"/>
        </w:rPr>
      </w:pPr>
      <w:r>
        <w:rPr>
          <w:rFonts w:hint="default" w:ascii="Times New Roman" w:hAnsi="Times New Roman"/>
          <w:sz w:val="21"/>
          <w:szCs w:val="21"/>
          <w:lang w:bidi="ar"/>
        </w:rPr>
        <w:t>备注：1.本表反映单位本年度财政拨款</w:t>
      </w:r>
      <w:r>
        <w:rPr>
          <w:rFonts w:ascii="Times New Roman" w:hAnsi="Times New Roman"/>
          <w:sz w:val="21"/>
          <w:szCs w:val="21"/>
          <w:lang w:bidi="ar"/>
        </w:rPr>
        <w:t>“</w:t>
      </w:r>
      <w:r>
        <w:rPr>
          <w:rFonts w:hint="default" w:ascii="Times New Roman" w:hAnsi="Times New Roman"/>
          <w:sz w:val="21"/>
          <w:szCs w:val="21"/>
          <w:lang w:bidi="ar"/>
        </w:rPr>
        <w:t>三公</w:t>
      </w:r>
      <w:r>
        <w:rPr>
          <w:rFonts w:ascii="Times New Roman" w:hAnsi="Times New Roman"/>
          <w:sz w:val="21"/>
          <w:szCs w:val="21"/>
          <w:lang w:bidi="ar"/>
        </w:rPr>
        <w:t>”</w:t>
      </w:r>
      <w:r>
        <w:rPr>
          <w:rFonts w:hint="default" w:ascii="Times New Roman" w:hAnsi="Times New Roman"/>
          <w:sz w:val="21"/>
          <w:szCs w:val="21"/>
          <w:lang w:bidi="ar"/>
        </w:rPr>
        <w:t>经费支出预决算情况。其中，预算数为</w:t>
      </w:r>
      <w:r>
        <w:rPr>
          <w:rFonts w:ascii="Times New Roman" w:hAnsi="Times New Roman"/>
          <w:sz w:val="21"/>
          <w:szCs w:val="21"/>
          <w:lang w:bidi="ar"/>
        </w:rPr>
        <w:t>“</w:t>
      </w:r>
      <w:r>
        <w:rPr>
          <w:rFonts w:hint="default" w:ascii="Times New Roman" w:hAnsi="Times New Roman"/>
          <w:sz w:val="21"/>
          <w:szCs w:val="21"/>
          <w:lang w:bidi="ar"/>
        </w:rPr>
        <w:t>三公</w:t>
      </w:r>
      <w:r>
        <w:rPr>
          <w:rFonts w:ascii="Times New Roman" w:hAnsi="Times New Roman"/>
          <w:sz w:val="21"/>
          <w:szCs w:val="21"/>
          <w:lang w:bidi="ar"/>
        </w:rPr>
        <w:t>”</w:t>
      </w:r>
      <w:r>
        <w:rPr>
          <w:rFonts w:hint="default" w:ascii="Times New Roman" w:hAnsi="Times New Roman"/>
          <w:sz w:val="21"/>
          <w:szCs w:val="21"/>
          <w:lang w:bidi="ar"/>
        </w:rPr>
        <w:t>经费全年预算数，反映按规定程序调整后的预算数；决算数为包括本年度财政拨款和以前年度结转资金安排的实际支出。</w:t>
      </w:r>
      <w:r>
        <w:rPr>
          <w:rFonts w:hint="default" w:ascii="Times New Roman" w:hAnsi="Times New Roman"/>
          <w:sz w:val="21"/>
          <w:szCs w:val="21"/>
          <w:lang w:bidi="ar"/>
        </w:rPr>
        <w:br w:type="textWrapping"/>
      </w:r>
      <w:r>
        <w:rPr>
          <w:rFonts w:hint="default" w:ascii="Times New Roman" w:hAnsi="Times New Roman"/>
          <w:sz w:val="21"/>
          <w:szCs w:val="21"/>
          <w:lang w:bidi="ar"/>
        </w:rPr>
        <w:t xml:space="preserve">      2.本套报表金额单位转换时可能存在尾数误差。</w:t>
      </w:r>
      <w:r>
        <w:rPr>
          <w:rFonts w:hint="default" w:ascii="Times New Roman" w:hAnsi="Times New Roman"/>
          <w:sz w:val="21"/>
          <w:szCs w:val="21"/>
          <w:lang w:bidi="ar"/>
        </w:rPr>
        <w:br w:type="textWrapping"/>
      </w:r>
      <w:r>
        <w:rPr>
          <w:rFonts w:hint="default" w:ascii="Times New Roman" w:hAnsi="Times New Roman"/>
          <w:sz w:val="21"/>
          <w:szCs w:val="21"/>
        </w:rPr>
        <w:br w:type="textWrapping"/>
      </w:r>
    </w:p>
    <w:p>
      <w:pPr>
        <w:rPr>
          <w:rFonts w:hint="default" w:ascii="Times New Roman" w:hAnsi="Times New Roman"/>
          <w:color w:val="000000"/>
          <w:sz w:val="21"/>
          <w:szCs w:val="21"/>
          <w:lang w:bidi="ar"/>
        </w:rPr>
      </w:pPr>
    </w:p>
    <w:p>
      <w:pPr>
        <w:rPr>
          <w:rFonts w:hint="default" w:ascii="Times New Roman" w:hAnsi="Times New Roman"/>
          <w:color w:val="000000"/>
          <w:sz w:val="21"/>
          <w:szCs w:val="21"/>
          <w:lang w:bidi="ar"/>
        </w:rPr>
      </w:pPr>
    </w:p>
    <w:p>
      <w:pPr>
        <w:rPr>
          <w:rFonts w:hint="default" w:ascii="Times New Roman" w:hAnsi="Times New Roman"/>
          <w:color w:val="000000"/>
          <w:sz w:val="21"/>
          <w:szCs w:val="21"/>
          <w:lang w:bidi="ar"/>
        </w:rPr>
      </w:pPr>
    </w:p>
    <w:p>
      <w:pPr>
        <w:rPr>
          <w:rFonts w:hint="default" w:ascii="Times New Roman" w:hAnsi="Times New Roman"/>
          <w:color w:val="000000"/>
          <w:sz w:val="21"/>
          <w:szCs w:val="21"/>
          <w:lang w:bidi="ar"/>
        </w:rPr>
      </w:pPr>
    </w:p>
    <w:p>
      <w:pPr>
        <w:rPr>
          <w:rFonts w:hint="default" w:ascii="Times New Roman" w:hAnsi="Times New Roman"/>
          <w:color w:val="000000"/>
          <w:sz w:val="21"/>
          <w:szCs w:val="21"/>
          <w:lang w:bidi="ar"/>
        </w:rPr>
      </w:pPr>
    </w:p>
    <w:p>
      <w:pPr>
        <w:rPr>
          <w:rFonts w:hint="default" w:ascii="Times New Roman" w:hAnsi="Times New Roman"/>
          <w:color w:val="000000"/>
          <w:sz w:val="21"/>
          <w:szCs w:val="21"/>
          <w:lang w:bidi="ar"/>
        </w:rPr>
      </w:pPr>
    </w:p>
    <w:p>
      <w:pPr>
        <w:rPr>
          <w:rFonts w:hint="default" w:ascii="Times New Roman" w:hAnsi="Times New Roman"/>
          <w:color w:val="000000"/>
          <w:sz w:val="21"/>
          <w:szCs w:val="21"/>
          <w:lang w:bidi="ar"/>
        </w:rPr>
      </w:pPr>
    </w:p>
    <w:p>
      <w:pPr>
        <w:rPr>
          <w:rFonts w:hint="default" w:ascii="Times New Roman" w:hAnsi="Times New Roman"/>
          <w:color w:val="000000"/>
          <w:sz w:val="21"/>
          <w:szCs w:val="21"/>
          <w:lang w:bidi="ar"/>
        </w:rPr>
      </w:pPr>
    </w:p>
    <w:p>
      <w:pPr>
        <w:rPr>
          <w:rFonts w:hint="default" w:ascii="Times New Roman" w:hAnsi="Times New Roman"/>
          <w:color w:val="000000"/>
          <w:sz w:val="21"/>
          <w:szCs w:val="21"/>
          <w:lang w:bidi="ar"/>
        </w:rPr>
      </w:pPr>
    </w:p>
    <w:p>
      <w:pPr>
        <w:pStyle w:val="10"/>
        <w:autoSpaceDE w:val="0"/>
        <w:ind w:firstLine="0" w:firstLineChars="0"/>
        <w:rPr>
          <w:rFonts w:ascii="Times New Roman" w:hAnsi="Times New Roman"/>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rPr>
                          </w:pPr>
                          <w:r>
                            <w:fldChar w:fldCharType="begin"/>
                          </w:r>
                          <w:r>
                            <w:instrText xml:space="preserve"> PAGE  \* MERGEFORMAT </w:instrText>
                          </w:r>
                          <w:r>
                            <w:fldChar w:fldCharType="separate"/>
                          </w:r>
                          <w:r>
                            <w:rPr>
                              <w:rFonts w:hint="default"/>
                            </w:rP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712F9"/>
    <w:multiLevelType w:val="singleLevel"/>
    <w:tmpl w:val="9B2712F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0MDg1MzJhZWIxZTgwZTgyY2I2YmY2NmIxODMxNjAifQ=="/>
    <w:docVar w:name="KSO_WPS_MARK_KEY" w:val="247c8cba-8f1d-4c15-9fb3-4457190ef4cc"/>
  </w:docVars>
  <w:rsids>
    <w:rsidRoot w:val="00B03CCD"/>
    <w:rsid w:val="00550ABE"/>
    <w:rsid w:val="00676F3E"/>
    <w:rsid w:val="007B419D"/>
    <w:rsid w:val="007C2935"/>
    <w:rsid w:val="009B67B8"/>
    <w:rsid w:val="00AD55C3"/>
    <w:rsid w:val="00B03CCD"/>
    <w:rsid w:val="00B9734C"/>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5A1C14"/>
    <w:rsid w:val="1B6F15B6"/>
    <w:rsid w:val="1BAA2EDC"/>
    <w:rsid w:val="1CA55E64"/>
    <w:rsid w:val="1CCB7BD2"/>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0D6C98"/>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7303A2"/>
    <w:rsid w:val="438B2A88"/>
    <w:rsid w:val="439A3EB9"/>
    <w:rsid w:val="43BB152F"/>
    <w:rsid w:val="44C37687"/>
    <w:rsid w:val="45CB699A"/>
    <w:rsid w:val="465B470D"/>
    <w:rsid w:val="469D6AD4"/>
    <w:rsid w:val="47105A26"/>
    <w:rsid w:val="471E6C84"/>
    <w:rsid w:val="4748792B"/>
    <w:rsid w:val="475D719D"/>
    <w:rsid w:val="47674801"/>
    <w:rsid w:val="48225EF7"/>
    <w:rsid w:val="488F422B"/>
    <w:rsid w:val="48E36915"/>
    <w:rsid w:val="48EB6572"/>
    <w:rsid w:val="495C4A24"/>
    <w:rsid w:val="49602ED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9BB663E"/>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D37792"/>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437B2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4">
    <w:name w:val="15"/>
    <w:basedOn w:val="8"/>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7948</Words>
  <Characters>9376</Characters>
  <Lines>86</Lines>
  <Paragraphs>24</Paragraphs>
  <TotalTime>4</TotalTime>
  <ScaleCrop>false</ScaleCrop>
  <LinksUpToDate>false</LinksUpToDate>
  <CharactersWithSpaces>10368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2024-09-10T02:38:45Z</dcterms:modified>
  <dc:title>垫江县统一战线服务中心2023年度决算公开说明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6546F952F2654A30B5B0CABE12128DC7_13</vt:lpwstr>
  </property>
</Properties>
</file>