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94" w:lineRule="exact"/>
        <w:jc w:val="center"/>
        <w:rPr>
          <w:rFonts w:hint="default" w:ascii="Times New Roman" w:hAnsi="Times New Roman" w:eastAsia="方正小标宋_GBK"/>
          <w:b/>
          <w:bCs/>
          <w:color w:val="000000" w:themeColor="text1"/>
          <w:sz w:val="44"/>
          <w:szCs w:val="44"/>
        </w:rPr>
      </w:pPr>
      <w:r>
        <w:rPr>
          <w:rFonts w:hint="default" w:ascii="Times New Roman" w:hAnsi="Times New Roman" w:eastAsia="方正小标宋_GBK"/>
          <w:b/>
          <w:bCs/>
          <w:color w:val="000000" w:themeColor="text1"/>
          <w:sz w:val="44"/>
          <w:szCs w:val="44"/>
        </w:rPr>
        <w:t>中国共产党垫江县委员会办公室</w:t>
      </w:r>
    </w:p>
    <w:p>
      <w:pPr>
        <w:pStyle w:val="6"/>
        <w:spacing w:before="0" w:beforeAutospacing="0" w:after="0" w:afterAutospacing="0" w:line="594" w:lineRule="exact"/>
        <w:jc w:val="center"/>
        <w:rPr>
          <w:rFonts w:hint="default" w:ascii="Times New Roman" w:hAnsi="Times New Roman" w:eastAsia="方正小标宋_GBK"/>
          <w:b/>
          <w:bCs/>
          <w:color w:val="000000" w:themeColor="text1"/>
          <w:sz w:val="44"/>
          <w:szCs w:val="44"/>
          <w:shd w:val="clear" w:color="auto" w:fill="FFFFFF"/>
        </w:rPr>
      </w:pPr>
      <w:r>
        <w:rPr>
          <w:rFonts w:hint="default" w:ascii="Times New Roman" w:hAnsi="Times New Roman" w:eastAsia="方正小标宋_GBK"/>
          <w:b/>
          <w:bCs/>
          <w:color w:val="000000" w:themeColor="text1"/>
          <w:sz w:val="44"/>
          <w:szCs w:val="44"/>
          <w:shd w:val="clear" w:color="auto" w:fill="FFFFFF"/>
        </w:rPr>
        <w:t>2023年度决算公开说明</w:t>
      </w:r>
    </w:p>
    <w:p>
      <w:pPr>
        <w:pStyle w:val="6"/>
        <w:spacing w:before="0" w:beforeAutospacing="0" w:after="0" w:afterAutospacing="0" w:line="594" w:lineRule="exact"/>
        <w:jc w:val="both"/>
        <w:rPr>
          <w:rFonts w:hint="default" w:ascii="Times New Roman" w:hAnsi="Times New Roman" w:eastAsia="方正小标宋_GBK"/>
          <w:color w:val="000000" w:themeColor="text1"/>
          <w:sz w:val="36"/>
          <w:szCs w:val="36"/>
          <w:shd w:val="clear" w:color="auto" w:fill="FFFFFF"/>
        </w:rPr>
      </w:pPr>
    </w:p>
    <w:p>
      <w:pPr>
        <w:pStyle w:val="6"/>
        <w:shd w:val="clear" w:color="auto" w:fill="FFFFFF"/>
        <w:spacing w:beforeAutospacing="0" w:after="0" w:afterAutospacing="0" w:line="594" w:lineRule="exact"/>
        <w:ind w:firstLine="640" w:firstLineChars="200"/>
        <w:rPr>
          <w:rFonts w:hint="default" w:ascii="Times New Roman" w:hAnsi="Times New Roman" w:eastAsia="方正黑体_GBK"/>
          <w:bCs/>
          <w:color w:val="000000" w:themeColor="text1"/>
          <w:sz w:val="32"/>
          <w:szCs w:val="32"/>
        </w:rPr>
      </w:pPr>
      <w:r>
        <w:rPr>
          <w:rStyle w:val="10"/>
          <w:rFonts w:hint="default" w:ascii="Times New Roman" w:hAnsi="Times New Roman" w:eastAsia="方正黑体_GBK"/>
          <w:b w:val="0"/>
          <w:bCs/>
          <w:color w:val="000000" w:themeColor="text1"/>
          <w:sz w:val="32"/>
          <w:szCs w:val="32"/>
          <w:shd w:val="clear" w:color="auto" w:fill="FFFFFF"/>
        </w:rPr>
        <w:t>一、</w:t>
      </w:r>
      <w:r>
        <w:rPr>
          <w:rStyle w:val="10"/>
          <w:rFonts w:ascii="Times New Roman" w:hAnsi="Times New Roman" w:eastAsia="方正黑体_GBK"/>
          <w:b w:val="0"/>
          <w:bCs/>
          <w:color w:val="000000" w:themeColor="text1"/>
          <w:sz w:val="32"/>
          <w:szCs w:val="32"/>
          <w:shd w:val="clear" w:color="auto" w:fill="FFFFFF"/>
        </w:rPr>
        <w:t>部门</w:t>
      </w:r>
      <w:r>
        <w:rPr>
          <w:rStyle w:val="10"/>
          <w:rFonts w:hint="default" w:ascii="Times New Roman" w:hAnsi="Times New Roman" w:eastAsia="方正黑体_GBK"/>
          <w:b w:val="0"/>
          <w:bCs/>
          <w:color w:val="000000" w:themeColor="text1"/>
          <w:sz w:val="32"/>
          <w:szCs w:val="32"/>
          <w:shd w:val="clear" w:color="auto" w:fill="FFFFFF"/>
        </w:rPr>
        <w:t>基本情况</w:t>
      </w:r>
    </w:p>
    <w:p>
      <w:pPr>
        <w:pStyle w:val="6"/>
        <w:snapToGrid w:val="0"/>
        <w:spacing w:before="0" w:beforeAutospacing="0" w:after="0" w:afterAutospacing="0" w:line="594" w:lineRule="exact"/>
        <w:ind w:firstLine="643" w:firstLineChars="200"/>
        <w:jc w:val="both"/>
        <w:rPr>
          <w:rFonts w:hint="default" w:ascii="方正楷体_GBK" w:hAnsi="方正楷体_GBK" w:eastAsia="方正楷体_GBK" w:cs="方正楷体_GBK"/>
          <w:b/>
          <w:bCs/>
          <w:color w:val="000000" w:themeColor="text1"/>
          <w:sz w:val="32"/>
          <w:szCs w:val="32"/>
          <w:shd w:val="clear" w:color="auto" w:fill="FFFFFF"/>
        </w:rPr>
      </w:pPr>
      <w:r>
        <w:rPr>
          <w:rFonts w:hint="default" w:ascii="方正楷体_GBK" w:hAnsi="方正楷体_GBK" w:eastAsia="方正楷体_GBK" w:cs="方正楷体_GBK"/>
          <w:b/>
          <w:bCs/>
          <w:color w:val="000000" w:themeColor="text1"/>
          <w:sz w:val="32"/>
          <w:szCs w:val="32"/>
          <w:shd w:val="clear" w:color="auto" w:fill="FFFFFF"/>
        </w:rPr>
        <w:t>（一）职能职责</w:t>
      </w:r>
    </w:p>
    <w:p>
      <w:pPr>
        <w:autoSpaceDE w:val="0"/>
        <w:spacing w:line="594" w:lineRule="exact"/>
        <w:ind w:firstLine="640" w:firstLineChars="200"/>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rPr>
        <w:t>1.负责党的路线、方针、政策贯彻落实情况的督促检查，负责上级党委、县委重大决策和重要工作部署的督促落实。</w:t>
      </w:r>
    </w:p>
    <w:p>
      <w:pPr>
        <w:autoSpaceDE w:val="0"/>
        <w:spacing w:line="594" w:lineRule="exact"/>
        <w:ind w:firstLine="640" w:firstLineChars="200"/>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rPr>
        <w:t>2.负责上级党委、县委重要会议精神的贯彻落实及领导批示的督查落实，抓好督办、检查、信息反馈和协调工作。</w:t>
      </w:r>
    </w:p>
    <w:p>
      <w:pPr>
        <w:autoSpaceDE w:val="0"/>
        <w:spacing w:line="594" w:lineRule="exact"/>
        <w:ind w:firstLine="640" w:firstLineChars="200"/>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rPr>
        <w:t>3.负责对全县重要情况进行调查研究和收集整理，及时向县委及县委领导报送有参考价值的情况、信息和建议；办理中央、市委、市级部门的来文；办理各乡镇（街道）、县级各部门上报县委的文件等相关材料，为县委领导做好各项服务工作。</w:t>
      </w:r>
    </w:p>
    <w:p>
      <w:pPr>
        <w:autoSpaceDE w:val="0"/>
        <w:spacing w:line="594" w:lineRule="exact"/>
        <w:ind w:firstLine="640" w:firstLineChars="200"/>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rPr>
        <w:t>4.负责县委书记、副书记的重要报告、讲话及县委日常文书的起草、修改、送审工作。</w:t>
      </w:r>
    </w:p>
    <w:p>
      <w:pPr>
        <w:autoSpaceDE w:val="0"/>
        <w:spacing w:line="594" w:lineRule="exact"/>
        <w:ind w:firstLine="640" w:firstLineChars="200"/>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rPr>
        <w:t>5.负责县委及县委办文件的校对、印制、分发、清退、归档以及各类电报、信函的传递、保密工作。</w:t>
      </w:r>
    </w:p>
    <w:p>
      <w:pPr>
        <w:autoSpaceDE w:val="0"/>
        <w:spacing w:line="594" w:lineRule="exact"/>
        <w:ind w:firstLine="640" w:firstLineChars="200"/>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rPr>
        <w:t>6.负责县委各种会议的承办和县委领导重要活动的组织安排、协调联络工作。</w:t>
      </w:r>
    </w:p>
    <w:p>
      <w:pPr>
        <w:widowControl w:val="0"/>
        <w:autoSpaceDE w:val="0"/>
        <w:spacing w:line="594" w:lineRule="exact"/>
        <w:ind w:firstLine="640" w:firstLineChars="200"/>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rPr>
        <w:t>7.负责承担中共垫江县委全面深化改革委员会的具体工作，组织开展全面深化改革重大问题的政策研究，协调督促有关方面落实中共垫江县委全面深化改革委员会决定事项、工作部署和要求等。</w:t>
      </w:r>
    </w:p>
    <w:p>
      <w:pPr>
        <w:widowControl w:val="0"/>
        <w:autoSpaceDE w:val="0"/>
        <w:spacing w:line="594" w:lineRule="exact"/>
        <w:ind w:firstLine="640" w:firstLineChars="200"/>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rPr>
        <w:t>8.负责县委机要工作。</w:t>
      </w:r>
    </w:p>
    <w:p>
      <w:pPr>
        <w:widowControl w:val="0"/>
        <w:autoSpaceDE w:val="0"/>
        <w:spacing w:line="594" w:lineRule="exact"/>
        <w:ind w:firstLine="640" w:firstLineChars="200"/>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rPr>
        <w:t>9.负责国家保密工作。</w:t>
      </w:r>
    </w:p>
    <w:p>
      <w:pPr>
        <w:autoSpaceDE w:val="0"/>
        <w:spacing w:line="594" w:lineRule="exact"/>
        <w:ind w:firstLine="640" w:firstLineChars="200"/>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rPr>
        <w:t>10.负责国家安全工作</w:t>
      </w:r>
    </w:p>
    <w:p>
      <w:pPr>
        <w:autoSpaceDE w:val="0"/>
        <w:spacing w:line="594" w:lineRule="exact"/>
        <w:ind w:firstLine="640" w:firstLineChars="200"/>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rPr>
        <w:t>11.承担县委决策督查和专项查办工作，做好县委督查工作领导小组办公室工作。</w:t>
      </w:r>
    </w:p>
    <w:p>
      <w:pPr>
        <w:autoSpaceDE w:val="0"/>
        <w:spacing w:line="594" w:lineRule="exact"/>
        <w:ind w:firstLine="640" w:firstLineChars="200"/>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rPr>
        <w:t>12.履行全面从严治党主体责任，严肃党纪党规，选准用好干部，推进作风建设常态化制度化。</w:t>
      </w:r>
    </w:p>
    <w:p>
      <w:pPr>
        <w:autoSpaceDE w:val="0"/>
        <w:spacing w:line="594" w:lineRule="exact"/>
        <w:ind w:firstLine="640" w:firstLineChars="200"/>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rPr>
        <w:t>13.负责上级领导和有关外来客人的接待工作, 负责县级机关职工食堂服</w:t>
      </w:r>
      <w:r>
        <w:rPr>
          <w:rFonts w:ascii="Times New Roman" w:hAnsi="Times New Roman" w:eastAsia="方正仿宋_GBK"/>
          <w:color w:val="000000" w:themeColor="text1"/>
          <w:sz w:val="32"/>
          <w:szCs w:val="32"/>
        </w:rPr>
        <w:t>务</w:t>
      </w:r>
      <w:r>
        <w:rPr>
          <w:rFonts w:hint="default" w:ascii="Times New Roman" w:hAnsi="Times New Roman" w:eastAsia="方正仿宋_GBK"/>
          <w:color w:val="000000" w:themeColor="text1"/>
          <w:sz w:val="32"/>
          <w:szCs w:val="32"/>
        </w:rPr>
        <w:t>工作。</w:t>
      </w:r>
    </w:p>
    <w:p>
      <w:pPr>
        <w:autoSpaceDE w:val="0"/>
        <w:spacing w:line="594" w:lineRule="exact"/>
        <w:ind w:firstLine="640" w:firstLineChars="200"/>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rPr>
        <w:t>14.档案管理，执法监督与检查。</w:t>
      </w:r>
    </w:p>
    <w:p>
      <w:pPr>
        <w:autoSpaceDE w:val="0"/>
        <w:spacing w:line="594" w:lineRule="exact"/>
        <w:ind w:firstLine="640" w:firstLineChars="200"/>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rPr>
        <w:t>15.完成县委、县委领导和上级党委办公室交办的其他工作任务。</w:t>
      </w:r>
    </w:p>
    <w:p>
      <w:pPr>
        <w:pStyle w:val="6"/>
        <w:snapToGrid w:val="0"/>
        <w:spacing w:before="0" w:beforeAutospacing="0" w:after="0" w:afterAutospacing="0" w:line="594" w:lineRule="exact"/>
        <w:ind w:firstLine="643" w:firstLineChars="200"/>
        <w:jc w:val="both"/>
        <w:rPr>
          <w:rFonts w:hint="default" w:ascii="方正楷体_GBK" w:hAnsi="方正楷体_GBK" w:eastAsia="方正楷体_GBK" w:cs="方正楷体_GBK"/>
          <w:b/>
          <w:bCs/>
          <w:color w:val="000000" w:themeColor="text1"/>
          <w:sz w:val="32"/>
          <w:szCs w:val="32"/>
          <w:shd w:val="clear" w:color="auto" w:fill="FFFFFF"/>
        </w:rPr>
      </w:pPr>
      <w:r>
        <w:rPr>
          <w:rFonts w:hint="default" w:ascii="方正楷体_GBK" w:hAnsi="方正楷体_GBK" w:eastAsia="方正楷体_GBK" w:cs="方正楷体_GBK"/>
          <w:b/>
          <w:bCs/>
          <w:color w:val="000000" w:themeColor="text1"/>
          <w:sz w:val="32"/>
          <w:szCs w:val="32"/>
          <w:shd w:val="clear" w:color="auto" w:fill="FFFFFF"/>
        </w:rPr>
        <w:t>（二）机构设置</w:t>
      </w:r>
    </w:p>
    <w:p>
      <w:pPr>
        <w:autoSpaceDE w:val="0"/>
        <w:spacing w:line="594" w:lineRule="exact"/>
        <w:ind w:firstLine="640" w:firstLineChars="200"/>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rPr>
        <w:t>中共垫江县委办公室对外加挂中共垫江县委保密委员会办公室（垫江县国家保密局）、中共垫江县委机要局（垫江县密码管理局）、垫江县档案局牌子。</w:t>
      </w:r>
    </w:p>
    <w:p>
      <w:pPr>
        <w:widowControl w:val="0"/>
        <w:autoSpaceDE w:val="0"/>
        <w:spacing w:line="594" w:lineRule="exact"/>
        <w:ind w:firstLine="640" w:firstLineChars="200"/>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rPr>
        <w:t>中共垫江县委全面深化改革委员会办公室设在中共垫江县委办公室，设置中共垫江县委全面深化改革委员会办公室秘书科（简称县委改革办秘书科）。</w:t>
      </w:r>
    </w:p>
    <w:p>
      <w:pPr>
        <w:widowControl w:val="0"/>
        <w:autoSpaceDE w:val="0"/>
        <w:spacing w:line="594" w:lineRule="exact"/>
        <w:ind w:firstLine="640" w:firstLineChars="200"/>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rPr>
        <w:t>中共垫江县委办公室内设机构16个，分别是：综合科、秘书一科、秘书二科、秘书三科、督查科、会联科、文秘科、信息科、机要科、保密科、法规科、公务接待科、档案工作科、行政科、改革办秘书科、国家安全科。中共垫江县委办公室下属事业单位3个：垫江县委政策研究中心、垫江县党政信息化服务中心、垫江县公务接待服务中心。从预算单位构成看，纳入本部门2023年度决算编制的二级预算单位主要包括垫江县公务接待服务中心（含垫江县委政策研究中心、垫江县党政信息化服务中心）等。</w:t>
      </w:r>
    </w:p>
    <w:p>
      <w:pPr>
        <w:autoSpaceDE w:val="0"/>
        <w:spacing w:line="594" w:lineRule="exact"/>
        <w:ind w:firstLine="640" w:firstLineChars="200"/>
        <w:rPr>
          <w:rFonts w:hint="default" w:ascii="Times New Roman" w:hAnsi="Times New Roman" w:eastAsia="方正黑体_GBK"/>
          <w:bCs/>
          <w:color w:val="000000" w:themeColor="text1"/>
          <w:sz w:val="32"/>
          <w:szCs w:val="32"/>
          <w:shd w:val="clear" w:color="auto" w:fill="FFFFFF"/>
        </w:rPr>
      </w:pPr>
      <w:r>
        <w:rPr>
          <w:rStyle w:val="10"/>
          <w:rFonts w:hint="default" w:ascii="Times New Roman" w:hAnsi="Times New Roman" w:eastAsia="方正黑体_GBK"/>
          <w:b w:val="0"/>
          <w:bCs/>
          <w:color w:val="000000" w:themeColor="text1"/>
          <w:sz w:val="32"/>
          <w:szCs w:val="32"/>
          <w:shd w:val="clear" w:color="auto" w:fill="FFFFFF"/>
        </w:rPr>
        <w:t>二、部门决算情况说明</w:t>
      </w:r>
    </w:p>
    <w:p>
      <w:pPr>
        <w:pStyle w:val="6"/>
        <w:snapToGrid w:val="0"/>
        <w:spacing w:before="0" w:beforeAutospacing="0" w:after="0" w:afterAutospacing="0" w:line="594" w:lineRule="exact"/>
        <w:ind w:firstLine="643" w:firstLineChars="200"/>
        <w:jc w:val="both"/>
        <w:rPr>
          <w:rFonts w:hint="default" w:ascii="方正楷体_GBK" w:hAnsi="方正楷体_GBK" w:eastAsia="方正楷体_GBK" w:cs="方正楷体_GBK"/>
          <w:b/>
          <w:bCs/>
          <w:color w:val="000000" w:themeColor="text1"/>
          <w:sz w:val="32"/>
          <w:szCs w:val="32"/>
          <w:shd w:val="clear" w:color="auto" w:fill="FFFFFF"/>
        </w:rPr>
      </w:pPr>
      <w:r>
        <w:rPr>
          <w:rFonts w:hint="default" w:ascii="方正楷体_GBK" w:hAnsi="方正楷体_GBK" w:eastAsia="方正楷体_GBK" w:cs="方正楷体_GBK"/>
          <w:b/>
          <w:bCs/>
          <w:color w:val="000000" w:themeColor="text1"/>
          <w:sz w:val="32"/>
          <w:szCs w:val="32"/>
          <w:shd w:val="clear" w:color="auto" w:fill="FFFFFF"/>
        </w:rPr>
        <w:t>（一）收入支出决算总体情况说明。</w:t>
      </w:r>
    </w:p>
    <w:p>
      <w:pPr>
        <w:pStyle w:val="6"/>
        <w:shd w:val="clear" w:color="auto" w:fill="FFFFFF"/>
        <w:spacing w:beforeAutospacing="0" w:after="0" w:afterAutospacing="0" w:line="594" w:lineRule="exact"/>
        <w:ind w:firstLine="643" w:firstLineChars="200"/>
        <w:rPr>
          <w:rFonts w:hint="default" w:ascii="Times New Roman" w:hAnsi="Times New Roman" w:eastAsia="方正仿宋_GBK"/>
          <w:color w:val="000000" w:themeColor="text1"/>
          <w:sz w:val="32"/>
          <w:szCs w:val="32"/>
        </w:rPr>
      </w:pPr>
      <w:r>
        <w:rPr>
          <w:rStyle w:val="10"/>
          <w:rFonts w:hint="default" w:ascii="Times New Roman" w:hAnsi="Times New Roman" w:eastAsia="方正仿宋_GBK"/>
          <w:color w:val="000000" w:themeColor="text1"/>
          <w:sz w:val="32"/>
          <w:szCs w:val="32"/>
          <w:shd w:val="clear" w:color="auto" w:fill="FFFFFF"/>
        </w:rPr>
        <w:t>1.总体情况。</w:t>
      </w:r>
      <w:r>
        <w:rPr>
          <w:rFonts w:hint="default" w:ascii="Times New Roman" w:hAnsi="Times New Roman" w:eastAsia="方正仿宋_GBK"/>
          <w:color w:val="000000" w:themeColor="text1"/>
          <w:sz w:val="32"/>
          <w:szCs w:val="32"/>
          <w:shd w:val="clear" w:color="auto" w:fill="FFFFFF"/>
        </w:rPr>
        <w:t>2023年度收入总计2492.24万元，支出总计</w:t>
      </w:r>
      <w:r>
        <w:rPr>
          <w:rFonts w:hint="default" w:ascii="Times New Roman" w:hAnsi="Times New Roman" w:eastAsia="方正仿宋_GBK"/>
          <w:color w:val="000000" w:themeColor="text1"/>
          <w:sz w:val="32"/>
          <w:szCs w:val="32"/>
        </w:rPr>
        <w:t>2492.24</w:t>
      </w:r>
      <w:r>
        <w:rPr>
          <w:rFonts w:hint="default" w:ascii="Times New Roman" w:hAnsi="Times New Roman" w:eastAsia="方正仿宋_GBK"/>
          <w:color w:val="000000" w:themeColor="text1"/>
          <w:sz w:val="32"/>
          <w:szCs w:val="32"/>
          <w:shd w:val="clear" w:color="auto" w:fill="FFFFFF"/>
        </w:rPr>
        <w:t>万元。收支较上年决算数减少1051.58万元，下降29.67%，主要原因是</w:t>
      </w:r>
      <w:r>
        <w:rPr>
          <w:rFonts w:hint="default" w:ascii="Times New Roman" w:hAnsi="Times New Roman" w:eastAsia="方正仿宋_GBK"/>
          <w:color w:val="000000" w:themeColor="text1"/>
          <w:kern w:val="2"/>
          <w:sz w:val="32"/>
          <w:szCs w:val="32"/>
        </w:rPr>
        <w:t>项目资金减少导致经费拨款减少</w:t>
      </w:r>
      <w:r>
        <w:rPr>
          <w:rFonts w:hint="default" w:ascii="Times New Roman" w:hAnsi="Times New Roman" w:eastAsia="方正仿宋_GBK"/>
          <w:color w:val="000000" w:themeColor="text1"/>
          <w:sz w:val="32"/>
          <w:szCs w:val="32"/>
          <w:shd w:val="clear" w:color="auto" w:fill="FFFFFF"/>
        </w:rPr>
        <w:t>。</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color w:val="000000" w:themeColor="text1"/>
          <w:sz w:val="32"/>
          <w:szCs w:val="32"/>
          <w:shd w:val="clear" w:color="auto" w:fill="FFFFFF"/>
        </w:rPr>
      </w:pPr>
      <w:r>
        <w:rPr>
          <w:rStyle w:val="10"/>
          <w:rFonts w:hint="default" w:ascii="Times New Roman" w:hAnsi="Times New Roman" w:eastAsia="方正仿宋_GBK"/>
          <w:color w:val="000000" w:themeColor="text1"/>
          <w:sz w:val="32"/>
          <w:szCs w:val="32"/>
          <w:shd w:val="clear" w:color="auto" w:fill="FFFFFF"/>
        </w:rPr>
        <w:t>2.收入情况。</w:t>
      </w:r>
      <w:r>
        <w:rPr>
          <w:rFonts w:hint="default" w:ascii="Times New Roman" w:hAnsi="Times New Roman" w:eastAsia="方正仿宋_GBK"/>
          <w:color w:val="000000" w:themeColor="text1"/>
          <w:sz w:val="32"/>
          <w:szCs w:val="32"/>
          <w:shd w:val="clear" w:color="auto" w:fill="FFFFFF"/>
        </w:rPr>
        <w:t>2023年度收入合计2402.16万元，较上年决算数减少728.67万元，下降23.27%，主要原因是主要原因是</w:t>
      </w:r>
      <w:r>
        <w:rPr>
          <w:rFonts w:hint="default" w:ascii="Times New Roman" w:hAnsi="Times New Roman" w:eastAsia="方正仿宋_GBK"/>
          <w:color w:val="000000" w:themeColor="text1"/>
          <w:kern w:val="2"/>
          <w:sz w:val="32"/>
          <w:szCs w:val="32"/>
        </w:rPr>
        <w:t>项目资金减少导致经费拨款减少</w:t>
      </w:r>
      <w:r>
        <w:rPr>
          <w:rFonts w:hint="default" w:ascii="Times New Roman" w:hAnsi="Times New Roman" w:eastAsia="方正仿宋_GBK"/>
          <w:color w:val="000000" w:themeColor="text1"/>
          <w:sz w:val="32"/>
          <w:szCs w:val="32"/>
          <w:shd w:val="clear" w:color="auto" w:fill="FFFFFF"/>
        </w:rPr>
        <w:t>。其中：财政拨款收入</w:t>
      </w:r>
      <w:r>
        <w:rPr>
          <w:rFonts w:hint="default" w:ascii="Times New Roman" w:hAnsi="Times New Roman" w:eastAsia="方正仿宋_GBK"/>
          <w:color w:val="000000" w:themeColor="text1"/>
          <w:sz w:val="32"/>
          <w:szCs w:val="32"/>
        </w:rPr>
        <w:t>2398.55</w:t>
      </w:r>
      <w:r>
        <w:rPr>
          <w:rFonts w:hint="default" w:ascii="Times New Roman" w:hAnsi="Times New Roman" w:eastAsia="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rPr>
        <w:t>99.85</w:t>
      </w:r>
      <w:r>
        <w:rPr>
          <w:rFonts w:hint="default" w:ascii="Times New Roman" w:hAnsi="Times New Roman" w:eastAsia="方正仿宋_GBK"/>
          <w:color w:val="000000" w:themeColor="text1"/>
          <w:sz w:val="32"/>
          <w:szCs w:val="32"/>
          <w:shd w:val="clear" w:color="auto" w:fill="FFFFFF"/>
        </w:rPr>
        <w:t>%；事业收入</w:t>
      </w:r>
      <w:r>
        <w:rPr>
          <w:rFonts w:hint="default" w:ascii="Times New Roman" w:hAnsi="Times New Roman" w:eastAsia="方正仿宋_GBK"/>
          <w:color w:val="000000" w:themeColor="text1"/>
          <w:sz w:val="32"/>
          <w:szCs w:val="32"/>
        </w:rPr>
        <w:t>0.00</w:t>
      </w:r>
      <w:r>
        <w:rPr>
          <w:rFonts w:hint="default" w:ascii="Times New Roman" w:hAnsi="Times New Roman" w:eastAsia="方正仿宋_GBK"/>
          <w:color w:val="000000" w:themeColor="text1"/>
          <w:sz w:val="32"/>
          <w:szCs w:val="32"/>
          <w:shd w:val="clear" w:color="auto" w:fill="FFFFFF"/>
        </w:rPr>
        <w:t>万元，占0.00%；经营收入</w:t>
      </w:r>
      <w:r>
        <w:rPr>
          <w:rFonts w:hint="default" w:ascii="Times New Roman" w:hAnsi="Times New Roman" w:eastAsia="方正仿宋_GBK"/>
          <w:color w:val="000000" w:themeColor="text1"/>
          <w:sz w:val="32"/>
          <w:szCs w:val="32"/>
        </w:rPr>
        <w:t>0.00</w:t>
      </w:r>
      <w:r>
        <w:rPr>
          <w:rFonts w:hint="default" w:ascii="Times New Roman" w:hAnsi="Times New Roman" w:eastAsia="方正仿宋_GBK"/>
          <w:color w:val="000000" w:themeColor="text1"/>
          <w:sz w:val="32"/>
          <w:szCs w:val="32"/>
          <w:shd w:val="clear" w:color="auto" w:fill="FFFFFF"/>
        </w:rPr>
        <w:t>万元，占0.00%；其他收入</w:t>
      </w:r>
      <w:r>
        <w:rPr>
          <w:rFonts w:hint="default" w:ascii="Times New Roman" w:hAnsi="Times New Roman" w:eastAsia="方正仿宋_GBK"/>
          <w:color w:val="000000" w:themeColor="text1"/>
          <w:sz w:val="32"/>
          <w:szCs w:val="32"/>
        </w:rPr>
        <w:t>3.61</w:t>
      </w:r>
      <w:r>
        <w:rPr>
          <w:rFonts w:hint="default" w:ascii="Times New Roman" w:hAnsi="Times New Roman" w:eastAsia="方正仿宋_GBK"/>
          <w:color w:val="000000" w:themeColor="text1"/>
          <w:sz w:val="32"/>
          <w:szCs w:val="32"/>
          <w:shd w:val="clear" w:color="auto" w:fill="FFFFFF"/>
        </w:rPr>
        <w:t>万元，占0.15%。此外，使用非财政拨款结余和专用结余</w:t>
      </w:r>
      <w:r>
        <w:rPr>
          <w:rFonts w:hint="default" w:ascii="Times New Roman" w:hAnsi="Times New Roman" w:eastAsia="方正仿宋_GBK"/>
          <w:color w:val="000000" w:themeColor="text1"/>
          <w:sz w:val="32"/>
          <w:szCs w:val="32"/>
        </w:rPr>
        <w:t>0.00</w:t>
      </w:r>
      <w:r>
        <w:rPr>
          <w:rFonts w:hint="default" w:ascii="Times New Roman" w:hAnsi="Times New Roman" w:eastAsia="方正仿宋_GBK"/>
          <w:color w:val="000000" w:themeColor="text1"/>
          <w:sz w:val="32"/>
          <w:szCs w:val="32"/>
          <w:shd w:val="clear" w:color="auto" w:fill="FFFFFF"/>
        </w:rPr>
        <w:t>万元，年初结转和结余</w:t>
      </w:r>
      <w:r>
        <w:rPr>
          <w:rFonts w:hint="default" w:ascii="Times New Roman" w:hAnsi="Times New Roman" w:eastAsia="方正仿宋_GBK"/>
          <w:color w:val="000000" w:themeColor="text1"/>
          <w:sz w:val="32"/>
          <w:szCs w:val="32"/>
        </w:rPr>
        <w:t>90.08</w:t>
      </w:r>
      <w:r>
        <w:rPr>
          <w:rFonts w:hint="default" w:ascii="Times New Roman" w:hAnsi="Times New Roman" w:eastAsia="方正仿宋_GBK"/>
          <w:color w:val="000000" w:themeColor="text1"/>
          <w:sz w:val="32"/>
          <w:szCs w:val="32"/>
          <w:shd w:val="clear" w:color="auto" w:fill="FFFFFF"/>
        </w:rPr>
        <w:t>万元。</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color w:val="000000" w:themeColor="text1"/>
          <w:sz w:val="32"/>
          <w:szCs w:val="32"/>
          <w:shd w:val="clear" w:color="auto" w:fill="FFFFFF"/>
        </w:rPr>
      </w:pPr>
      <w:r>
        <w:rPr>
          <w:rStyle w:val="10"/>
          <w:rFonts w:hint="default" w:ascii="Times New Roman" w:hAnsi="Times New Roman" w:eastAsia="方正仿宋_GBK"/>
          <w:color w:val="000000" w:themeColor="text1"/>
          <w:sz w:val="32"/>
          <w:szCs w:val="32"/>
          <w:shd w:val="clear" w:color="auto" w:fill="FFFFFF"/>
        </w:rPr>
        <w:t>3.支出情况。</w:t>
      </w:r>
      <w:r>
        <w:rPr>
          <w:rFonts w:hint="default" w:ascii="Times New Roman" w:hAnsi="Times New Roman" w:eastAsia="方正仿宋_GBK"/>
          <w:color w:val="000000" w:themeColor="text1"/>
          <w:sz w:val="32"/>
          <w:szCs w:val="32"/>
          <w:shd w:val="clear" w:color="auto" w:fill="FFFFFF"/>
        </w:rPr>
        <w:t>2023年度支出合计</w:t>
      </w:r>
      <w:r>
        <w:rPr>
          <w:rFonts w:hint="default" w:ascii="Times New Roman" w:hAnsi="Times New Roman" w:eastAsia="方正仿宋_GBK"/>
          <w:color w:val="000000" w:themeColor="text1"/>
          <w:sz w:val="32"/>
          <w:szCs w:val="32"/>
        </w:rPr>
        <w:t>2469.00</w:t>
      </w:r>
      <w:r>
        <w:rPr>
          <w:rFonts w:hint="default" w:ascii="Times New Roman" w:hAnsi="Times New Roman" w:eastAsia="方正仿宋_GBK"/>
          <w:color w:val="000000" w:themeColor="text1"/>
          <w:sz w:val="32"/>
          <w:szCs w:val="32"/>
          <w:shd w:val="clear" w:color="auto" w:fill="FFFFFF"/>
        </w:rPr>
        <w:t>万元，较上年决算数减少1050.93万元，下降29.86%，主要原因是主要原因是</w:t>
      </w:r>
      <w:r>
        <w:rPr>
          <w:rFonts w:hint="default" w:ascii="Times New Roman" w:hAnsi="Times New Roman" w:eastAsia="方正仿宋_GBK"/>
          <w:color w:val="000000" w:themeColor="text1"/>
          <w:kern w:val="2"/>
          <w:sz w:val="32"/>
          <w:szCs w:val="32"/>
        </w:rPr>
        <w:t>项目资金减少导致经费拨款减少</w:t>
      </w:r>
      <w:r>
        <w:rPr>
          <w:rFonts w:hint="default" w:ascii="Times New Roman" w:hAnsi="Times New Roman" w:eastAsia="方正仿宋_GBK"/>
          <w:color w:val="000000" w:themeColor="text1"/>
          <w:sz w:val="32"/>
          <w:szCs w:val="32"/>
          <w:shd w:val="clear" w:color="auto" w:fill="FFFFFF"/>
        </w:rPr>
        <w:t>。其中：基本支出</w:t>
      </w:r>
      <w:r>
        <w:rPr>
          <w:rFonts w:hint="default" w:ascii="Times New Roman" w:hAnsi="Times New Roman" w:eastAsia="方正仿宋_GBK"/>
          <w:color w:val="000000" w:themeColor="text1"/>
          <w:sz w:val="32"/>
          <w:szCs w:val="32"/>
        </w:rPr>
        <w:t>1464.92</w:t>
      </w:r>
      <w:r>
        <w:rPr>
          <w:rFonts w:hint="default" w:ascii="Times New Roman" w:hAnsi="Times New Roman" w:eastAsia="方正仿宋_GBK"/>
          <w:color w:val="000000" w:themeColor="text1"/>
          <w:sz w:val="32"/>
          <w:szCs w:val="32"/>
          <w:shd w:val="clear" w:color="auto" w:fill="FFFFFF"/>
        </w:rPr>
        <w:t>万元，占59.33%；项目支出</w:t>
      </w:r>
      <w:r>
        <w:rPr>
          <w:rFonts w:hint="default" w:ascii="Times New Roman" w:hAnsi="Times New Roman" w:eastAsia="方正仿宋_GBK"/>
          <w:color w:val="000000" w:themeColor="text1"/>
          <w:sz w:val="32"/>
          <w:szCs w:val="32"/>
        </w:rPr>
        <w:t>1004.08</w:t>
      </w:r>
      <w:r>
        <w:rPr>
          <w:rFonts w:hint="default" w:ascii="Times New Roman" w:hAnsi="Times New Roman" w:eastAsia="方正仿宋_GBK"/>
          <w:color w:val="000000" w:themeColor="text1"/>
          <w:sz w:val="32"/>
          <w:szCs w:val="32"/>
          <w:shd w:val="clear" w:color="auto" w:fill="FFFFFF"/>
        </w:rPr>
        <w:t>万元，占40.67%；经营支出</w:t>
      </w:r>
      <w:r>
        <w:rPr>
          <w:rFonts w:hint="default" w:ascii="Times New Roman" w:hAnsi="Times New Roman" w:eastAsia="方正仿宋_GBK"/>
          <w:color w:val="000000" w:themeColor="text1"/>
          <w:sz w:val="32"/>
          <w:szCs w:val="32"/>
        </w:rPr>
        <w:t>0.00</w:t>
      </w:r>
      <w:r>
        <w:rPr>
          <w:rFonts w:hint="default" w:ascii="Times New Roman" w:hAnsi="Times New Roman" w:eastAsia="方正仿宋_GBK"/>
          <w:color w:val="000000" w:themeColor="text1"/>
          <w:sz w:val="32"/>
          <w:szCs w:val="32"/>
          <w:shd w:val="clear" w:color="auto" w:fill="FFFFFF"/>
        </w:rPr>
        <w:t>万元，占0.00%。此外，结余分配</w:t>
      </w:r>
      <w:r>
        <w:rPr>
          <w:rFonts w:hint="default" w:ascii="Times New Roman" w:hAnsi="Times New Roman" w:eastAsia="方正仿宋_GBK"/>
          <w:color w:val="000000" w:themeColor="text1"/>
          <w:sz w:val="32"/>
          <w:szCs w:val="32"/>
        </w:rPr>
        <w:t>0.00</w:t>
      </w:r>
      <w:r>
        <w:rPr>
          <w:rFonts w:hint="default" w:ascii="Times New Roman" w:hAnsi="Times New Roman" w:eastAsia="方正仿宋_GBK"/>
          <w:color w:val="000000" w:themeColor="text1"/>
          <w:sz w:val="32"/>
          <w:szCs w:val="32"/>
          <w:shd w:val="clear" w:color="auto" w:fill="FFFFFF"/>
        </w:rPr>
        <w:t>万元。</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color w:val="000000" w:themeColor="text1"/>
          <w:sz w:val="32"/>
          <w:szCs w:val="32"/>
        </w:rPr>
      </w:pPr>
      <w:r>
        <w:rPr>
          <w:rStyle w:val="10"/>
          <w:rFonts w:hint="default" w:ascii="Times New Roman" w:hAnsi="Times New Roman" w:eastAsia="方正仿宋_GBK"/>
          <w:color w:val="000000" w:themeColor="text1"/>
          <w:sz w:val="32"/>
          <w:szCs w:val="32"/>
          <w:shd w:val="clear" w:color="auto" w:fill="FFFFFF"/>
        </w:rPr>
        <w:t>4.结转结余情况。</w:t>
      </w:r>
      <w:r>
        <w:rPr>
          <w:rFonts w:hint="default" w:ascii="Times New Roman" w:hAnsi="Times New Roman" w:eastAsia="方正仿宋_GBK"/>
          <w:color w:val="000000" w:themeColor="text1"/>
          <w:sz w:val="32"/>
          <w:szCs w:val="32"/>
          <w:shd w:val="clear" w:color="auto" w:fill="FFFFFF"/>
        </w:rPr>
        <w:t>2023年度年末结转和结余</w:t>
      </w:r>
      <w:r>
        <w:rPr>
          <w:rFonts w:hint="default" w:ascii="Times New Roman" w:hAnsi="Times New Roman" w:eastAsia="方正仿宋_GBK"/>
          <w:color w:val="000000" w:themeColor="text1"/>
          <w:sz w:val="32"/>
          <w:szCs w:val="32"/>
        </w:rPr>
        <w:t>23.24</w:t>
      </w:r>
      <w:r>
        <w:rPr>
          <w:rFonts w:hint="default" w:ascii="Times New Roman" w:hAnsi="Times New Roman" w:eastAsia="方正仿宋_GBK"/>
          <w:color w:val="000000" w:themeColor="text1"/>
          <w:sz w:val="32"/>
          <w:szCs w:val="32"/>
          <w:shd w:val="clear" w:color="auto" w:fill="FFFFFF"/>
        </w:rPr>
        <w:t>万元，较上年决算数减少0.65万元，下降2.72%，主要原因是将</w:t>
      </w:r>
      <w:r>
        <w:rPr>
          <w:rFonts w:hint="default" w:ascii="Times New Roman" w:hAnsi="Times New Roman" w:eastAsia="方正仿宋_GBK"/>
          <w:color w:val="000000" w:themeColor="text1"/>
          <w:kern w:val="2"/>
          <w:sz w:val="32"/>
          <w:szCs w:val="32"/>
        </w:rPr>
        <w:t>职工以前年度超基数部分公积金</w:t>
      </w:r>
      <w:r>
        <w:rPr>
          <w:rFonts w:hint="default" w:ascii="Times New Roman" w:hAnsi="Times New Roman" w:eastAsia="方正仿宋_GBK"/>
          <w:color w:val="000000" w:themeColor="text1"/>
          <w:sz w:val="32"/>
          <w:szCs w:val="32"/>
          <w:shd w:val="clear" w:color="auto" w:fill="FFFFFF"/>
        </w:rPr>
        <w:t>上缴财政和</w:t>
      </w:r>
      <w:r>
        <w:rPr>
          <w:rFonts w:hint="default" w:ascii="Times New Roman" w:hAnsi="Times New Roman" w:eastAsia="方正仿宋_GBK"/>
          <w:color w:val="000000" w:themeColor="text1"/>
          <w:kern w:val="2"/>
          <w:sz w:val="32"/>
          <w:szCs w:val="32"/>
        </w:rPr>
        <w:t>职工归还单位垫付部分电话费</w:t>
      </w:r>
      <w:r>
        <w:rPr>
          <w:rFonts w:hint="default" w:ascii="Times New Roman" w:hAnsi="Times New Roman" w:eastAsia="方正仿宋_GBK"/>
          <w:color w:val="000000" w:themeColor="text1"/>
          <w:sz w:val="32"/>
          <w:szCs w:val="32"/>
          <w:shd w:val="clear" w:color="auto" w:fill="FFFFFF"/>
        </w:rPr>
        <w:t>。</w:t>
      </w:r>
    </w:p>
    <w:p>
      <w:pPr>
        <w:pStyle w:val="6"/>
        <w:snapToGrid w:val="0"/>
        <w:spacing w:before="0" w:beforeAutospacing="0" w:after="0" w:afterAutospacing="0" w:line="594" w:lineRule="exact"/>
        <w:ind w:firstLine="643" w:firstLineChars="200"/>
        <w:jc w:val="both"/>
        <w:rPr>
          <w:rFonts w:hint="default" w:ascii="方正楷体_GBK" w:hAnsi="方正楷体_GBK" w:eastAsia="方正楷体_GBK" w:cs="方正楷体_GBK"/>
          <w:b/>
          <w:bCs/>
          <w:color w:val="000000" w:themeColor="text1"/>
          <w:sz w:val="32"/>
          <w:szCs w:val="32"/>
          <w:shd w:val="clear" w:color="auto" w:fill="FFFFFF"/>
        </w:rPr>
      </w:pPr>
      <w:r>
        <w:rPr>
          <w:rFonts w:hint="default" w:ascii="方正楷体_GBK" w:hAnsi="方正楷体_GBK" w:eastAsia="方正楷体_GBK" w:cs="方正楷体_GBK"/>
          <w:b/>
          <w:bCs/>
          <w:color w:val="000000" w:themeColor="text1"/>
          <w:sz w:val="32"/>
          <w:szCs w:val="32"/>
          <w:shd w:val="clear" w:color="auto" w:fill="FFFFFF"/>
        </w:rPr>
        <w:t>（二）财政拨款收入支出决算总体情况说明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shd w:val="clear" w:color="auto" w:fill="FFFFFF"/>
        </w:rPr>
        <w:t>2023年度财政拨款收、支总计2486.25万元。与2022年相比，财政拨款收、支总计各减少1055.33万元，下降29.80%。主要原因是</w:t>
      </w:r>
      <w:r>
        <w:rPr>
          <w:rFonts w:hint="default" w:ascii="Times New Roman" w:hAnsi="Times New Roman" w:eastAsia="方正仿宋_GBK"/>
          <w:color w:val="000000" w:themeColor="text1"/>
          <w:kern w:val="2"/>
          <w:sz w:val="32"/>
          <w:szCs w:val="32"/>
        </w:rPr>
        <w:t>项目资金减少导致经费拨款减少。</w:t>
      </w:r>
    </w:p>
    <w:p>
      <w:pPr>
        <w:pStyle w:val="6"/>
        <w:snapToGrid w:val="0"/>
        <w:spacing w:before="0" w:beforeAutospacing="0" w:after="0" w:afterAutospacing="0" w:line="594" w:lineRule="exact"/>
        <w:ind w:firstLine="643" w:firstLineChars="200"/>
        <w:jc w:val="both"/>
        <w:rPr>
          <w:rFonts w:hint="default" w:ascii="方正楷体_GBK" w:hAnsi="方正楷体_GBK" w:eastAsia="方正楷体_GBK" w:cs="方正楷体_GBK"/>
          <w:b/>
          <w:bCs/>
          <w:color w:val="000000" w:themeColor="text1"/>
          <w:sz w:val="32"/>
          <w:szCs w:val="32"/>
          <w:shd w:val="clear" w:color="auto" w:fill="FFFFFF"/>
        </w:rPr>
      </w:pPr>
      <w:r>
        <w:rPr>
          <w:rFonts w:hint="default" w:ascii="方正楷体_GBK" w:hAnsi="方正楷体_GBK" w:eastAsia="方正楷体_GBK" w:cs="方正楷体_GBK"/>
          <w:b/>
          <w:bCs/>
          <w:color w:val="000000" w:themeColor="text1"/>
          <w:sz w:val="32"/>
          <w:szCs w:val="32"/>
          <w:shd w:val="clear" w:color="auto" w:fill="FFFFFF"/>
        </w:rPr>
        <w:t>（三）一般公共预算财政拨款收入支出决算情况说明</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color w:val="000000" w:themeColor="text1"/>
          <w:sz w:val="32"/>
          <w:szCs w:val="32"/>
        </w:rPr>
      </w:pPr>
      <w:r>
        <w:rPr>
          <w:rStyle w:val="10"/>
          <w:rFonts w:hint="default" w:ascii="Times New Roman" w:hAnsi="Times New Roman" w:eastAsia="方正仿宋_GBK"/>
          <w:color w:val="000000" w:themeColor="text1"/>
          <w:sz w:val="32"/>
          <w:szCs w:val="32"/>
          <w:shd w:val="clear" w:color="auto" w:fill="FFFFFF"/>
        </w:rPr>
        <w:t>1.收入情况。</w:t>
      </w:r>
      <w:r>
        <w:rPr>
          <w:rFonts w:hint="default" w:ascii="Times New Roman" w:hAnsi="Times New Roman" w:eastAsia="方正仿宋_GBK"/>
          <w:color w:val="000000" w:themeColor="text1"/>
          <w:sz w:val="32"/>
          <w:szCs w:val="32"/>
          <w:shd w:val="clear" w:color="auto" w:fill="FFFFFF"/>
        </w:rPr>
        <w:t>2023年度一般公共预算财政拨款收入</w:t>
      </w:r>
      <w:r>
        <w:rPr>
          <w:rFonts w:hint="default" w:ascii="Times New Roman" w:hAnsi="Times New Roman" w:eastAsia="方正仿宋_GBK"/>
          <w:color w:val="000000" w:themeColor="text1"/>
          <w:sz w:val="32"/>
          <w:szCs w:val="32"/>
        </w:rPr>
        <w:t>2398.55</w:t>
      </w:r>
      <w:r>
        <w:rPr>
          <w:rFonts w:hint="default" w:ascii="Times New Roman" w:hAnsi="Times New Roman" w:eastAsia="方正仿宋_GBK"/>
          <w:color w:val="000000" w:themeColor="text1"/>
          <w:sz w:val="32"/>
          <w:szCs w:val="32"/>
          <w:shd w:val="clear" w:color="auto" w:fill="FFFFFF"/>
        </w:rPr>
        <w:t>万元，较上年决算数减少731.90万元，下降23.38%。主要原因是</w:t>
      </w:r>
      <w:r>
        <w:rPr>
          <w:rFonts w:hint="default" w:ascii="Times New Roman" w:hAnsi="Times New Roman" w:eastAsia="方正仿宋_GBK"/>
          <w:color w:val="000000" w:themeColor="text1"/>
          <w:kern w:val="2"/>
          <w:sz w:val="32"/>
          <w:szCs w:val="32"/>
        </w:rPr>
        <w:t>项目资金减少导致经费拨款减少。</w:t>
      </w:r>
      <w:r>
        <w:rPr>
          <w:rFonts w:hint="default" w:ascii="Times New Roman" w:hAnsi="Times New Roman" w:eastAsia="方正仿宋_GBK"/>
          <w:color w:val="000000" w:themeColor="text1"/>
          <w:sz w:val="32"/>
          <w:szCs w:val="32"/>
          <w:shd w:val="clear" w:color="auto" w:fill="FFFFFF"/>
        </w:rPr>
        <w:t>较年初预算数减少110.25万元，下降4.39%。主要原因是</w:t>
      </w:r>
      <w:r>
        <w:rPr>
          <w:rFonts w:hint="default" w:ascii="Times New Roman" w:hAnsi="Times New Roman" w:eastAsia="方正仿宋_GBK"/>
          <w:color w:val="000000" w:themeColor="text1"/>
          <w:kern w:val="2"/>
          <w:sz w:val="32"/>
          <w:szCs w:val="32"/>
        </w:rPr>
        <w:t>项目资金减少导致经费拨款减少。</w:t>
      </w:r>
      <w:r>
        <w:rPr>
          <w:rFonts w:hint="default" w:ascii="Times New Roman" w:hAnsi="Times New Roman" w:eastAsia="方正仿宋_GBK"/>
          <w:color w:val="000000" w:themeColor="text1"/>
          <w:sz w:val="32"/>
          <w:szCs w:val="32"/>
          <w:shd w:val="clear" w:color="auto" w:fill="FFFFFF"/>
        </w:rPr>
        <w:t>此外，年初财政拨款结转和结余</w:t>
      </w:r>
      <w:r>
        <w:rPr>
          <w:rFonts w:hint="default" w:ascii="Times New Roman" w:hAnsi="Times New Roman" w:eastAsia="方正仿宋_GBK"/>
          <w:color w:val="000000" w:themeColor="text1"/>
          <w:sz w:val="32"/>
          <w:szCs w:val="32"/>
        </w:rPr>
        <w:t>87.70</w:t>
      </w:r>
      <w:r>
        <w:rPr>
          <w:rFonts w:hint="default" w:ascii="Times New Roman" w:hAnsi="Times New Roman" w:eastAsia="方正仿宋_GBK"/>
          <w:color w:val="000000" w:themeColor="text1"/>
          <w:sz w:val="32"/>
          <w:szCs w:val="32"/>
          <w:shd w:val="clear" w:color="auto" w:fill="FFFFFF"/>
        </w:rPr>
        <w:t>万元。</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color w:val="000000" w:themeColor="text1"/>
          <w:sz w:val="32"/>
          <w:szCs w:val="32"/>
        </w:rPr>
      </w:pPr>
      <w:r>
        <w:rPr>
          <w:rStyle w:val="10"/>
          <w:rFonts w:hint="default" w:ascii="Times New Roman" w:hAnsi="Times New Roman" w:eastAsia="方正仿宋_GBK"/>
          <w:color w:val="000000" w:themeColor="text1"/>
          <w:sz w:val="32"/>
          <w:szCs w:val="32"/>
          <w:shd w:val="clear" w:color="auto" w:fill="FFFFFF"/>
        </w:rPr>
        <w:t>2.支出情况。</w:t>
      </w:r>
      <w:r>
        <w:rPr>
          <w:rFonts w:hint="default" w:ascii="Times New Roman" w:hAnsi="Times New Roman" w:eastAsia="方正仿宋_GBK"/>
          <w:color w:val="000000" w:themeColor="text1"/>
          <w:sz w:val="32"/>
          <w:szCs w:val="32"/>
          <w:shd w:val="clear" w:color="auto" w:fill="FFFFFF"/>
        </w:rPr>
        <w:t>2023年度一般公共预算财政拨款支出</w:t>
      </w:r>
      <w:r>
        <w:rPr>
          <w:rFonts w:hint="default" w:ascii="Times New Roman" w:hAnsi="Times New Roman" w:eastAsia="方正仿宋_GBK"/>
          <w:color w:val="000000" w:themeColor="text1"/>
          <w:sz w:val="32"/>
          <w:szCs w:val="32"/>
        </w:rPr>
        <w:t>2469.00</w:t>
      </w:r>
      <w:r>
        <w:rPr>
          <w:rFonts w:hint="default" w:ascii="Times New Roman" w:hAnsi="Times New Roman" w:eastAsia="方正仿宋_GBK"/>
          <w:color w:val="000000" w:themeColor="text1"/>
          <w:sz w:val="32"/>
          <w:szCs w:val="32"/>
          <w:shd w:val="clear" w:color="auto" w:fill="FFFFFF"/>
        </w:rPr>
        <w:t>万元，较上年决算数减少1050.93万元，下降29.86%。主要原因是</w:t>
      </w:r>
      <w:r>
        <w:rPr>
          <w:rFonts w:hint="default" w:ascii="Times New Roman" w:hAnsi="Times New Roman" w:eastAsia="方正仿宋_GBK"/>
          <w:color w:val="000000" w:themeColor="text1"/>
          <w:kern w:val="2"/>
          <w:sz w:val="32"/>
          <w:szCs w:val="32"/>
        </w:rPr>
        <w:t>项目资金减少导致经费拨款减少。</w:t>
      </w:r>
      <w:r>
        <w:rPr>
          <w:rFonts w:hint="default" w:ascii="Times New Roman" w:hAnsi="Times New Roman" w:eastAsia="方正仿宋_GBK"/>
          <w:color w:val="000000" w:themeColor="text1"/>
          <w:sz w:val="32"/>
          <w:szCs w:val="32"/>
          <w:shd w:val="clear" w:color="auto" w:fill="FFFFFF"/>
        </w:rPr>
        <w:t>较年初预算数减少39.80万元，下降1.59%。主要原因是</w:t>
      </w:r>
      <w:r>
        <w:rPr>
          <w:rFonts w:hint="default" w:ascii="Times New Roman" w:hAnsi="Times New Roman" w:eastAsia="方正仿宋_GBK"/>
          <w:color w:val="000000" w:themeColor="text1"/>
          <w:kern w:val="2"/>
          <w:sz w:val="32"/>
          <w:szCs w:val="32"/>
        </w:rPr>
        <w:t>项目资金减少导致经费拨款减少。</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color w:val="000000" w:themeColor="text1"/>
          <w:sz w:val="32"/>
          <w:szCs w:val="32"/>
        </w:rPr>
      </w:pPr>
      <w:r>
        <w:rPr>
          <w:rStyle w:val="10"/>
          <w:rFonts w:hint="default" w:ascii="Times New Roman" w:hAnsi="Times New Roman" w:eastAsia="方正仿宋_GBK"/>
          <w:color w:val="000000" w:themeColor="text1"/>
          <w:sz w:val="32"/>
          <w:szCs w:val="32"/>
          <w:shd w:val="clear" w:color="auto" w:fill="FFFFFF"/>
        </w:rPr>
        <w:t>3.结转结余情况。</w:t>
      </w:r>
      <w:r>
        <w:rPr>
          <w:rFonts w:hint="default" w:ascii="Times New Roman" w:hAnsi="Times New Roman" w:eastAsia="方正仿宋_GBK"/>
          <w:color w:val="000000" w:themeColor="text1"/>
          <w:sz w:val="32"/>
          <w:szCs w:val="32"/>
          <w:shd w:val="clear" w:color="auto" w:fill="FFFFFF"/>
        </w:rPr>
        <w:t>2023年度年末一般公共预算财政拨款结转和结余</w:t>
      </w:r>
      <w:r>
        <w:rPr>
          <w:rFonts w:hint="default" w:ascii="Times New Roman" w:hAnsi="Times New Roman" w:eastAsia="方正仿宋_GBK"/>
          <w:color w:val="000000" w:themeColor="text1"/>
          <w:sz w:val="32"/>
          <w:szCs w:val="32"/>
        </w:rPr>
        <w:t>17.25</w:t>
      </w:r>
      <w:r>
        <w:rPr>
          <w:rFonts w:hint="default" w:ascii="Times New Roman" w:hAnsi="Times New Roman" w:eastAsia="方正仿宋_GBK"/>
          <w:color w:val="000000" w:themeColor="text1"/>
          <w:sz w:val="32"/>
          <w:szCs w:val="32"/>
          <w:shd w:val="clear" w:color="auto" w:fill="FFFFFF"/>
        </w:rPr>
        <w:t>万元，较上年决算数减少4.40万元，下降20.32%，主要原因是将</w:t>
      </w:r>
      <w:r>
        <w:rPr>
          <w:rFonts w:hint="default" w:ascii="Times New Roman" w:hAnsi="Times New Roman" w:eastAsia="方正仿宋_GBK"/>
          <w:color w:val="000000" w:themeColor="text1"/>
          <w:kern w:val="2"/>
          <w:sz w:val="32"/>
          <w:szCs w:val="32"/>
        </w:rPr>
        <w:t>职工以前年度超基数部分公积金</w:t>
      </w:r>
      <w:r>
        <w:rPr>
          <w:rFonts w:hint="default" w:ascii="Times New Roman" w:hAnsi="Times New Roman" w:eastAsia="方正仿宋_GBK"/>
          <w:color w:val="000000" w:themeColor="text1"/>
          <w:sz w:val="32"/>
          <w:szCs w:val="32"/>
          <w:shd w:val="clear" w:color="auto" w:fill="FFFFFF"/>
        </w:rPr>
        <w:t>上缴财政。</w:t>
      </w:r>
    </w:p>
    <w:p>
      <w:pPr>
        <w:pStyle w:val="6"/>
        <w:snapToGrid w:val="0"/>
        <w:spacing w:before="0" w:beforeAutospacing="0" w:after="0" w:afterAutospacing="0" w:line="594" w:lineRule="exact"/>
        <w:ind w:firstLine="643" w:firstLineChars="200"/>
        <w:jc w:val="both"/>
        <w:rPr>
          <w:rFonts w:hint="default" w:ascii="Times New Roman" w:hAnsi="Times New Roman" w:eastAsia="方正仿宋_GBK"/>
          <w:color w:val="000000" w:themeColor="text1"/>
          <w:sz w:val="32"/>
          <w:szCs w:val="32"/>
          <w:highlight w:val="cyan"/>
          <w:shd w:val="clear" w:color="auto" w:fill="FFFFFF"/>
        </w:rPr>
      </w:pPr>
      <w:r>
        <w:rPr>
          <w:rStyle w:val="10"/>
          <w:rFonts w:hint="default" w:ascii="Times New Roman" w:hAnsi="Times New Roman" w:eastAsia="方正仿宋_GBK"/>
          <w:color w:val="000000" w:themeColor="text1"/>
          <w:sz w:val="32"/>
          <w:szCs w:val="32"/>
          <w:shd w:val="clear" w:color="auto" w:fill="FFFFFF"/>
        </w:rPr>
        <w:t xml:space="preserve"> 4.比较情况。</w:t>
      </w:r>
      <w:r>
        <w:rPr>
          <w:rFonts w:hint="default" w:ascii="Times New Roman" w:hAnsi="Times New Roman" w:eastAsia="方正仿宋_GBK"/>
          <w:color w:val="000000" w:themeColor="text1"/>
          <w:sz w:val="32"/>
          <w:szCs w:val="32"/>
          <w:shd w:val="clear" w:color="auto" w:fill="FFFFFF"/>
        </w:rPr>
        <w:t>本部门2023年度一般公共预算财政拨款支出主要用于以下几个方面：</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shd w:val="clear" w:color="auto" w:fill="FFFFFF"/>
        </w:rPr>
        <w:t>（1）一般公共服务支出</w:t>
      </w:r>
      <w:r>
        <w:rPr>
          <w:rFonts w:hint="default" w:ascii="Times New Roman" w:hAnsi="Times New Roman" w:eastAsia="方正仿宋_GBK"/>
          <w:color w:val="000000" w:themeColor="text1"/>
          <w:sz w:val="32"/>
          <w:szCs w:val="32"/>
        </w:rPr>
        <w:t>2156.19</w:t>
      </w:r>
      <w:r>
        <w:rPr>
          <w:rFonts w:hint="default" w:ascii="Times New Roman" w:hAnsi="Times New Roman" w:eastAsia="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rPr>
        <w:t>87.33</w:t>
      </w:r>
      <w:r>
        <w:rPr>
          <w:rFonts w:hint="default" w:ascii="Times New Roman" w:hAnsi="Times New Roman" w:eastAsia="方正仿宋_GBK"/>
          <w:color w:val="000000" w:themeColor="text1"/>
          <w:sz w:val="32"/>
          <w:szCs w:val="32"/>
          <w:shd w:val="clear" w:color="auto" w:fill="FFFFFF"/>
        </w:rPr>
        <w:t>%，较年初预算数减少60.79万元，下降2.74%，主要原因是</w:t>
      </w:r>
      <w:r>
        <w:rPr>
          <w:rFonts w:hint="default" w:ascii="Times New Roman" w:hAnsi="Times New Roman" w:eastAsia="方正仿宋_GBK"/>
          <w:color w:val="000000" w:themeColor="text1"/>
          <w:kern w:val="2"/>
          <w:sz w:val="32"/>
          <w:szCs w:val="32"/>
        </w:rPr>
        <w:t>项目资金减少导致经费拨款减少，另外</w:t>
      </w:r>
      <w:r>
        <w:rPr>
          <w:rFonts w:hint="default" w:ascii="Times New Roman" w:hAnsi="Times New Roman" w:eastAsia="方正仿宋_GBK"/>
          <w:color w:val="000000" w:themeColor="text1"/>
          <w:sz w:val="32"/>
          <w:szCs w:val="32"/>
          <w:shd w:val="clear" w:color="auto" w:fill="FFFFFF"/>
        </w:rPr>
        <w:t>财政落实过紧日子要求，大力压缩一般性开支，导致公用经费减少。</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shd w:val="clear" w:color="auto" w:fill="FFFFFF"/>
        </w:rPr>
        <w:t>（2）教育支出</w:t>
      </w:r>
      <w:r>
        <w:rPr>
          <w:rFonts w:hint="default" w:ascii="Times New Roman" w:hAnsi="Times New Roman" w:eastAsia="方正仿宋_GBK"/>
          <w:color w:val="000000" w:themeColor="text1"/>
          <w:sz w:val="32"/>
          <w:szCs w:val="32"/>
        </w:rPr>
        <w:t>1.45</w:t>
      </w:r>
      <w:r>
        <w:rPr>
          <w:rFonts w:hint="default" w:ascii="Times New Roman" w:hAnsi="Times New Roman" w:eastAsia="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rPr>
        <w:t>0.06</w:t>
      </w:r>
      <w:r>
        <w:rPr>
          <w:rFonts w:hint="default" w:ascii="Times New Roman" w:hAnsi="Times New Roman" w:eastAsia="方正仿宋_GBK"/>
          <w:color w:val="000000" w:themeColor="text1"/>
          <w:sz w:val="32"/>
          <w:szCs w:val="32"/>
          <w:shd w:val="clear" w:color="auto" w:fill="FFFFFF"/>
        </w:rPr>
        <w:t>%，较年初预算数减少1.36万元，下降48.40%，主要原因是</w:t>
      </w:r>
      <w:r>
        <w:rPr>
          <w:rFonts w:hint="default" w:ascii="Times New Roman" w:hAnsi="Times New Roman" w:eastAsia="方正仿宋_GBK"/>
          <w:color w:val="000000" w:themeColor="text1"/>
          <w:kern w:val="2"/>
          <w:sz w:val="32"/>
          <w:szCs w:val="32"/>
        </w:rPr>
        <w:t>职工教育支出减少</w:t>
      </w:r>
      <w:r>
        <w:rPr>
          <w:rFonts w:hint="default" w:ascii="Times New Roman" w:hAnsi="Times New Roman" w:eastAsia="方正仿宋_GBK"/>
          <w:color w:val="000000" w:themeColor="text1"/>
          <w:sz w:val="32"/>
          <w:szCs w:val="32"/>
          <w:shd w:val="clear" w:color="auto" w:fill="FFFFFF"/>
        </w:rPr>
        <w:t>。</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shd w:val="clear" w:color="auto" w:fill="FFFFFF"/>
        </w:rPr>
        <w:t>（3）社会保障与就业支出</w:t>
      </w:r>
      <w:r>
        <w:rPr>
          <w:rFonts w:hint="default" w:ascii="Times New Roman" w:hAnsi="Times New Roman" w:eastAsia="方正仿宋_GBK"/>
          <w:color w:val="000000" w:themeColor="text1"/>
          <w:sz w:val="32"/>
          <w:szCs w:val="32"/>
        </w:rPr>
        <w:t>206.99</w:t>
      </w:r>
      <w:r>
        <w:rPr>
          <w:rFonts w:hint="default" w:ascii="Times New Roman" w:hAnsi="Times New Roman" w:eastAsia="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rPr>
        <w:t>8.38</w:t>
      </w:r>
      <w:r>
        <w:rPr>
          <w:rFonts w:hint="default" w:ascii="Times New Roman" w:hAnsi="Times New Roman" w:eastAsia="方正仿宋_GBK"/>
          <w:color w:val="000000" w:themeColor="text1"/>
          <w:sz w:val="32"/>
          <w:szCs w:val="32"/>
          <w:shd w:val="clear" w:color="auto" w:fill="FFFFFF"/>
        </w:rPr>
        <w:t>%，较年初预算数增加15.63万元，增长8.17%，主要原因是</w:t>
      </w:r>
      <w:r>
        <w:rPr>
          <w:rFonts w:hint="default" w:ascii="Times New Roman" w:hAnsi="Times New Roman" w:eastAsia="方正仿宋_GBK"/>
          <w:color w:val="000000" w:themeColor="text1"/>
          <w:kern w:val="2"/>
          <w:sz w:val="32"/>
          <w:szCs w:val="32"/>
        </w:rPr>
        <w:t>在职和退休人员工资福利、基数调整，社保缴费比例增加</w:t>
      </w:r>
      <w:r>
        <w:rPr>
          <w:rFonts w:hint="default" w:ascii="Times New Roman" w:hAnsi="Times New Roman" w:eastAsia="方正仿宋_GBK"/>
          <w:color w:val="000000" w:themeColor="text1"/>
          <w:sz w:val="32"/>
          <w:szCs w:val="32"/>
          <w:shd w:val="clear" w:color="auto" w:fill="FFFFFF"/>
        </w:rPr>
        <w:t>。</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shd w:val="clear" w:color="auto" w:fill="FFFFFF"/>
        </w:rPr>
        <w:t>（4）卫生健康支出</w:t>
      </w:r>
      <w:r>
        <w:rPr>
          <w:rFonts w:hint="default" w:ascii="Times New Roman" w:hAnsi="Times New Roman" w:eastAsia="方正仿宋_GBK"/>
          <w:color w:val="000000" w:themeColor="text1"/>
          <w:sz w:val="32"/>
          <w:szCs w:val="32"/>
        </w:rPr>
        <w:t>36.89</w:t>
      </w:r>
      <w:r>
        <w:rPr>
          <w:rFonts w:hint="default" w:ascii="Times New Roman" w:hAnsi="Times New Roman" w:eastAsia="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rPr>
        <w:t>1.49</w:t>
      </w:r>
      <w:r>
        <w:rPr>
          <w:rFonts w:hint="default" w:ascii="Times New Roman" w:hAnsi="Times New Roman" w:eastAsia="方正仿宋_GBK"/>
          <w:color w:val="000000" w:themeColor="text1"/>
          <w:sz w:val="32"/>
          <w:szCs w:val="32"/>
          <w:shd w:val="clear" w:color="auto" w:fill="FFFFFF"/>
        </w:rPr>
        <w:t>%，较年初预算数增加1.34万元，增长3.77%，主要原因是</w:t>
      </w:r>
      <w:r>
        <w:rPr>
          <w:rFonts w:hint="default" w:ascii="Times New Roman" w:hAnsi="Times New Roman" w:eastAsia="方正仿宋_GBK"/>
          <w:color w:val="000000" w:themeColor="text1"/>
          <w:sz w:val="32"/>
          <w:szCs w:val="32"/>
        </w:rPr>
        <w:t>本年度人员增加、</w:t>
      </w:r>
      <w:r>
        <w:rPr>
          <w:rFonts w:hint="default" w:ascii="Times New Roman" w:hAnsi="Times New Roman" w:eastAsia="方正仿宋_GBK"/>
          <w:color w:val="000000" w:themeColor="text1"/>
          <w:kern w:val="2"/>
          <w:sz w:val="32"/>
          <w:szCs w:val="32"/>
        </w:rPr>
        <w:t>基数调整</w:t>
      </w:r>
      <w:r>
        <w:rPr>
          <w:rFonts w:hint="default" w:ascii="Times New Roman" w:hAnsi="Times New Roman" w:eastAsia="方正仿宋_GBK"/>
          <w:color w:val="000000" w:themeColor="text1"/>
          <w:sz w:val="32"/>
          <w:szCs w:val="32"/>
        </w:rPr>
        <w:t>所致</w:t>
      </w:r>
      <w:r>
        <w:rPr>
          <w:rFonts w:hint="default" w:ascii="Times New Roman" w:hAnsi="Times New Roman" w:eastAsia="方正仿宋_GBK"/>
          <w:color w:val="000000" w:themeColor="text1"/>
          <w:sz w:val="32"/>
          <w:szCs w:val="32"/>
          <w:shd w:val="clear" w:color="auto" w:fill="FFFFFF"/>
        </w:rPr>
        <w:t>。</w:t>
      </w:r>
    </w:p>
    <w:p>
      <w:pPr>
        <w:spacing w:line="594" w:lineRule="exact"/>
        <w:ind w:firstLine="640" w:firstLineChars="200"/>
        <w:rPr>
          <w:rFonts w:hint="default" w:ascii="Times New Roman" w:hAnsi="Times New Roman" w:eastAsia="方正仿宋_GBK"/>
          <w:color w:val="000000" w:themeColor="text1"/>
          <w:sz w:val="32"/>
          <w:szCs w:val="32"/>
          <w:shd w:val="clear" w:color="auto" w:fill="FFFFFF"/>
        </w:rPr>
      </w:pPr>
      <w:r>
        <w:rPr>
          <w:rFonts w:hint="default" w:ascii="Times New Roman" w:hAnsi="Times New Roman" w:eastAsia="方正仿宋_GBK"/>
          <w:color w:val="000000" w:themeColor="text1"/>
          <w:sz w:val="32"/>
          <w:szCs w:val="32"/>
          <w:shd w:val="clear" w:color="auto" w:fill="FFFFFF"/>
        </w:rPr>
        <w:t>（5）</w:t>
      </w:r>
      <w:r>
        <w:rPr>
          <w:rFonts w:hint="default" w:ascii="Times New Roman" w:hAnsi="Times New Roman" w:eastAsia="方正仿宋_GBK"/>
          <w:color w:val="000000" w:themeColor="text1"/>
          <w:sz w:val="32"/>
          <w:szCs w:val="32"/>
        </w:rPr>
        <w:t>住房保障支出67.49</w:t>
      </w:r>
      <w:r>
        <w:rPr>
          <w:rFonts w:hint="default" w:ascii="Times New Roman" w:hAnsi="Times New Roman" w:eastAsia="方正仿宋_GBK"/>
          <w:color w:val="000000" w:themeColor="text1"/>
          <w:sz w:val="32"/>
          <w:szCs w:val="32"/>
          <w:shd w:val="clear" w:color="auto" w:fill="FFFFFF"/>
        </w:rPr>
        <w:t>万元，占</w:t>
      </w:r>
      <w:r>
        <w:rPr>
          <w:rFonts w:hint="default" w:ascii="Times New Roman" w:hAnsi="Times New Roman" w:eastAsia="方正仿宋_GBK"/>
          <w:color w:val="000000" w:themeColor="text1"/>
          <w:sz w:val="32"/>
          <w:szCs w:val="32"/>
        </w:rPr>
        <w:t>2.73</w:t>
      </w:r>
      <w:r>
        <w:rPr>
          <w:rFonts w:hint="default" w:ascii="Times New Roman" w:hAnsi="Times New Roman" w:eastAsia="方正仿宋_GBK"/>
          <w:color w:val="000000" w:themeColor="text1"/>
          <w:sz w:val="32"/>
          <w:szCs w:val="32"/>
          <w:shd w:val="clear" w:color="auto" w:fill="FFFFFF"/>
        </w:rPr>
        <w:t>%，较年初预算数增加5.38万元，增长8.66%，主要原因是</w:t>
      </w:r>
      <w:r>
        <w:rPr>
          <w:rFonts w:hint="default" w:ascii="Times New Roman" w:hAnsi="Times New Roman" w:eastAsia="方正仿宋_GBK"/>
          <w:color w:val="000000" w:themeColor="text1"/>
          <w:sz w:val="32"/>
          <w:szCs w:val="32"/>
        </w:rPr>
        <w:t>本年度人员增加、</w:t>
      </w:r>
      <w:r>
        <w:rPr>
          <w:rFonts w:hint="default" w:ascii="Times New Roman" w:hAnsi="Times New Roman" w:eastAsia="方正仿宋_GBK"/>
          <w:color w:val="000000" w:themeColor="text1"/>
          <w:kern w:val="2"/>
          <w:sz w:val="32"/>
          <w:szCs w:val="32"/>
        </w:rPr>
        <w:t>基数调整</w:t>
      </w:r>
      <w:r>
        <w:rPr>
          <w:rFonts w:hint="default" w:ascii="Times New Roman" w:hAnsi="Times New Roman" w:eastAsia="方正仿宋_GBK"/>
          <w:color w:val="000000" w:themeColor="text1"/>
          <w:sz w:val="32"/>
          <w:szCs w:val="32"/>
        </w:rPr>
        <w:t>所致</w:t>
      </w:r>
      <w:r>
        <w:rPr>
          <w:rFonts w:hint="default" w:ascii="Times New Roman" w:hAnsi="Times New Roman" w:eastAsia="方正仿宋_GBK"/>
          <w:color w:val="000000" w:themeColor="text1"/>
          <w:sz w:val="32"/>
          <w:szCs w:val="32"/>
          <w:shd w:val="clear" w:color="auto" w:fill="FFFFFF"/>
        </w:rPr>
        <w:t>。</w:t>
      </w:r>
    </w:p>
    <w:p>
      <w:pPr>
        <w:pStyle w:val="6"/>
        <w:snapToGrid w:val="0"/>
        <w:spacing w:before="0" w:beforeAutospacing="0" w:after="0" w:afterAutospacing="0" w:line="594" w:lineRule="exact"/>
        <w:ind w:firstLine="643" w:firstLineChars="200"/>
        <w:jc w:val="both"/>
        <w:rPr>
          <w:rFonts w:hint="default" w:ascii="方正楷体_GBK" w:hAnsi="方正楷体_GBK" w:eastAsia="方正楷体_GBK" w:cs="方正楷体_GBK"/>
          <w:b/>
          <w:bCs/>
          <w:color w:val="000000" w:themeColor="text1"/>
          <w:sz w:val="32"/>
          <w:szCs w:val="32"/>
          <w:shd w:val="clear" w:color="auto" w:fill="FFFFFF"/>
        </w:rPr>
      </w:pPr>
      <w:r>
        <w:rPr>
          <w:rFonts w:hint="default" w:ascii="方正楷体_GBK" w:hAnsi="方正楷体_GBK" w:eastAsia="方正楷体_GBK" w:cs="方正楷体_GBK"/>
          <w:b/>
          <w:bCs/>
          <w:color w:val="000000" w:themeColor="text1"/>
          <w:sz w:val="32"/>
          <w:szCs w:val="32"/>
          <w:shd w:val="clear" w:color="auto" w:fill="FFFFFF"/>
        </w:rPr>
        <w:t>（四）一般公共预算财政拨款基本支出决算情况说明</w:t>
      </w:r>
    </w:p>
    <w:p>
      <w:pPr>
        <w:pStyle w:val="6"/>
        <w:widowControl w:val="0"/>
        <w:snapToGrid w:val="0"/>
        <w:spacing w:before="0" w:beforeAutospacing="0" w:after="0" w:afterAutospacing="0" w:line="594"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shd w:val="clear" w:color="auto" w:fill="FFFFFF"/>
        </w:rPr>
        <w:t> 2023年度一般公共财政拨款基本支出</w:t>
      </w:r>
      <w:r>
        <w:rPr>
          <w:rFonts w:hint="default" w:ascii="Times New Roman" w:hAnsi="Times New Roman" w:eastAsia="方正仿宋_GBK"/>
          <w:color w:val="000000" w:themeColor="text1"/>
          <w:sz w:val="32"/>
          <w:szCs w:val="32"/>
        </w:rPr>
        <w:t>1464.92</w:t>
      </w:r>
      <w:r>
        <w:rPr>
          <w:rFonts w:hint="default" w:ascii="Times New Roman" w:hAnsi="Times New Roman" w:eastAsia="方正仿宋_GBK"/>
          <w:color w:val="000000" w:themeColor="text1"/>
          <w:sz w:val="32"/>
          <w:szCs w:val="32"/>
          <w:shd w:val="clear" w:color="auto" w:fill="FFFFFF"/>
        </w:rPr>
        <w:t>万元。其中：人员经费</w:t>
      </w:r>
      <w:r>
        <w:rPr>
          <w:rFonts w:hint="default" w:ascii="Times New Roman" w:hAnsi="Times New Roman" w:eastAsia="方正仿宋_GBK"/>
          <w:color w:val="000000" w:themeColor="text1"/>
          <w:sz w:val="32"/>
          <w:szCs w:val="32"/>
        </w:rPr>
        <w:t>1134.95</w:t>
      </w:r>
      <w:r>
        <w:rPr>
          <w:rFonts w:hint="default" w:ascii="Times New Roman" w:hAnsi="Times New Roman" w:eastAsia="方正仿宋_GBK"/>
          <w:color w:val="000000" w:themeColor="text1"/>
          <w:sz w:val="32"/>
          <w:szCs w:val="32"/>
          <w:shd w:val="clear" w:color="auto" w:fill="FFFFFF"/>
        </w:rPr>
        <w:t>万元，较上年决算数增加128.00万元，增长12.71%，主要原因是本</w:t>
      </w:r>
      <w:r>
        <w:rPr>
          <w:rFonts w:hint="default" w:ascii="Times New Roman" w:hAnsi="Times New Roman" w:eastAsia="方正仿宋_GBK"/>
          <w:color w:val="000000" w:themeColor="text1"/>
          <w:sz w:val="32"/>
          <w:szCs w:val="32"/>
        </w:rPr>
        <w:t>年度人员增加</w:t>
      </w:r>
      <w:r>
        <w:rPr>
          <w:rFonts w:hint="default" w:ascii="Times New Roman" w:hAnsi="Times New Roman" w:eastAsia="方正仿宋_GBK"/>
          <w:color w:val="000000" w:themeColor="text1"/>
          <w:sz w:val="32"/>
          <w:szCs w:val="32"/>
          <w:shd w:val="clear" w:color="auto" w:fill="FFFFFF"/>
        </w:rPr>
        <w:t>。人员经费用途主要包括</w:t>
      </w:r>
      <w:r>
        <w:rPr>
          <w:rFonts w:hint="default" w:ascii="Times New Roman" w:hAnsi="Times New Roman" w:eastAsia="方正仿宋_GBK"/>
          <w:color w:val="000000" w:themeColor="text1"/>
          <w:sz w:val="32"/>
          <w:szCs w:val="32"/>
        </w:rPr>
        <w:t>基本工资、津贴补贴、奖金、社会保障缴费、公积金缴费</w:t>
      </w:r>
      <w:r>
        <w:rPr>
          <w:rFonts w:hint="default" w:ascii="Times New Roman" w:hAnsi="Times New Roman" w:eastAsia="方正仿宋_GBK"/>
          <w:color w:val="000000" w:themeColor="text1"/>
          <w:sz w:val="32"/>
          <w:szCs w:val="32"/>
          <w:shd w:val="clear" w:color="auto" w:fill="FFFFFF"/>
        </w:rPr>
        <w:t>。公用经费</w:t>
      </w:r>
      <w:r>
        <w:rPr>
          <w:rFonts w:hint="default" w:ascii="Times New Roman" w:hAnsi="Times New Roman" w:eastAsia="方正仿宋_GBK"/>
          <w:color w:val="000000" w:themeColor="text1"/>
          <w:sz w:val="32"/>
          <w:szCs w:val="32"/>
        </w:rPr>
        <w:t>329.97</w:t>
      </w:r>
      <w:r>
        <w:rPr>
          <w:rFonts w:hint="default" w:ascii="Times New Roman" w:hAnsi="Times New Roman" w:eastAsia="方正仿宋_GBK"/>
          <w:color w:val="000000" w:themeColor="text1"/>
          <w:sz w:val="32"/>
          <w:szCs w:val="32"/>
          <w:shd w:val="clear" w:color="auto" w:fill="FFFFFF"/>
        </w:rPr>
        <w:t>万元，较上年决算数减少5.88万元，下降1.75%，主要原因是财政落实过紧日子要求，大力压缩一般性开支，导致公用经费减少。公用经费用途主要包括</w:t>
      </w:r>
      <w:r>
        <w:rPr>
          <w:rFonts w:hint="default" w:ascii="Times New Roman" w:hAnsi="Times New Roman" w:eastAsia="方正仿宋_GBK"/>
          <w:color w:val="000000" w:themeColor="text1"/>
          <w:sz w:val="32"/>
          <w:szCs w:val="32"/>
        </w:rPr>
        <w:t>公务接待、机关后勤服务、办公费、印刷费、咨询费、手续费、水电费、电话费、差旅费、会议费、培训费、公务用车运行维护费、其他交通费用等</w:t>
      </w:r>
      <w:r>
        <w:rPr>
          <w:rFonts w:hint="default" w:ascii="Times New Roman" w:hAnsi="Times New Roman" w:eastAsia="方正仿宋_GBK"/>
          <w:color w:val="000000" w:themeColor="text1"/>
          <w:sz w:val="32"/>
          <w:szCs w:val="32"/>
          <w:shd w:val="clear" w:color="auto" w:fill="FFFFFF"/>
        </w:rPr>
        <w:t>。</w:t>
      </w:r>
    </w:p>
    <w:p>
      <w:pPr>
        <w:pStyle w:val="6"/>
        <w:snapToGrid w:val="0"/>
        <w:spacing w:before="0" w:beforeAutospacing="0" w:after="0" w:afterAutospacing="0" w:line="594" w:lineRule="exact"/>
        <w:ind w:firstLine="643" w:firstLineChars="200"/>
        <w:jc w:val="both"/>
        <w:rPr>
          <w:rFonts w:hint="default" w:ascii="方正楷体_GBK" w:hAnsi="方正楷体_GBK" w:eastAsia="方正楷体_GBK" w:cs="方正楷体_GBK"/>
          <w:b/>
          <w:bCs/>
          <w:color w:val="000000" w:themeColor="text1"/>
          <w:sz w:val="32"/>
          <w:szCs w:val="32"/>
          <w:shd w:val="clear" w:color="auto" w:fill="FFFFFF"/>
        </w:rPr>
      </w:pPr>
      <w:r>
        <w:rPr>
          <w:rFonts w:hint="default" w:ascii="方正楷体_GBK" w:hAnsi="方正楷体_GBK" w:eastAsia="方正楷体_GBK" w:cs="方正楷体_GBK"/>
          <w:b/>
          <w:bCs/>
          <w:color w:val="000000" w:themeColor="text1"/>
          <w:sz w:val="32"/>
          <w:szCs w:val="32"/>
          <w:shd w:val="clear" w:color="auto" w:fill="FFFFFF"/>
        </w:rPr>
        <w:t>（五）政府性基金预算收支决算情况说明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shd w:val="clear" w:color="auto" w:fill="FFFFFF"/>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2023年度无政府性基金预算财政拨款收支。</w:t>
      </w:r>
    </w:p>
    <w:p>
      <w:pPr>
        <w:pStyle w:val="6"/>
        <w:snapToGrid w:val="0"/>
        <w:spacing w:before="0" w:beforeAutospacing="0" w:after="0" w:afterAutospacing="0" w:line="594" w:lineRule="exact"/>
        <w:ind w:firstLine="643" w:firstLineChars="200"/>
        <w:jc w:val="both"/>
        <w:rPr>
          <w:rFonts w:hint="default" w:ascii="方正楷体_GBK" w:hAnsi="方正楷体_GBK" w:eastAsia="方正楷体_GBK" w:cs="方正楷体_GBK"/>
          <w:b/>
          <w:bCs/>
          <w:color w:val="000000" w:themeColor="text1"/>
          <w:sz w:val="32"/>
          <w:szCs w:val="32"/>
          <w:shd w:val="clear" w:color="auto" w:fill="FFFFFF"/>
        </w:rPr>
      </w:pPr>
      <w:r>
        <w:rPr>
          <w:rFonts w:hint="default" w:ascii="方正楷体_GBK" w:hAnsi="方正楷体_GBK" w:eastAsia="方正楷体_GBK" w:cs="方正楷体_GBK"/>
          <w:b/>
          <w:bCs/>
          <w:color w:val="000000" w:themeColor="text1"/>
          <w:sz w:val="32"/>
          <w:szCs w:val="32"/>
          <w:shd w:val="clear" w:color="auto" w:fill="FFFFFF"/>
        </w:rPr>
        <w:t>（六）国有资本经营预算财政拨款支出决算情况说明</w:t>
      </w:r>
    </w:p>
    <w:p>
      <w:pPr>
        <w:pStyle w:val="6"/>
        <w:widowControl w:val="0"/>
        <w:snapToGrid w:val="0"/>
        <w:spacing w:before="0" w:beforeAutospacing="0" w:after="0" w:afterAutospacing="0" w:line="594"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rPr>
        <w:t> 本部门2023年度无国有资本经营预算财政拨款支出。</w:t>
      </w:r>
    </w:p>
    <w:p>
      <w:pPr>
        <w:pStyle w:val="6"/>
        <w:widowControl w:val="0"/>
        <w:snapToGrid w:val="0"/>
        <w:spacing w:before="0" w:beforeAutospacing="0" w:after="0" w:afterAutospacing="0" w:line="594" w:lineRule="exact"/>
        <w:ind w:firstLine="640" w:firstLineChars="200"/>
        <w:jc w:val="both"/>
        <w:rPr>
          <w:rStyle w:val="10"/>
          <w:rFonts w:hint="default" w:ascii="Times New Roman" w:hAnsi="Times New Roman" w:eastAsia="方正黑体_GBK"/>
          <w:b w:val="0"/>
          <w:bCs/>
          <w:color w:val="000000" w:themeColor="text1"/>
          <w:sz w:val="32"/>
          <w:szCs w:val="32"/>
          <w:shd w:val="clear" w:color="auto" w:fill="FFFFFF"/>
        </w:rPr>
      </w:pPr>
      <w:r>
        <w:rPr>
          <w:rStyle w:val="10"/>
          <w:rFonts w:hint="default" w:ascii="Times New Roman" w:hAnsi="Times New Roman" w:eastAsia="方正黑体_GBK"/>
          <w:b w:val="0"/>
          <w:bCs/>
          <w:color w:val="000000" w:themeColor="text1"/>
          <w:sz w:val="32"/>
          <w:szCs w:val="32"/>
          <w:shd w:val="clear" w:color="auto" w:fill="FFFFFF"/>
        </w:rPr>
        <w:t>三、“三公”经费情况说明</w:t>
      </w:r>
    </w:p>
    <w:p>
      <w:pPr>
        <w:pStyle w:val="11"/>
        <w:autoSpaceDE w:val="0"/>
        <w:spacing w:line="594" w:lineRule="exact"/>
        <w:ind w:firstLine="643"/>
        <w:rPr>
          <w:rFonts w:ascii="Times New Roman" w:hAnsi="Times New Roman" w:eastAsia="楷体"/>
          <w:b/>
          <w:bCs/>
          <w:color w:val="000000" w:themeColor="text1"/>
          <w:sz w:val="32"/>
          <w:szCs w:val="32"/>
          <w:shd w:val="clear" w:color="auto" w:fill="FFFFFF"/>
        </w:rPr>
      </w:pPr>
      <w:r>
        <w:rPr>
          <w:rFonts w:ascii="Times New Roman" w:hAnsi="Times New Roman" w:eastAsia="楷体"/>
          <w:b/>
          <w:bCs/>
          <w:color w:val="000000" w:themeColor="text1"/>
          <w:sz w:val="32"/>
          <w:szCs w:val="32"/>
          <w:shd w:val="clear" w:color="auto" w:fill="FFFFFF"/>
        </w:rPr>
        <w:t>（一）“三公”经费支出总体情况说明</w:t>
      </w:r>
    </w:p>
    <w:p>
      <w:pPr>
        <w:pStyle w:val="6"/>
        <w:widowControl w:val="0"/>
        <w:snapToGrid w:val="0"/>
        <w:spacing w:before="0" w:beforeAutospacing="0" w:after="0" w:afterAutospacing="0" w:line="594"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shd w:val="clear" w:color="auto" w:fill="FFFFFF"/>
        </w:rPr>
        <w:t>2023年度“三公”经费支出共计</w:t>
      </w:r>
      <w:r>
        <w:rPr>
          <w:rFonts w:hint="default" w:ascii="Times New Roman" w:hAnsi="Times New Roman" w:eastAsia="方正仿宋_GBK"/>
          <w:color w:val="000000" w:themeColor="text1"/>
          <w:sz w:val="32"/>
          <w:szCs w:val="32"/>
        </w:rPr>
        <w:t>124.35</w:t>
      </w:r>
      <w:r>
        <w:rPr>
          <w:rFonts w:hint="default" w:ascii="Times New Roman" w:hAnsi="Times New Roman" w:eastAsia="方正仿宋_GBK"/>
          <w:color w:val="000000" w:themeColor="text1"/>
          <w:sz w:val="32"/>
          <w:szCs w:val="32"/>
          <w:shd w:val="clear" w:color="auto" w:fill="FFFFFF"/>
        </w:rPr>
        <w:t>万元，较年初预算数增加54.35万元，增长77.64%，主要原因是202</w:t>
      </w:r>
      <w:r>
        <w:rPr>
          <w:rFonts w:ascii="Times New Roman" w:hAnsi="Times New Roman" w:eastAsia="方正仿宋_GBK"/>
          <w:color w:val="000000" w:themeColor="text1"/>
          <w:sz w:val="32"/>
          <w:szCs w:val="32"/>
          <w:shd w:val="clear" w:color="auto" w:fill="FFFFFF"/>
        </w:rPr>
        <w:t>3</w:t>
      </w:r>
      <w:r>
        <w:rPr>
          <w:rFonts w:hint="default" w:ascii="Times New Roman" w:hAnsi="Times New Roman" w:eastAsia="方正仿宋_GBK"/>
          <w:color w:val="000000" w:themeColor="text1"/>
          <w:sz w:val="32"/>
          <w:szCs w:val="32"/>
        </w:rPr>
        <w:t>年涉及年度执行中的预算调整以及本年度接待费用和公务用车运行费用有所增加共同导致</w:t>
      </w:r>
      <w:r>
        <w:rPr>
          <w:rFonts w:hint="default" w:ascii="Times New Roman" w:hAnsi="Times New Roman" w:eastAsia="方正仿宋_GBK"/>
          <w:color w:val="000000" w:themeColor="text1"/>
          <w:sz w:val="32"/>
          <w:szCs w:val="32"/>
          <w:shd w:val="clear" w:color="auto" w:fill="FFFFFF"/>
        </w:rPr>
        <w:t>。较上年支出数增加28.95万元，增长30.35%，主要原因是202</w:t>
      </w:r>
      <w:r>
        <w:rPr>
          <w:rFonts w:ascii="Times New Roman" w:hAnsi="Times New Roman" w:eastAsia="方正仿宋_GBK"/>
          <w:color w:val="000000" w:themeColor="text1"/>
          <w:sz w:val="32"/>
          <w:szCs w:val="32"/>
          <w:shd w:val="clear" w:color="auto" w:fill="FFFFFF"/>
        </w:rPr>
        <w:t>3</w:t>
      </w:r>
      <w:r>
        <w:rPr>
          <w:rFonts w:hint="default" w:ascii="Times New Roman" w:hAnsi="Times New Roman" w:eastAsia="方正仿宋_GBK"/>
          <w:color w:val="000000" w:themeColor="text1"/>
          <w:sz w:val="32"/>
          <w:szCs w:val="32"/>
        </w:rPr>
        <w:t>年涉及年度执行中的预算调整以及本年度接待费用和公务用车运行费用有所增加共同导致</w:t>
      </w:r>
      <w:r>
        <w:rPr>
          <w:rFonts w:hint="default" w:ascii="Times New Roman" w:hAnsi="Times New Roman" w:eastAsia="方正仿宋_GBK"/>
          <w:color w:val="000000" w:themeColor="text1"/>
          <w:sz w:val="32"/>
          <w:szCs w:val="32"/>
          <w:shd w:val="clear" w:color="auto" w:fill="FFFFFF"/>
        </w:rPr>
        <w:t>。</w:t>
      </w:r>
    </w:p>
    <w:p>
      <w:pPr>
        <w:pStyle w:val="11"/>
        <w:widowControl w:val="0"/>
        <w:autoSpaceDE w:val="0"/>
        <w:spacing w:line="594" w:lineRule="exact"/>
        <w:ind w:firstLine="643"/>
        <w:rPr>
          <w:rFonts w:ascii="Times New Roman" w:hAnsi="Times New Roman" w:eastAsia="楷体"/>
          <w:b/>
          <w:bCs/>
          <w:color w:val="000000" w:themeColor="text1"/>
          <w:sz w:val="32"/>
          <w:szCs w:val="32"/>
          <w:shd w:val="clear" w:color="auto" w:fill="FFFFFF"/>
        </w:rPr>
      </w:pPr>
      <w:r>
        <w:rPr>
          <w:rFonts w:ascii="Times New Roman" w:hAnsi="Times New Roman" w:eastAsia="楷体"/>
          <w:b/>
          <w:bCs/>
          <w:color w:val="000000" w:themeColor="text1"/>
          <w:sz w:val="32"/>
          <w:szCs w:val="32"/>
          <w:shd w:val="clear" w:color="auto" w:fill="FFFFFF"/>
        </w:rPr>
        <w:t>（二）“三公”经费分项支出情况</w:t>
      </w:r>
    </w:p>
    <w:p>
      <w:pPr>
        <w:pStyle w:val="6"/>
        <w:snapToGrid w:val="0"/>
        <w:spacing w:line="594" w:lineRule="exact"/>
        <w:ind w:firstLine="640" w:firstLineChars="200"/>
        <w:jc w:val="both"/>
        <w:rPr>
          <w:rFonts w:hint="default" w:ascii="Times New Roman" w:hAnsi="Times New Roman" w:eastAsia="方正仿宋_GBK"/>
          <w:color w:val="000000" w:themeColor="text1"/>
          <w:sz w:val="32"/>
          <w:szCs w:val="32"/>
          <w:shd w:val="clear" w:color="auto" w:fill="FFFFFF"/>
        </w:rPr>
      </w:pPr>
      <w:r>
        <w:rPr>
          <w:rFonts w:hint="default" w:ascii="Times New Roman" w:hAnsi="Times New Roman" w:eastAsia="方正仿宋_GBK"/>
          <w:color w:val="000000" w:themeColor="text1"/>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olor w:val="000000" w:themeColor="text1"/>
          <w:sz w:val="32"/>
          <w:szCs w:val="32"/>
          <w:shd w:val="clear" w:color="auto" w:fill="FFFFFF"/>
        </w:rPr>
      </w:pPr>
      <w:r>
        <w:rPr>
          <w:rFonts w:hint="default" w:ascii="Times New Roman" w:hAnsi="Times New Roman" w:eastAsia="方正仿宋_GBK"/>
          <w:color w:val="000000" w:themeColor="text1"/>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shd w:val="clear" w:color="auto" w:fill="FFFFFF"/>
        </w:rPr>
        <w:t>公务车运行维护费</w:t>
      </w:r>
      <w:r>
        <w:rPr>
          <w:rFonts w:hint="default" w:ascii="Times New Roman" w:hAnsi="Times New Roman" w:eastAsia="方正仿宋_GBK"/>
          <w:color w:val="000000" w:themeColor="text1"/>
          <w:sz w:val="32"/>
          <w:szCs w:val="32"/>
        </w:rPr>
        <w:t>57.98</w:t>
      </w:r>
      <w:r>
        <w:rPr>
          <w:rFonts w:hint="default" w:ascii="Times New Roman" w:hAnsi="Times New Roman" w:eastAsia="方正仿宋_GBK"/>
          <w:color w:val="000000" w:themeColor="text1"/>
          <w:sz w:val="32"/>
          <w:szCs w:val="32"/>
          <w:shd w:val="clear" w:color="auto" w:fill="FFFFFF"/>
        </w:rPr>
        <w:t>万元，主要用于</w:t>
      </w:r>
      <w:r>
        <w:rPr>
          <w:rFonts w:hint="default" w:ascii="Times New Roman" w:hAnsi="Times New Roman" w:eastAsia="方正仿宋_GBK"/>
          <w:color w:val="000000" w:themeColor="text1"/>
          <w:sz w:val="32"/>
          <w:szCs w:val="32"/>
        </w:rPr>
        <w:t>市</w:t>
      </w:r>
      <w:r>
        <w:rPr>
          <w:rFonts w:hint="default" w:ascii="Times New Roman" w:hAnsi="Times New Roman" w:eastAsia="方正仿宋_GBK"/>
          <w:color w:val="000000" w:themeColor="text1"/>
          <w:kern w:val="2"/>
          <w:sz w:val="32"/>
          <w:szCs w:val="32"/>
        </w:rPr>
        <w:t>内因公出行、下乡调研和检查督察、机要文件交换等工作所需车辆的然料费、维修费、过路费、保险费等</w:t>
      </w:r>
      <w:r>
        <w:rPr>
          <w:rFonts w:hint="default" w:ascii="Times New Roman" w:hAnsi="Times New Roman" w:eastAsia="方正仿宋_GBK"/>
          <w:color w:val="000000" w:themeColor="text1"/>
          <w:sz w:val="32"/>
          <w:szCs w:val="32"/>
          <w:shd w:val="clear" w:color="auto" w:fill="FFFFFF"/>
        </w:rPr>
        <w:t>。费用支出较年初预算数减少12.02万元，下降17.17%，主要原因是</w:t>
      </w:r>
      <w:r>
        <w:rPr>
          <w:rFonts w:hint="default" w:ascii="Times New Roman" w:hAnsi="Times New Roman" w:eastAsia="方正仿宋_GBK"/>
          <w:color w:val="000000" w:themeColor="text1"/>
          <w:sz w:val="32"/>
          <w:szCs w:val="32"/>
        </w:rPr>
        <w:t>加强管理，打紧开支，严禁公车私用</w:t>
      </w:r>
      <w:r>
        <w:rPr>
          <w:rFonts w:hint="default" w:ascii="Times New Roman" w:hAnsi="Times New Roman" w:eastAsia="方正仿宋_GBK"/>
          <w:color w:val="000000" w:themeColor="text1"/>
          <w:sz w:val="32"/>
          <w:szCs w:val="32"/>
          <w:shd w:val="clear" w:color="auto" w:fill="FFFFFF"/>
        </w:rPr>
        <w:t>。较上年支出数增加7.81万元，增长15.57%，主要原因是疫情恢复后，防洪抗旱、森林防火等公务活动有所增加。</w:t>
      </w:r>
    </w:p>
    <w:p>
      <w:pPr>
        <w:pStyle w:val="6"/>
        <w:widowControl w:val="0"/>
        <w:snapToGrid w:val="0"/>
        <w:spacing w:before="0" w:beforeAutospacing="0" w:after="0" w:afterAutospacing="0" w:line="594"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color w:val="000000" w:themeColor="text1"/>
          <w:sz w:val="32"/>
          <w:szCs w:val="32"/>
          <w:shd w:val="clear" w:color="auto" w:fill="FFFFFF"/>
        </w:rPr>
        <w:t> </w:t>
      </w:r>
      <w:r>
        <w:rPr>
          <w:rFonts w:hint="default" w:ascii="Times New Roman" w:hAnsi="Times New Roman" w:eastAsia="方正仿宋_GBK"/>
          <w:color w:val="000000" w:themeColor="text1"/>
          <w:sz w:val="32"/>
          <w:szCs w:val="32"/>
          <w:shd w:val="clear" w:color="auto" w:fill="FFFFFF"/>
        </w:rPr>
        <w:t>公务</w:t>
      </w:r>
      <w:bookmarkStart w:id="0" w:name="_GoBack"/>
      <w:bookmarkEnd w:id="0"/>
      <w:r>
        <w:rPr>
          <w:rFonts w:hint="default" w:ascii="Times New Roman" w:hAnsi="Times New Roman" w:eastAsia="方正仿宋_GBK"/>
          <w:color w:val="000000" w:themeColor="text1"/>
          <w:sz w:val="32"/>
          <w:szCs w:val="32"/>
          <w:shd w:val="clear" w:color="auto" w:fill="FFFFFF"/>
        </w:rPr>
        <w:t>接待费</w:t>
      </w:r>
      <w:r>
        <w:rPr>
          <w:rFonts w:hint="default" w:ascii="Times New Roman" w:hAnsi="Times New Roman" w:eastAsia="方正仿宋_GBK"/>
          <w:color w:val="000000" w:themeColor="text1"/>
          <w:sz w:val="32"/>
          <w:szCs w:val="32"/>
        </w:rPr>
        <w:t>66.37</w:t>
      </w:r>
      <w:r>
        <w:rPr>
          <w:rFonts w:hint="default" w:ascii="Times New Roman" w:hAnsi="Times New Roman" w:eastAsia="方正仿宋_GBK"/>
          <w:color w:val="000000" w:themeColor="text1"/>
          <w:sz w:val="32"/>
          <w:szCs w:val="32"/>
          <w:shd w:val="clear" w:color="auto" w:fill="FFFFFF"/>
        </w:rPr>
        <w:t>万元，主要用于</w:t>
      </w:r>
      <w:r>
        <w:rPr>
          <w:rFonts w:hint="default" w:ascii="Times New Roman" w:hAnsi="Times New Roman" w:eastAsia="方正仿宋_GBK"/>
          <w:color w:val="000000" w:themeColor="text1"/>
          <w:sz w:val="32"/>
          <w:szCs w:val="32"/>
        </w:rPr>
        <w:t>县级公务接待</w:t>
      </w:r>
      <w:r>
        <w:rPr>
          <w:rFonts w:hint="default" w:ascii="Times New Roman" w:hAnsi="Times New Roman" w:eastAsia="方正仿宋_GBK"/>
          <w:color w:val="000000" w:themeColor="text1"/>
          <w:sz w:val="32"/>
          <w:szCs w:val="32"/>
          <w:shd w:val="clear" w:color="auto" w:fill="FFFFFF"/>
        </w:rPr>
        <w:t>。费用支出较年初预算数增加66.37万元，增长100.00%，主要原因是</w:t>
      </w:r>
      <w:r>
        <w:rPr>
          <w:rFonts w:hint="default" w:ascii="Times New Roman" w:hAnsi="Times New Roman" w:eastAsia="方正仿宋_GBK"/>
          <w:color w:val="000000" w:themeColor="text1"/>
          <w:sz w:val="32"/>
          <w:szCs w:val="32"/>
        </w:rPr>
        <w:t>涉及年度执行中的预算调整以及本年度双城经济圈建设和全县经济社会发展持续向好，国家部委、市级领导莅垫调研、市内外区（市）县考察团大幅增长，公务接待（县级）量增加</w:t>
      </w:r>
      <w:r>
        <w:rPr>
          <w:rFonts w:hint="default" w:ascii="Times New Roman" w:hAnsi="Times New Roman" w:eastAsia="方正仿宋_GBK"/>
          <w:color w:val="000000" w:themeColor="text1"/>
          <w:sz w:val="32"/>
          <w:szCs w:val="32"/>
          <w:shd w:val="clear" w:color="auto" w:fill="FFFFFF"/>
        </w:rPr>
        <w:t>。较上年支出数增加21.14万元，增长46.74%，主要原因是</w:t>
      </w:r>
      <w:r>
        <w:rPr>
          <w:rFonts w:hint="default" w:ascii="Times New Roman" w:hAnsi="Times New Roman" w:eastAsia="方正仿宋_GBK"/>
          <w:color w:val="000000" w:themeColor="text1"/>
          <w:sz w:val="32"/>
          <w:szCs w:val="32"/>
        </w:rPr>
        <w:t>涉及年度执行中的预算调整以及本年度双城经济圈建设和全县经济社会发展持续向好，国家部委、市级领导莅垫调研、市内外区（市）县考察团大幅增长，公务接待（县级）量增加</w:t>
      </w:r>
      <w:r>
        <w:rPr>
          <w:rFonts w:hint="default" w:ascii="Times New Roman" w:hAnsi="Times New Roman" w:eastAsia="方正仿宋_GBK"/>
          <w:color w:val="000000" w:themeColor="text1"/>
          <w:sz w:val="32"/>
          <w:szCs w:val="32"/>
          <w:shd w:val="clear" w:color="auto" w:fill="FFFFFF"/>
        </w:rPr>
        <w:t>。</w:t>
      </w:r>
    </w:p>
    <w:p>
      <w:pPr>
        <w:pStyle w:val="11"/>
        <w:widowControl w:val="0"/>
        <w:autoSpaceDE w:val="0"/>
        <w:spacing w:line="594" w:lineRule="exact"/>
        <w:ind w:firstLine="643"/>
        <w:rPr>
          <w:rFonts w:ascii="Times New Roman" w:hAnsi="Times New Roman" w:eastAsia="楷体"/>
          <w:b/>
          <w:bCs/>
          <w:color w:val="000000" w:themeColor="text1"/>
          <w:sz w:val="32"/>
          <w:szCs w:val="32"/>
          <w:shd w:val="clear" w:color="auto" w:fill="FFFFFF"/>
        </w:rPr>
      </w:pPr>
      <w:r>
        <w:rPr>
          <w:rFonts w:ascii="Times New Roman" w:hAnsi="Times New Roman" w:eastAsia="楷体"/>
          <w:b/>
          <w:bCs/>
          <w:color w:val="000000" w:themeColor="text1"/>
          <w:sz w:val="32"/>
          <w:szCs w:val="32"/>
          <w:shd w:val="clear" w:color="auto" w:fill="FFFFFF"/>
        </w:rPr>
        <w:t>（三）“三公”经费实物量情况</w:t>
      </w:r>
    </w:p>
    <w:p>
      <w:pPr>
        <w:pStyle w:val="6"/>
        <w:widowControl w:val="0"/>
        <w:snapToGrid w:val="0"/>
        <w:spacing w:before="0" w:beforeAutospacing="0" w:after="0" w:afterAutospacing="0" w:line="594" w:lineRule="exact"/>
        <w:ind w:firstLine="640" w:firstLineChars="200"/>
        <w:jc w:val="both"/>
        <w:rPr>
          <w:rFonts w:hint="default" w:ascii="Times New Roman" w:hAnsi="Times New Roman" w:eastAsia="方正仿宋_GBK"/>
          <w:color w:val="000000" w:themeColor="text1"/>
          <w:sz w:val="32"/>
          <w:szCs w:val="32"/>
          <w:shd w:val="clear" w:color="auto" w:fill="FFFFFF"/>
        </w:rPr>
      </w:pPr>
      <w:r>
        <w:rPr>
          <w:rFonts w:hint="default" w:ascii="Times New Roman" w:hAnsi="Times New Roman" w:eastAsia="方正仿宋_GBK"/>
          <w:color w:val="000000" w:themeColor="text1"/>
          <w:sz w:val="32"/>
          <w:szCs w:val="32"/>
          <w:shd w:val="clear" w:color="auto" w:fill="FFFFFF"/>
        </w:rPr>
        <w:t>  2023年度本部门因公出国（境）共计</w:t>
      </w:r>
      <w:r>
        <w:rPr>
          <w:rFonts w:hint="default" w:ascii="Times New Roman" w:hAnsi="Times New Roman" w:eastAsia="方正仿宋_GBK"/>
          <w:color w:val="000000" w:themeColor="text1"/>
          <w:sz w:val="32"/>
          <w:szCs w:val="32"/>
        </w:rPr>
        <w:t>0</w:t>
      </w:r>
      <w:r>
        <w:rPr>
          <w:rFonts w:hint="default" w:ascii="Times New Roman" w:hAnsi="Times New Roman" w:eastAsia="方正仿宋_GBK"/>
          <w:color w:val="000000" w:themeColor="text1"/>
          <w:sz w:val="32"/>
          <w:szCs w:val="32"/>
          <w:shd w:val="clear" w:color="auto" w:fill="FFFFFF"/>
        </w:rPr>
        <w:t>个团组，</w:t>
      </w:r>
      <w:r>
        <w:rPr>
          <w:rFonts w:hint="default" w:ascii="Times New Roman" w:hAnsi="Times New Roman" w:eastAsia="方正仿宋_GBK"/>
          <w:color w:val="000000" w:themeColor="text1"/>
          <w:sz w:val="32"/>
          <w:szCs w:val="32"/>
        </w:rPr>
        <w:t>0</w:t>
      </w:r>
      <w:r>
        <w:rPr>
          <w:rFonts w:hint="default" w:ascii="Times New Roman" w:hAnsi="Times New Roman" w:eastAsia="方正仿宋_GBK"/>
          <w:color w:val="000000" w:themeColor="text1"/>
          <w:sz w:val="32"/>
          <w:szCs w:val="32"/>
          <w:shd w:val="clear" w:color="auto" w:fill="FFFFFF"/>
        </w:rPr>
        <w:t>人；公务用车购置</w:t>
      </w:r>
      <w:r>
        <w:rPr>
          <w:rFonts w:hint="default" w:ascii="Times New Roman" w:hAnsi="Times New Roman" w:eastAsia="方正仿宋_GBK"/>
          <w:color w:val="000000" w:themeColor="text1"/>
          <w:sz w:val="32"/>
          <w:szCs w:val="32"/>
        </w:rPr>
        <w:t>0</w:t>
      </w:r>
      <w:r>
        <w:rPr>
          <w:rFonts w:hint="default" w:ascii="Times New Roman" w:hAnsi="Times New Roman" w:eastAsia="方正仿宋_GBK"/>
          <w:color w:val="000000" w:themeColor="text1"/>
          <w:sz w:val="32"/>
          <w:szCs w:val="32"/>
          <w:shd w:val="clear" w:color="auto" w:fill="FFFFFF"/>
        </w:rPr>
        <w:t>辆，公务车保有量为</w:t>
      </w:r>
      <w:r>
        <w:rPr>
          <w:rFonts w:hint="default" w:ascii="Times New Roman" w:hAnsi="Times New Roman" w:eastAsia="方正仿宋_GBK"/>
          <w:color w:val="000000" w:themeColor="text1"/>
          <w:sz w:val="32"/>
          <w:szCs w:val="32"/>
        </w:rPr>
        <w:t>4</w:t>
      </w:r>
      <w:r>
        <w:rPr>
          <w:rFonts w:hint="default" w:ascii="Times New Roman" w:hAnsi="Times New Roman" w:eastAsia="方正仿宋_GBK"/>
          <w:color w:val="000000" w:themeColor="text1"/>
          <w:sz w:val="32"/>
          <w:szCs w:val="32"/>
          <w:shd w:val="clear" w:color="auto" w:fill="FFFFFF"/>
        </w:rPr>
        <w:t>辆；国内公务接待</w:t>
      </w:r>
      <w:r>
        <w:rPr>
          <w:rFonts w:hint="default" w:ascii="Times New Roman" w:hAnsi="Times New Roman" w:eastAsia="方正仿宋_GBK"/>
          <w:color w:val="000000" w:themeColor="text1"/>
          <w:sz w:val="32"/>
          <w:szCs w:val="32"/>
        </w:rPr>
        <w:t>326</w:t>
      </w:r>
      <w:r>
        <w:rPr>
          <w:rFonts w:hint="default" w:ascii="Times New Roman" w:hAnsi="Times New Roman" w:eastAsia="方正仿宋_GBK"/>
          <w:color w:val="000000" w:themeColor="text1"/>
          <w:sz w:val="32"/>
          <w:szCs w:val="32"/>
          <w:shd w:val="clear" w:color="auto" w:fill="FFFFFF"/>
        </w:rPr>
        <w:t>批次</w:t>
      </w:r>
      <w:r>
        <w:rPr>
          <w:rFonts w:hint="default" w:ascii="Times New Roman" w:hAnsi="Times New Roman" w:eastAsia="方正仿宋_GBK"/>
          <w:color w:val="000000" w:themeColor="text1"/>
          <w:sz w:val="32"/>
          <w:szCs w:val="32"/>
        </w:rPr>
        <w:t>3452</w:t>
      </w:r>
      <w:r>
        <w:rPr>
          <w:rFonts w:hint="default" w:ascii="Times New Roman" w:hAnsi="Times New Roman" w:eastAsia="方正仿宋_GBK"/>
          <w:color w:val="000000" w:themeColor="text1"/>
          <w:sz w:val="32"/>
          <w:szCs w:val="32"/>
          <w:shd w:val="clear" w:color="auto" w:fill="FFFFFF"/>
        </w:rPr>
        <w:t>人，其中：国内外事接待</w:t>
      </w:r>
      <w:r>
        <w:rPr>
          <w:rFonts w:hint="default" w:ascii="Times New Roman" w:hAnsi="Times New Roman" w:eastAsia="方正仿宋_GBK"/>
          <w:color w:val="000000" w:themeColor="text1"/>
          <w:sz w:val="32"/>
          <w:szCs w:val="32"/>
        </w:rPr>
        <w:t>0</w:t>
      </w:r>
      <w:r>
        <w:rPr>
          <w:rFonts w:hint="default" w:ascii="Times New Roman" w:hAnsi="Times New Roman" w:eastAsia="方正仿宋_GBK"/>
          <w:color w:val="000000" w:themeColor="text1"/>
          <w:sz w:val="32"/>
          <w:szCs w:val="32"/>
          <w:shd w:val="clear" w:color="auto" w:fill="FFFFFF"/>
        </w:rPr>
        <w:t>批次，</w:t>
      </w:r>
      <w:r>
        <w:rPr>
          <w:rFonts w:hint="default" w:ascii="Times New Roman" w:hAnsi="Times New Roman" w:eastAsia="方正仿宋_GBK"/>
          <w:color w:val="000000" w:themeColor="text1"/>
          <w:sz w:val="32"/>
          <w:szCs w:val="32"/>
        </w:rPr>
        <w:t>0</w:t>
      </w:r>
      <w:r>
        <w:rPr>
          <w:rFonts w:hint="default" w:ascii="Times New Roman" w:hAnsi="Times New Roman" w:eastAsia="方正仿宋_GBK"/>
          <w:color w:val="000000" w:themeColor="text1"/>
          <w:sz w:val="32"/>
          <w:szCs w:val="32"/>
          <w:shd w:val="clear" w:color="auto" w:fill="FFFFFF"/>
        </w:rPr>
        <w:t>人；国（境）外公务接待</w:t>
      </w:r>
      <w:r>
        <w:rPr>
          <w:rFonts w:hint="default" w:ascii="Times New Roman" w:hAnsi="Times New Roman" w:eastAsia="方正仿宋_GBK"/>
          <w:color w:val="000000" w:themeColor="text1"/>
          <w:sz w:val="32"/>
          <w:szCs w:val="32"/>
        </w:rPr>
        <w:t>0</w:t>
      </w:r>
      <w:r>
        <w:rPr>
          <w:rFonts w:hint="default" w:ascii="Times New Roman" w:hAnsi="Times New Roman" w:eastAsia="方正仿宋_GBK"/>
          <w:color w:val="000000" w:themeColor="text1"/>
          <w:sz w:val="32"/>
          <w:szCs w:val="32"/>
          <w:shd w:val="clear" w:color="auto" w:fill="FFFFFF"/>
        </w:rPr>
        <w:t>批次，</w:t>
      </w:r>
      <w:r>
        <w:rPr>
          <w:rFonts w:hint="default" w:ascii="Times New Roman" w:hAnsi="Times New Roman" w:eastAsia="方正仿宋_GBK"/>
          <w:color w:val="000000" w:themeColor="text1"/>
          <w:sz w:val="32"/>
          <w:szCs w:val="32"/>
        </w:rPr>
        <w:t>0</w:t>
      </w:r>
      <w:r>
        <w:rPr>
          <w:rFonts w:hint="default" w:ascii="Times New Roman" w:hAnsi="Times New Roman" w:eastAsia="方正仿宋_GBK"/>
          <w:color w:val="000000" w:themeColor="text1"/>
          <w:sz w:val="32"/>
          <w:szCs w:val="32"/>
          <w:shd w:val="clear" w:color="auto" w:fill="FFFFFF"/>
        </w:rPr>
        <w:t>人。2023年本部门人均接待费</w:t>
      </w:r>
      <w:r>
        <w:rPr>
          <w:rFonts w:hint="default" w:ascii="Times New Roman" w:hAnsi="Times New Roman" w:eastAsia="方正仿宋_GBK"/>
          <w:color w:val="000000" w:themeColor="text1"/>
          <w:sz w:val="32"/>
          <w:szCs w:val="32"/>
        </w:rPr>
        <w:t>192.26</w:t>
      </w:r>
      <w:r>
        <w:rPr>
          <w:rFonts w:hint="default" w:ascii="Times New Roman" w:hAnsi="Times New Roman" w:eastAsia="方正仿宋_GBK"/>
          <w:color w:val="000000" w:themeColor="text1"/>
          <w:sz w:val="32"/>
          <w:szCs w:val="32"/>
          <w:shd w:val="clear" w:color="auto" w:fill="FFFFFF"/>
        </w:rPr>
        <w:t>元，车均购置费</w:t>
      </w:r>
      <w:r>
        <w:rPr>
          <w:rFonts w:hint="default" w:ascii="Times New Roman" w:hAnsi="Times New Roman" w:eastAsia="方正仿宋_GBK"/>
          <w:color w:val="000000" w:themeColor="text1"/>
          <w:sz w:val="32"/>
          <w:szCs w:val="32"/>
        </w:rPr>
        <w:t>0</w:t>
      </w:r>
      <w:r>
        <w:rPr>
          <w:rFonts w:hint="default" w:ascii="Times New Roman" w:hAnsi="Times New Roman" w:eastAsia="方正仿宋_GBK"/>
          <w:color w:val="000000" w:themeColor="text1"/>
          <w:sz w:val="32"/>
          <w:szCs w:val="32"/>
          <w:shd w:val="clear" w:color="auto" w:fill="FFFFFF"/>
        </w:rPr>
        <w:t>万元，车均维护费</w:t>
      </w:r>
      <w:r>
        <w:rPr>
          <w:rFonts w:hint="default" w:ascii="Times New Roman" w:hAnsi="Times New Roman" w:eastAsia="方正仿宋_GBK"/>
          <w:color w:val="000000" w:themeColor="text1"/>
          <w:sz w:val="32"/>
          <w:szCs w:val="32"/>
        </w:rPr>
        <w:t>14.49</w:t>
      </w:r>
      <w:r>
        <w:rPr>
          <w:rFonts w:hint="default" w:ascii="Times New Roman" w:hAnsi="Times New Roman" w:eastAsia="方正仿宋_GBK"/>
          <w:color w:val="000000" w:themeColor="text1"/>
          <w:sz w:val="32"/>
          <w:szCs w:val="32"/>
          <w:shd w:val="clear" w:color="auto" w:fill="FFFFFF"/>
        </w:rPr>
        <w:t>万元。</w:t>
      </w:r>
    </w:p>
    <w:p>
      <w:pPr>
        <w:pStyle w:val="6"/>
        <w:snapToGrid w:val="0"/>
        <w:spacing w:before="0" w:beforeAutospacing="0" w:after="0" w:afterAutospacing="0" w:line="594" w:lineRule="exact"/>
        <w:ind w:firstLine="640" w:firstLineChars="200"/>
        <w:jc w:val="both"/>
        <w:rPr>
          <w:rStyle w:val="10"/>
          <w:rFonts w:hint="default" w:ascii="Times New Roman" w:hAnsi="Times New Roman" w:eastAsia="方正黑体_GBK"/>
          <w:b w:val="0"/>
          <w:bCs/>
          <w:color w:val="000000" w:themeColor="text1"/>
          <w:sz w:val="32"/>
          <w:szCs w:val="32"/>
          <w:shd w:val="clear" w:color="auto" w:fill="FFFFFF"/>
        </w:rPr>
      </w:pPr>
      <w:r>
        <w:rPr>
          <w:rStyle w:val="10"/>
          <w:rFonts w:hint="default" w:ascii="Times New Roman" w:hAnsi="Times New Roman" w:eastAsia="方正黑体_GBK"/>
          <w:b w:val="0"/>
          <w:bCs/>
          <w:color w:val="000000" w:themeColor="text1"/>
          <w:sz w:val="32"/>
          <w:szCs w:val="32"/>
          <w:shd w:val="clear" w:color="auto" w:fill="FFFFFF"/>
        </w:rPr>
        <w:t>四、其他需要说明的事项</w:t>
      </w:r>
    </w:p>
    <w:p>
      <w:pPr>
        <w:pStyle w:val="6"/>
        <w:snapToGrid w:val="0"/>
        <w:spacing w:before="0" w:beforeAutospacing="0" w:after="0" w:afterAutospacing="0" w:line="594" w:lineRule="exact"/>
        <w:ind w:firstLine="643" w:firstLineChars="200"/>
        <w:jc w:val="both"/>
        <w:rPr>
          <w:rFonts w:hint="default" w:ascii="方正楷体_GBK" w:hAnsi="方正楷体_GBK" w:eastAsia="方正楷体_GBK" w:cs="方正楷体_GBK"/>
          <w:b/>
          <w:bCs/>
          <w:color w:val="000000" w:themeColor="text1"/>
          <w:sz w:val="32"/>
          <w:szCs w:val="32"/>
          <w:shd w:val="clear" w:color="auto" w:fill="FFFFFF"/>
        </w:rPr>
      </w:pPr>
      <w:r>
        <w:rPr>
          <w:rFonts w:ascii="方正楷体_GBK" w:hAnsi="方正楷体_GBK" w:eastAsia="方正楷体_GBK" w:cs="方正楷体_GBK"/>
          <w:b/>
          <w:bCs/>
          <w:color w:val="000000" w:themeColor="text1"/>
          <w:sz w:val="32"/>
          <w:szCs w:val="32"/>
          <w:shd w:val="clear" w:color="auto" w:fill="FFFFFF"/>
        </w:rPr>
        <w:t>（一）财政拨款会议费和培训费情况说明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shd w:val="clear" w:color="auto" w:fill="FFFFFF"/>
        </w:rPr>
        <w:t>本年度会议费支出</w:t>
      </w:r>
      <w:r>
        <w:rPr>
          <w:rFonts w:hint="default" w:ascii="Times New Roman" w:hAnsi="Times New Roman" w:eastAsia="方正仿宋_GBK"/>
          <w:color w:val="000000" w:themeColor="text1"/>
          <w:sz w:val="32"/>
          <w:szCs w:val="32"/>
        </w:rPr>
        <w:t>11.49</w:t>
      </w:r>
      <w:r>
        <w:rPr>
          <w:rFonts w:hint="default" w:ascii="Times New Roman" w:hAnsi="Times New Roman" w:eastAsia="方正仿宋_GBK"/>
          <w:color w:val="000000" w:themeColor="text1"/>
          <w:sz w:val="32"/>
          <w:szCs w:val="32"/>
          <w:shd w:val="clear" w:color="auto" w:fill="FFFFFF"/>
        </w:rPr>
        <w:t>万元，较上年决算数减少59.36万元，下降83.78%，主要原因是2022年初支付了</w:t>
      </w:r>
      <w:r>
        <w:rPr>
          <w:rFonts w:hint="default" w:ascii="Times New Roman" w:hAnsi="Times New Roman" w:eastAsia="方正仿宋_GBK"/>
          <w:color w:val="000000" w:themeColor="text1"/>
          <w:sz w:val="32"/>
          <w:szCs w:val="32"/>
        </w:rPr>
        <w:t>2021年12月召开的垫江县第</w:t>
      </w:r>
      <w:r>
        <w:rPr>
          <w:rFonts w:hint="eastAsia" w:ascii="Times New Roman" w:hAnsi="Times New Roman" w:eastAsia="方正仿宋_GBK"/>
          <w:color w:val="000000" w:themeColor="text1"/>
          <w:sz w:val="32"/>
          <w:szCs w:val="32"/>
          <w:lang w:eastAsia="zh-CN"/>
        </w:rPr>
        <w:t>十五</w:t>
      </w:r>
      <w:r>
        <w:rPr>
          <w:rFonts w:hint="default" w:ascii="Times New Roman" w:hAnsi="Times New Roman" w:eastAsia="方正仿宋_GBK"/>
          <w:color w:val="000000" w:themeColor="text1"/>
          <w:sz w:val="32"/>
          <w:szCs w:val="32"/>
        </w:rPr>
        <w:t>次党代会会议费</w:t>
      </w:r>
      <w:r>
        <w:rPr>
          <w:rFonts w:hint="default" w:ascii="Times New Roman" w:hAnsi="Times New Roman" w:eastAsia="方正仿宋_GBK"/>
          <w:color w:val="000000" w:themeColor="text1"/>
          <w:sz w:val="32"/>
          <w:szCs w:val="32"/>
          <w:shd w:val="clear" w:color="auto" w:fill="FFFFFF"/>
        </w:rPr>
        <w:t>，本年度大型会议减少导致会议费用减少。本年度培训费支出</w:t>
      </w:r>
      <w:r>
        <w:rPr>
          <w:rFonts w:hint="default" w:ascii="Times New Roman" w:hAnsi="Times New Roman" w:eastAsia="方正仿宋_GBK"/>
          <w:color w:val="000000" w:themeColor="text1"/>
          <w:sz w:val="32"/>
          <w:szCs w:val="32"/>
        </w:rPr>
        <w:t>13.26</w:t>
      </w:r>
      <w:r>
        <w:rPr>
          <w:rFonts w:hint="default" w:ascii="Times New Roman" w:hAnsi="Times New Roman" w:eastAsia="方正仿宋_GBK"/>
          <w:color w:val="000000" w:themeColor="text1"/>
          <w:sz w:val="32"/>
          <w:szCs w:val="32"/>
          <w:shd w:val="clear" w:color="auto" w:fill="FFFFFF"/>
        </w:rPr>
        <w:t>万元，较上年决算数增加4.73万元，增长55.45%，主要原因是</w:t>
      </w:r>
      <w:r>
        <w:rPr>
          <w:rFonts w:hint="default" w:ascii="Times New Roman" w:hAnsi="Times New Roman" w:eastAsia="方正仿宋_GBK"/>
          <w:color w:val="000000" w:themeColor="text1"/>
          <w:sz w:val="32"/>
          <w:szCs w:val="32"/>
        </w:rPr>
        <w:t>单位举办的组织全县保密教育和国家安全教</w:t>
      </w:r>
      <w:r>
        <w:rPr>
          <w:rFonts w:ascii="Times New Roman" w:hAnsi="Times New Roman" w:eastAsia="方正仿宋_GBK"/>
          <w:color w:val="000000" w:themeColor="text1"/>
          <w:sz w:val="32"/>
          <w:szCs w:val="32"/>
        </w:rPr>
        <w:t>育</w:t>
      </w:r>
      <w:r>
        <w:rPr>
          <w:rFonts w:hint="default" w:ascii="Times New Roman" w:hAnsi="Times New Roman" w:eastAsia="方正仿宋_GBK"/>
          <w:color w:val="000000" w:themeColor="text1"/>
          <w:sz w:val="32"/>
          <w:szCs w:val="32"/>
        </w:rPr>
        <w:t>培训</w:t>
      </w:r>
      <w:r>
        <w:rPr>
          <w:rFonts w:ascii="Times New Roman" w:hAnsi="Times New Roman" w:eastAsia="方正仿宋_GBK"/>
          <w:color w:val="000000" w:themeColor="text1"/>
          <w:sz w:val="32"/>
          <w:szCs w:val="32"/>
        </w:rPr>
        <w:t>会议</w:t>
      </w:r>
      <w:r>
        <w:rPr>
          <w:rFonts w:hint="default" w:ascii="Times New Roman" w:hAnsi="Times New Roman" w:eastAsia="方正仿宋_GBK"/>
          <w:color w:val="000000" w:themeColor="text1"/>
          <w:sz w:val="32"/>
          <w:szCs w:val="32"/>
        </w:rPr>
        <w:t>次数增加</w:t>
      </w:r>
      <w:r>
        <w:rPr>
          <w:rFonts w:hint="default" w:ascii="Times New Roman" w:hAnsi="Times New Roman" w:eastAsia="方正仿宋_GBK"/>
          <w:color w:val="000000" w:themeColor="text1"/>
          <w:sz w:val="32"/>
          <w:szCs w:val="32"/>
          <w:shd w:val="clear" w:color="auto" w:fill="FFFFFF"/>
        </w:rPr>
        <w:t>。</w:t>
      </w:r>
    </w:p>
    <w:p>
      <w:pPr>
        <w:pStyle w:val="6"/>
        <w:snapToGrid w:val="0"/>
        <w:spacing w:before="0" w:beforeAutospacing="0" w:after="0" w:afterAutospacing="0" w:line="594" w:lineRule="exact"/>
        <w:ind w:firstLine="643" w:firstLineChars="200"/>
        <w:jc w:val="both"/>
        <w:rPr>
          <w:rFonts w:hint="default" w:ascii="方正楷体_GBK" w:hAnsi="方正楷体_GBK" w:eastAsia="方正楷体_GBK" w:cs="方正楷体_GBK"/>
          <w:b/>
          <w:bCs/>
          <w:color w:val="000000" w:themeColor="text1"/>
          <w:sz w:val="32"/>
          <w:szCs w:val="32"/>
          <w:shd w:val="clear" w:color="auto" w:fill="FFFFFF"/>
        </w:rPr>
      </w:pPr>
      <w:r>
        <w:rPr>
          <w:rFonts w:hint="default" w:ascii="方正楷体_GBK" w:hAnsi="方正楷体_GBK" w:eastAsia="方正楷体_GBK" w:cs="方正楷体_GBK"/>
          <w:b/>
          <w:bCs/>
          <w:color w:val="000000" w:themeColor="text1"/>
          <w:sz w:val="32"/>
          <w:szCs w:val="32"/>
          <w:shd w:val="clear" w:color="auto" w:fill="FFFFFF"/>
        </w:rPr>
        <w:t>（二）机关运行经费情况说明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shd w:val="clear" w:color="auto" w:fill="FFFFFF"/>
        </w:rPr>
        <w:t>2023年度本部门机关运行经费支出</w:t>
      </w:r>
      <w:r>
        <w:rPr>
          <w:rFonts w:hint="default" w:ascii="Times New Roman" w:hAnsi="Times New Roman" w:eastAsia="方正仿宋_GBK"/>
          <w:color w:val="000000" w:themeColor="text1"/>
          <w:sz w:val="32"/>
          <w:szCs w:val="32"/>
        </w:rPr>
        <w:t>295.57</w:t>
      </w:r>
      <w:r>
        <w:rPr>
          <w:rFonts w:hint="default" w:ascii="Times New Roman" w:hAnsi="Times New Roman" w:eastAsia="方正仿宋_GBK"/>
          <w:color w:val="000000" w:themeColor="text1"/>
          <w:sz w:val="32"/>
          <w:szCs w:val="32"/>
          <w:shd w:val="clear" w:color="auto" w:fill="FFFFFF"/>
        </w:rPr>
        <w:t>万元，机关运行经费主要用于</w:t>
      </w:r>
      <w:r>
        <w:rPr>
          <w:rFonts w:hint="default" w:ascii="Times New Roman" w:hAnsi="Times New Roman" w:eastAsia="方正仿宋_GBK"/>
          <w:color w:val="000000" w:themeColor="text1"/>
          <w:sz w:val="32"/>
          <w:szCs w:val="32"/>
        </w:rPr>
        <w:t>开支办公费、水电费、电话网络费、差旅费、维修维护费、培训费、公务接待费、其他交通费用、办公设备购置费等</w:t>
      </w:r>
      <w:r>
        <w:rPr>
          <w:rFonts w:hint="default" w:ascii="Times New Roman" w:hAnsi="Times New Roman" w:eastAsia="方正仿宋_GBK"/>
          <w:color w:val="000000" w:themeColor="text1"/>
          <w:sz w:val="32"/>
          <w:szCs w:val="32"/>
          <w:shd w:val="clear" w:color="auto" w:fill="FFFFFF"/>
        </w:rPr>
        <w:t>。机关运行经费较上年支出数减少24.74万元，下降7.72%，主要原因是财政落实过紧日子要求，大力压缩一般性开支，导致公用经费减少</w:t>
      </w:r>
      <w:r>
        <w:rPr>
          <w:rFonts w:hint="default" w:ascii="Times New Roman" w:hAnsi="Times New Roman" w:eastAsia="方正仿宋_GBK"/>
          <w:color w:val="000000" w:themeColor="text1"/>
          <w:sz w:val="32"/>
          <w:szCs w:val="32"/>
        </w:rPr>
        <w:t>。</w:t>
      </w:r>
    </w:p>
    <w:p>
      <w:pPr>
        <w:pStyle w:val="6"/>
        <w:snapToGrid w:val="0"/>
        <w:spacing w:before="0" w:beforeAutospacing="0" w:after="0" w:afterAutospacing="0" w:line="594" w:lineRule="exact"/>
        <w:ind w:firstLine="643" w:firstLineChars="200"/>
        <w:jc w:val="both"/>
        <w:rPr>
          <w:rFonts w:hint="default" w:ascii="方正楷体_GBK" w:hAnsi="方正楷体_GBK" w:eastAsia="方正楷体_GBK" w:cs="方正楷体_GBK"/>
          <w:b/>
          <w:bCs/>
          <w:color w:val="000000" w:themeColor="text1"/>
          <w:sz w:val="32"/>
          <w:szCs w:val="32"/>
          <w:shd w:val="clear" w:color="auto" w:fill="FFFFFF"/>
        </w:rPr>
      </w:pPr>
      <w:r>
        <w:rPr>
          <w:rFonts w:hint="default" w:ascii="方正楷体_GBK" w:hAnsi="方正楷体_GBK" w:eastAsia="方正楷体_GBK" w:cs="方正楷体_GBK"/>
          <w:b/>
          <w:bCs/>
          <w:color w:val="000000" w:themeColor="text1"/>
          <w:sz w:val="32"/>
          <w:szCs w:val="32"/>
          <w:shd w:val="clear" w:color="auto" w:fill="FFFFFF"/>
        </w:rPr>
        <w:t>（三）国有资产占用情况说明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color w:val="000000" w:themeColor="text1"/>
          <w:sz w:val="32"/>
          <w:szCs w:val="32"/>
          <w:shd w:val="clear" w:color="auto" w:fill="FFFFFF"/>
        </w:rPr>
        <w:t>  截至2023年12月31日，本部门共有车辆</w:t>
      </w:r>
      <w:r>
        <w:rPr>
          <w:rFonts w:hint="default" w:ascii="Times New Roman" w:hAnsi="Times New Roman" w:eastAsia="方正仿宋_GBK"/>
          <w:color w:val="000000" w:themeColor="text1"/>
          <w:sz w:val="32"/>
          <w:szCs w:val="32"/>
        </w:rPr>
        <w:t>4</w:t>
      </w:r>
      <w:r>
        <w:rPr>
          <w:rFonts w:hint="default" w:ascii="Times New Roman" w:hAnsi="Times New Roman" w:eastAsia="方正仿宋_GBK"/>
          <w:color w:val="000000" w:themeColor="text1"/>
          <w:sz w:val="32"/>
          <w:szCs w:val="32"/>
          <w:shd w:val="clear" w:color="auto" w:fill="FFFFFF"/>
        </w:rPr>
        <w:t>辆，其中，副部（省）级及以上领导用车</w:t>
      </w:r>
      <w:r>
        <w:rPr>
          <w:rFonts w:hint="default" w:ascii="Times New Roman" w:hAnsi="Times New Roman" w:eastAsia="方正仿宋_GBK"/>
          <w:color w:val="000000" w:themeColor="text1"/>
          <w:sz w:val="32"/>
          <w:szCs w:val="32"/>
        </w:rPr>
        <w:t>0</w:t>
      </w:r>
      <w:r>
        <w:rPr>
          <w:rFonts w:hint="default" w:ascii="Times New Roman" w:hAnsi="Times New Roman" w:eastAsia="方正仿宋_GBK"/>
          <w:color w:val="000000" w:themeColor="text1"/>
          <w:sz w:val="32"/>
          <w:szCs w:val="32"/>
          <w:shd w:val="clear" w:color="auto" w:fill="FFFFFF"/>
        </w:rPr>
        <w:t>辆、主要负责人用车</w:t>
      </w:r>
      <w:r>
        <w:rPr>
          <w:rFonts w:hint="default" w:ascii="Times New Roman" w:hAnsi="Times New Roman" w:eastAsia="方正仿宋_GBK"/>
          <w:color w:val="000000" w:themeColor="text1"/>
          <w:sz w:val="32"/>
          <w:szCs w:val="32"/>
        </w:rPr>
        <w:t>1</w:t>
      </w:r>
      <w:r>
        <w:rPr>
          <w:rFonts w:hint="default" w:ascii="Times New Roman" w:hAnsi="Times New Roman" w:eastAsia="方正仿宋_GBK"/>
          <w:color w:val="000000" w:themeColor="text1"/>
          <w:sz w:val="32"/>
          <w:szCs w:val="32"/>
          <w:shd w:val="clear" w:color="auto" w:fill="FFFFFF"/>
        </w:rPr>
        <w:t>辆、机要通信用车</w:t>
      </w:r>
      <w:r>
        <w:rPr>
          <w:rFonts w:hint="default" w:ascii="Times New Roman" w:hAnsi="Times New Roman" w:eastAsia="方正仿宋_GBK"/>
          <w:color w:val="000000" w:themeColor="text1"/>
          <w:sz w:val="32"/>
          <w:szCs w:val="32"/>
        </w:rPr>
        <w:t>2</w:t>
      </w:r>
      <w:r>
        <w:rPr>
          <w:rFonts w:hint="default" w:ascii="Times New Roman" w:hAnsi="Times New Roman" w:eastAsia="方正仿宋_GBK"/>
          <w:color w:val="000000" w:themeColor="text1"/>
          <w:sz w:val="32"/>
          <w:szCs w:val="32"/>
          <w:shd w:val="clear" w:color="auto" w:fill="FFFFFF"/>
        </w:rPr>
        <w:t>辆、应急保障用车</w:t>
      </w:r>
      <w:r>
        <w:rPr>
          <w:rFonts w:hint="default" w:ascii="Times New Roman" w:hAnsi="Times New Roman" w:eastAsia="方正仿宋_GBK"/>
          <w:color w:val="000000" w:themeColor="text1"/>
          <w:sz w:val="32"/>
          <w:szCs w:val="32"/>
        </w:rPr>
        <w:t>1</w:t>
      </w:r>
      <w:r>
        <w:rPr>
          <w:rFonts w:hint="default" w:ascii="Times New Roman" w:hAnsi="Times New Roman" w:eastAsia="方正仿宋_GBK"/>
          <w:color w:val="000000" w:themeColor="text1"/>
          <w:sz w:val="32"/>
          <w:szCs w:val="32"/>
          <w:shd w:val="clear" w:color="auto" w:fill="FFFFFF"/>
        </w:rPr>
        <w:t>辆、执法执勤用车</w:t>
      </w:r>
      <w:r>
        <w:rPr>
          <w:rFonts w:hint="default" w:ascii="Times New Roman" w:hAnsi="Times New Roman" w:eastAsia="方正仿宋_GBK"/>
          <w:color w:val="000000" w:themeColor="text1"/>
          <w:sz w:val="32"/>
          <w:szCs w:val="32"/>
        </w:rPr>
        <w:t>0</w:t>
      </w:r>
      <w:r>
        <w:rPr>
          <w:rFonts w:hint="default" w:ascii="Times New Roman" w:hAnsi="Times New Roman" w:eastAsia="方正仿宋_GBK"/>
          <w:color w:val="000000" w:themeColor="text1"/>
          <w:sz w:val="32"/>
          <w:szCs w:val="32"/>
          <w:shd w:val="clear" w:color="auto" w:fill="FFFFFF"/>
        </w:rPr>
        <w:t>辆，特种专业技术用车</w:t>
      </w:r>
      <w:r>
        <w:rPr>
          <w:rFonts w:hint="default" w:ascii="Times New Roman" w:hAnsi="Times New Roman" w:eastAsia="方正仿宋_GBK"/>
          <w:color w:val="000000" w:themeColor="text1"/>
          <w:sz w:val="32"/>
          <w:szCs w:val="32"/>
        </w:rPr>
        <w:t>0</w:t>
      </w:r>
      <w:r>
        <w:rPr>
          <w:rFonts w:hint="default" w:ascii="Times New Roman" w:hAnsi="Times New Roman" w:eastAsia="方正仿宋_GBK"/>
          <w:color w:val="000000" w:themeColor="text1"/>
          <w:sz w:val="32"/>
          <w:szCs w:val="32"/>
          <w:shd w:val="clear" w:color="auto" w:fill="FFFFFF"/>
        </w:rPr>
        <w:t>辆，离退休干部用车</w:t>
      </w:r>
      <w:r>
        <w:rPr>
          <w:rFonts w:hint="default" w:ascii="Times New Roman" w:hAnsi="Times New Roman" w:eastAsia="方正仿宋_GBK"/>
          <w:color w:val="000000" w:themeColor="text1"/>
          <w:sz w:val="32"/>
          <w:szCs w:val="32"/>
        </w:rPr>
        <w:t>0</w:t>
      </w:r>
      <w:r>
        <w:rPr>
          <w:rFonts w:hint="default" w:ascii="Times New Roman" w:hAnsi="Times New Roman" w:eastAsia="方正仿宋_GBK"/>
          <w:color w:val="000000" w:themeColor="text1"/>
          <w:sz w:val="32"/>
          <w:szCs w:val="32"/>
          <w:shd w:val="clear" w:color="auto" w:fill="FFFFFF"/>
        </w:rPr>
        <w:t>辆。单价100万元（含）以上专用设备</w:t>
      </w:r>
      <w:r>
        <w:rPr>
          <w:rFonts w:hint="default" w:ascii="Times New Roman" w:hAnsi="Times New Roman" w:eastAsia="方正仿宋_GBK"/>
          <w:color w:val="000000" w:themeColor="text1"/>
          <w:sz w:val="32"/>
          <w:szCs w:val="32"/>
        </w:rPr>
        <w:t>0</w:t>
      </w:r>
      <w:r>
        <w:rPr>
          <w:rFonts w:hint="default" w:ascii="Times New Roman" w:hAnsi="Times New Roman" w:eastAsia="方正仿宋_GBK"/>
          <w:color w:val="000000" w:themeColor="text1"/>
          <w:sz w:val="32"/>
          <w:szCs w:val="32"/>
          <w:shd w:val="clear" w:color="auto" w:fill="FFFFFF"/>
        </w:rPr>
        <w:t>台（套）。</w:t>
      </w:r>
    </w:p>
    <w:p>
      <w:pPr>
        <w:pStyle w:val="6"/>
        <w:snapToGrid w:val="0"/>
        <w:spacing w:before="0" w:beforeAutospacing="0" w:after="0" w:afterAutospacing="0" w:line="594" w:lineRule="exact"/>
        <w:ind w:firstLine="643" w:firstLineChars="200"/>
        <w:jc w:val="both"/>
        <w:rPr>
          <w:rFonts w:hint="default" w:ascii="方正楷体_GBK" w:hAnsi="方正楷体_GBK" w:eastAsia="方正楷体_GBK" w:cs="方正楷体_GBK"/>
          <w:b/>
          <w:bCs/>
          <w:color w:val="000000" w:themeColor="text1"/>
          <w:sz w:val="32"/>
          <w:szCs w:val="32"/>
          <w:shd w:val="clear" w:color="auto" w:fill="FFFFFF"/>
        </w:rPr>
      </w:pPr>
      <w:r>
        <w:rPr>
          <w:rFonts w:hint="default" w:ascii="方正楷体_GBK" w:hAnsi="方正楷体_GBK" w:eastAsia="方正楷体_GBK" w:cs="方正楷体_GBK"/>
          <w:b/>
          <w:bCs/>
          <w:color w:val="000000" w:themeColor="text1"/>
          <w:sz w:val="32"/>
          <w:szCs w:val="32"/>
          <w:shd w:val="clear" w:color="auto" w:fill="FFFFFF"/>
        </w:rPr>
        <w:t>（四）政府采购支出情况说明</w:t>
      </w:r>
    </w:p>
    <w:p>
      <w:pPr>
        <w:pStyle w:val="6"/>
        <w:snapToGrid w:val="0"/>
        <w:spacing w:before="0" w:beforeAutospacing="0" w:after="0" w:afterAutospacing="0" w:line="594" w:lineRule="exact"/>
        <w:ind w:firstLine="640" w:firstLineChars="200"/>
        <w:jc w:val="both"/>
        <w:rPr>
          <w:rFonts w:hint="default" w:ascii="Times New Roman" w:hAnsi="Times New Roman" w:eastAsia="方正仿宋_GBK"/>
          <w:color w:val="000000" w:themeColor="text1"/>
          <w:sz w:val="32"/>
          <w:szCs w:val="32"/>
          <w:shd w:val="clear" w:color="auto" w:fill="FFFFFF"/>
        </w:rPr>
      </w:pPr>
      <w:r>
        <w:rPr>
          <w:rFonts w:hint="default" w:ascii="Times New Roman" w:hAnsi="Times New Roman" w:eastAsia="方正仿宋_GBK"/>
          <w:color w:val="000000" w:themeColor="text1"/>
          <w:sz w:val="32"/>
          <w:szCs w:val="32"/>
          <w:shd w:val="clear" w:color="auto" w:fill="FFFFFF"/>
        </w:rPr>
        <w:t> </w:t>
      </w: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Style w:val="10"/>
          <w:rFonts w:hint="default" w:ascii="Times New Roman" w:hAnsi="Times New Roman" w:eastAsia="方正仿宋_GBK"/>
          <w:color w:val="000000" w:themeColor="text1"/>
          <w:sz w:val="32"/>
          <w:szCs w:val="32"/>
        </w:rPr>
        <w:t> </w:t>
      </w:r>
      <w:r>
        <w:rPr>
          <w:rFonts w:ascii="方正仿宋_GBK" w:hAnsi="方正仿宋_GBK" w:eastAsia="方正仿宋_GBK" w:cs="方正仿宋_GBK"/>
          <w:sz w:val="32"/>
          <w:szCs w:val="32"/>
          <w:shd w:val="clear" w:color="auto" w:fill="FFFFFF"/>
        </w:rPr>
        <w:t>2023</w:t>
      </w:r>
      <w:r>
        <w:rPr>
          <w:rFonts w:hint="default" w:ascii="方正仿宋_GBK" w:hAnsi="方正仿宋_GBK" w:eastAsia="方正仿宋_GBK" w:cs="方正仿宋_GBK"/>
          <w:sz w:val="32"/>
          <w:szCs w:val="32"/>
          <w:shd w:val="clear" w:color="auto" w:fill="FFFFFF"/>
        </w:rPr>
        <w:t>年度我单位未发生政府采购事项</w:t>
      </w:r>
      <w:r>
        <w:rPr>
          <w:rFonts w:hint="default" w:ascii="方正仿宋_GBK" w:hAnsi="方正仿宋_GBK" w:cs="方正仿宋_GBK"/>
          <w:b/>
          <w:shd w:val="clear" w:color="auto" w:fill="FFFFFF"/>
        </w:rPr>
        <w:t>，</w:t>
      </w:r>
      <w:r>
        <w:rPr>
          <w:rFonts w:hint="default" w:ascii="方正仿宋_GBK" w:hAnsi="方正仿宋_GBK" w:eastAsia="方正仿宋_GBK" w:cs="方正仿宋_GBK"/>
          <w:sz w:val="32"/>
          <w:szCs w:val="32"/>
          <w:shd w:val="clear" w:color="auto" w:fill="FFFFFF"/>
        </w:rPr>
        <w:t>无相关经</w:t>
      </w:r>
      <w:r>
        <w:rPr>
          <w:rStyle w:val="10"/>
          <w:rFonts w:hint="default" w:ascii="Times New Roman" w:hAnsi="Times New Roman" w:eastAsia="方正仿宋_GBK"/>
          <w:color w:val="000000" w:themeColor="text1"/>
          <w:sz w:val="32"/>
          <w:szCs w:val="32"/>
        </w:rPr>
        <w:t>费支出。</w:t>
      </w:r>
    </w:p>
    <w:p>
      <w:pPr>
        <w:pStyle w:val="6"/>
        <w:shd w:val="clear" w:color="auto" w:fill="FFFFFF"/>
        <w:spacing w:beforeAutospacing="0" w:after="0" w:afterAutospacing="0" w:line="594" w:lineRule="exact"/>
        <w:ind w:firstLine="640" w:firstLineChars="200"/>
        <w:rPr>
          <w:rFonts w:hint="default" w:ascii="Times New Roman" w:hAnsi="Times New Roman" w:eastAsia="方正黑体_GBK"/>
          <w:bCs/>
          <w:color w:val="000000" w:themeColor="text1"/>
          <w:sz w:val="32"/>
          <w:szCs w:val="32"/>
          <w:shd w:val="clear" w:color="auto" w:fill="FFFFFF"/>
        </w:rPr>
      </w:pPr>
      <w:r>
        <w:rPr>
          <w:rStyle w:val="10"/>
          <w:rFonts w:hint="default" w:ascii="Times New Roman" w:hAnsi="Times New Roman" w:eastAsia="方正黑体_GBK"/>
          <w:b w:val="0"/>
          <w:bCs/>
          <w:color w:val="000000" w:themeColor="text1"/>
          <w:sz w:val="32"/>
          <w:szCs w:val="32"/>
          <w:shd w:val="clear" w:color="auto" w:fill="FFFFFF"/>
        </w:rPr>
        <w:t>五、预算绩效管理情况说明</w:t>
      </w:r>
    </w:p>
    <w:p>
      <w:pPr>
        <w:pStyle w:val="6"/>
        <w:snapToGrid w:val="0"/>
        <w:spacing w:before="0" w:beforeAutospacing="0" w:after="0" w:afterAutospacing="0" w:line="594" w:lineRule="exact"/>
        <w:ind w:firstLine="643" w:firstLineChars="200"/>
        <w:jc w:val="both"/>
        <w:rPr>
          <w:rFonts w:hint="default" w:ascii="方正楷体_GBK" w:hAnsi="方正楷体_GBK" w:eastAsia="方正楷体_GBK" w:cs="方正楷体_GBK"/>
          <w:b/>
          <w:bCs/>
          <w:color w:val="000000" w:themeColor="text1"/>
          <w:sz w:val="32"/>
          <w:szCs w:val="32"/>
          <w:shd w:val="clear" w:color="auto" w:fill="FFFFFF"/>
        </w:rPr>
      </w:pPr>
      <w:r>
        <w:rPr>
          <w:rFonts w:hint="default" w:ascii="方正楷体_GBK" w:hAnsi="方正楷体_GBK" w:eastAsia="方正楷体_GBK" w:cs="方正楷体_GBK"/>
          <w:b/>
          <w:bCs/>
          <w:color w:val="000000" w:themeColor="text1"/>
          <w:sz w:val="32"/>
          <w:szCs w:val="32"/>
          <w:shd w:val="clear" w:color="auto" w:fill="FFFFFF"/>
        </w:rPr>
        <w:t>（一）部门自评情况</w:t>
      </w:r>
    </w:p>
    <w:p>
      <w:pPr>
        <w:pStyle w:val="12"/>
        <w:autoSpaceDE w:val="0"/>
        <w:spacing w:before="0" w:beforeAutospacing="0" w:after="0" w:afterAutospacing="0" w:line="594" w:lineRule="exact"/>
        <w:ind w:firstLine="640" w:firstLineChars="200"/>
        <w:rPr>
          <w:rFonts w:ascii="Times New Roman" w:hAnsi="Times New Roman" w:eastAsia="方正仿宋_GBK"/>
          <w:color w:val="000000" w:themeColor="text1"/>
          <w:sz w:val="32"/>
          <w:szCs w:val="32"/>
          <w:shd w:val="clear" w:color="auto" w:fill="FFFFFF"/>
        </w:rPr>
      </w:pPr>
      <w:r>
        <w:rPr>
          <w:rFonts w:ascii="Times New Roman" w:hAnsi="Times New Roman" w:eastAsia="方正仿宋_GBK"/>
          <w:color w:val="000000" w:themeColor="text1"/>
          <w:sz w:val="32"/>
          <w:szCs w:val="32"/>
          <w:shd w:val="clear" w:color="auto" w:fill="FFFFFF"/>
        </w:rPr>
        <w:t>根据预算绩效管理要求，我部门对部门整体和14个</w:t>
      </w:r>
      <w:r>
        <w:rPr>
          <w:rFonts w:hint="eastAsia" w:ascii="Times New Roman" w:hAnsi="Times New Roman" w:eastAsia="方正仿宋_GBK"/>
          <w:color w:val="000000" w:themeColor="text1"/>
          <w:sz w:val="32"/>
          <w:szCs w:val="32"/>
          <w:shd w:val="clear" w:color="auto" w:fill="FFFFFF"/>
        </w:rPr>
        <w:t>二</w:t>
      </w:r>
      <w:r>
        <w:rPr>
          <w:rFonts w:ascii="Times New Roman" w:hAnsi="Times New Roman" w:eastAsia="方正仿宋_GBK"/>
          <w:color w:val="000000" w:themeColor="text1"/>
          <w:sz w:val="32"/>
          <w:szCs w:val="32"/>
          <w:shd w:val="clear" w:color="auto" w:fill="FFFFFF"/>
        </w:rPr>
        <w:t>级项目开展了绩效自评，涉及财政拨款项目支出资金1004</w:t>
      </w:r>
      <w:r>
        <w:rPr>
          <w:rFonts w:hint="eastAsia" w:ascii="Times New Roman" w:hAnsi="Times New Roman" w:eastAsia="方正仿宋_GBK"/>
          <w:color w:val="000000" w:themeColor="text1"/>
          <w:sz w:val="32"/>
          <w:szCs w:val="32"/>
          <w:shd w:val="clear" w:color="auto" w:fill="FFFFFF"/>
        </w:rPr>
        <w:t>.00</w:t>
      </w:r>
      <w:r>
        <w:rPr>
          <w:rFonts w:ascii="Times New Roman" w:hAnsi="Times New Roman" w:eastAsia="方正仿宋_GBK"/>
          <w:color w:val="000000" w:themeColor="text1"/>
          <w:sz w:val="32"/>
          <w:szCs w:val="32"/>
          <w:shd w:val="clear" w:color="auto" w:fill="FFFFFF"/>
        </w:rPr>
        <w:t>万元。</w:t>
      </w:r>
    </w:p>
    <w:p>
      <w:pPr>
        <w:pStyle w:val="12"/>
        <w:autoSpaceDE w:val="0"/>
        <w:spacing w:before="0" w:beforeAutospacing="0" w:afterAutospacing="0" w:line="594" w:lineRule="exact"/>
        <w:rPr>
          <w:rFonts w:ascii="Times New Roman" w:hAnsi="Times New Roman" w:eastAsia="方正仿宋_GBK"/>
          <w:color w:val="000000" w:themeColor="text1"/>
          <w:sz w:val="28"/>
          <w:szCs w:val="28"/>
          <w:shd w:val="clear" w:color="auto" w:fill="FFFFFF"/>
        </w:rPr>
      </w:pPr>
      <w:r>
        <w:rPr>
          <w:rFonts w:ascii="Times New Roman" w:hAnsi="Times New Roman" w:eastAsia="方正仿宋_GBK"/>
          <w:color w:val="000000" w:themeColor="text1"/>
          <w:sz w:val="28"/>
          <w:szCs w:val="28"/>
          <w:shd w:val="clear" w:color="auto" w:fill="FFFFFF"/>
        </w:rPr>
        <w:t>部门整体绩效自评表样</w:t>
      </w:r>
    </w:p>
    <w:p>
      <w:pPr>
        <w:pStyle w:val="12"/>
        <w:spacing w:before="0" w:beforeAutospacing="0"/>
        <w:rPr>
          <w:rFonts w:ascii="Times New Roman" w:hAnsi="Times New Roman" w:eastAsia="方正仿宋_GBK"/>
          <w:color w:val="000000" w:themeColor="text1"/>
          <w:sz w:val="32"/>
          <w:szCs w:val="32"/>
          <w:shd w:val="clear" w:color="auto" w:fill="FFFFFF"/>
        </w:rPr>
      </w:pPr>
      <w:r>
        <w:rPr>
          <w:rFonts w:ascii="Times New Roman" w:hAnsi="Times New Roman" w:eastAsia="方正仿宋_GBK"/>
          <w:color w:val="000000" w:themeColor="text1"/>
          <w:sz w:val="32"/>
          <w:szCs w:val="32"/>
        </w:rPr>
        <w:fldChar w:fldCharType="begin"/>
      </w:r>
      <w:r>
        <w:rPr>
          <w:rFonts w:ascii="Times New Roman" w:hAnsi="Times New Roman" w:eastAsia="方正仿宋_GBK"/>
          <w:color w:val="000000" w:themeColor="text1"/>
          <w:sz w:val="32"/>
          <w:szCs w:val="32"/>
        </w:rPr>
        <w:instrText xml:space="preserve"> INCLUDEPICTURE  "C:\\KSVDUS~1\\Users\\ADMINI~1\\AppData\\Local\\Temp\\1335bc9cbe6d457987858077ced446ae\\Users\\215\\AppData\\Local\\Temp\\~tmp{171f5b8d-f314-409d-80c2-590436aac052}67358.files\\~tmp{171f5b8d-f314-409d-80c2-590436aac052}673587679.png" \* MERGEFORMATINET </w:instrText>
      </w:r>
      <w:r>
        <w:rPr>
          <w:rFonts w:ascii="Times New Roman" w:hAnsi="Times New Roman" w:eastAsia="方正仿宋_GBK"/>
          <w:color w:val="000000" w:themeColor="text1"/>
          <w:sz w:val="32"/>
          <w:szCs w:val="32"/>
        </w:rPr>
        <w:fldChar w:fldCharType="end"/>
      </w:r>
      <w:r>
        <w:drawing>
          <wp:inline distT="0" distB="0" distL="0" distR="0">
            <wp:extent cx="5486400" cy="4257675"/>
            <wp:effectExtent l="19050" t="0" r="0" b="0"/>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7" cstate="print"/>
                    <a:stretch>
                      <a:fillRect/>
                    </a:stretch>
                  </pic:blipFill>
                  <pic:spPr>
                    <a:xfrm>
                      <a:off x="0" y="0"/>
                      <a:ext cx="5486400" cy="4257675"/>
                    </a:xfrm>
                    <a:prstGeom prst="rect">
                      <a:avLst/>
                    </a:prstGeom>
                  </pic:spPr>
                </pic:pic>
              </a:graphicData>
            </a:graphic>
          </wp:inline>
        </w:drawing>
      </w:r>
    </w:p>
    <w:p>
      <w:pPr>
        <w:pStyle w:val="12"/>
        <w:spacing w:before="0" w:beforeAutospacing="0"/>
        <w:rPr>
          <w:rFonts w:ascii="Times New Roman" w:hAnsi="Times New Roman" w:eastAsia="方正仿宋_GBK"/>
          <w:color w:val="000000" w:themeColor="text1"/>
          <w:sz w:val="28"/>
          <w:szCs w:val="28"/>
          <w:shd w:val="clear" w:color="auto" w:fill="FFFFFF"/>
        </w:rPr>
      </w:pPr>
      <w:r>
        <w:rPr>
          <w:rFonts w:ascii="Times New Roman" w:hAnsi="Times New Roman" w:eastAsia="方正仿宋_GBK"/>
          <w:color w:val="000000" w:themeColor="text1"/>
          <w:sz w:val="28"/>
          <w:szCs w:val="28"/>
          <w:shd w:val="clear" w:color="auto" w:fill="FFFFFF"/>
        </w:rPr>
        <w:t>项目支出绩效自评表（</w:t>
      </w:r>
      <w:r>
        <w:rPr>
          <w:rFonts w:hint="eastAsia" w:ascii="Times New Roman" w:hAnsi="Times New Roman" w:eastAsia="方正仿宋_GBK"/>
          <w:color w:val="000000" w:themeColor="text1"/>
          <w:sz w:val="28"/>
          <w:szCs w:val="28"/>
          <w:shd w:val="clear" w:color="auto" w:fill="FFFFFF"/>
        </w:rPr>
        <w:t>二</w:t>
      </w:r>
      <w:r>
        <w:rPr>
          <w:rFonts w:ascii="Times New Roman" w:hAnsi="Times New Roman" w:eastAsia="方正仿宋_GBK"/>
          <w:color w:val="000000" w:themeColor="text1"/>
          <w:sz w:val="28"/>
          <w:szCs w:val="28"/>
          <w:shd w:val="clear" w:color="auto" w:fill="FFFFFF"/>
        </w:rPr>
        <w:t>级项目）</w:t>
      </w:r>
    </w:p>
    <w:p>
      <w:pPr>
        <w:pStyle w:val="12"/>
        <w:spacing w:before="0" w:beforeAutospacing="0"/>
        <w:rPr>
          <w:rFonts w:ascii="Times New Roman" w:hAnsi="Times New Roman" w:eastAsia="方正仿宋_GBK"/>
          <w:color w:val="000000" w:themeColor="text1"/>
          <w:sz w:val="28"/>
          <w:szCs w:val="28"/>
          <w:shd w:val="clear" w:color="auto" w:fill="FFFFFF"/>
        </w:rPr>
      </w:pPr>
      <w:r>
        <w:rPr>
          <w:rFonts w:ascii="Times New Roman" w:hAnsi="Times New Roman" w:eastAsia="方正仿宋_GBK"/>
          <w:color w:val="000000" w:themeColor="text1"/>
          <w:sz w:val="28"/>
          <w:szCs w:val="28"/>
          <w:shd w:val="clear" w:color="auto" w:fill="FFFFFF"/>
        </w:rPr>
        <w:drawing>
          <wp:inline distT="0" distB="0" distL="0" distR="0">
            <wp:extent cx="5486400" cy="3246755"/>
            <wp:effectExtent l="19050" t="0" r="0" b="0"/>
            <wp:docPr id="6" name="图片 1"/>
            <wp:cNvGraphicFramePr/>
            <a:graphic xmlns:a="http://schemas.openxmlformats.org/drawingml/2006/main">
              <a:graphicData uri="http://schemas.openxmlformats.org/drawingml/2006/picture">
                <pic:pic xmlns:pic="http://schemas.openxmlformats.org/drawingml/2006/picture">
                  <pic:nvPicPr>
                    <pic:cNvPr id="6" name="图片 1"/>
                    <pic:cNvPicPr/>
                  </pic:nvPicPr>
                  <pic:blipFill>
                    <a:blip r:embed="rId8" cstate="print"/>
                    <a:stretch>
                      <a:fillRect/>
                    </a:stretch>
                  </pic:blipFill>
                  <pic:spPr>
                    <a:xfrm>
                      <a:off x="0" y="0"/>
                      <a:ext cx="5486400" cy="3246755"/>
                    </a:xfrm>
                    <a:prstGeom prst="rect">
                      <a:avLst/>
                    </a:prstGeom>
                  </pic:spPr>
                </pic:pic>
              </a:graphicData>
            </a:graphic>
          </wp:inline>
        </w:drawing>
      </w:r>
    </w:p>
    <w:p>
      <w:pPr>
        <w:pStyle w:val="12"/>
        <w:spacing w:before="0" w:beforeAutospacing="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fldChar w:fldCharType="begin"/>
      </w:r>
      <w:r>
        <w:rPr>
          <w:rFonts w:ascii="Times New Roman" w:hAnsi="Times New Roman" w:eastAsia="方正仿宋_GBK"/>
          <w:color w:val="000000" w:themeColor="text1"/>
          <w:sz w:val="32"/>
          <w:szCs w:val="32"/>
        </w:rPr>
        <w:instrText xml:space="preserve"> INCLUDEPICTURE  "C:\\KSVDUS~1\\Users\\ADMINI~1\\AppData\\Local\\Temp\\1335bc9cbe6d457987858077ced446ae\\Users\\215\\AppData\\Local\\Temp\\~tmp{171f5b8d-f314-409d-80c2-590436aac052}67358.files\\~tmp{171f5b8d-f314-409d-80c2-590436aac052}673587699.png" \* MERGEFORMATINET </w:instrText>
      </w:r>
      <w:r>
        <w:rPr>
          <w:rFonts w:ascii="Times New Roman" w:hAnsi="Times New Roman" w:eastAsia="方正仿宋_GBK"/>
          <w:color w:val="000000" w:themeColor="text1"/>
          <w:sz w:val="32"/>
          <w:szCs w:val="32"/>
        </w:rPr>
        <w:fldChar w:fldCharType="separate"/>
      </w:r>
      <w:r>
        <w:rPr>
          <w:rFonts w:ascii="Times New Roman" w:hAnsi="Times New Roman" w:eastAsia="方正仿宋_GBK"/>
          <w:color w:val="000000" w:themeColor="text1"/>
          <w:sz w:val="32"/>
          <w:szCs w:val="32"/>
        </w:rPr>
        <w:drawing>
          <wp:inline distT="0" distB="0" distL="0" distR="0">
            <wp:extent cx="5276850" cy="4162425"/>
            <wp:effectExtent l="19050" t="0" r="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noChangeArrowheads="1"/>
                    </pic:cNvPicPr>
                  </pic:nvPicPr>
                  <pic:blipFill>
                    <a:blip r:embed="rId9"/>
                    <a:srcRect/>
                    <a:stretch>
                      <a:fillRect/>
                    </a:stretch>
                  </pic:blipFill>
                  <pic:spPr>
                    <a:xfrm>
                      <a:off x="0" y="0"/>
                      <a:ext cx="5280025" cy="4164929"/>
                    </a:xfrm>
                    <a:prstGeom prst="rect">
                      <a:avLst/>
                    </a:prstGeom>
                    <a:noFill/>
                    <a:ln w="9525">
                      <a:noFill/>
                      <a:miter lim="800000"/>
                      <a:headEnd/>
                      <a:tailEnd/>
                    </a:ln>
                  </pic:spPr>
                </pic:pic>
              </a:graphicData>
            </a:graphic>
          </wp:inline>
        </w:drawing>
      </w:r>
      <w:r>
        <w:rPr>
          <w:rFonts w:ascii="Times New Roman" w:hAnsi="Times New Roman" w:eastAsia="方正仿宋_GBK"/>
          <w:color w:val="000000" w:themeColor="text1"/>
          <w:sz w:val="32"/>
          <w:szCs w:val="32"/>
        </w:rPr>
        <w:fldChar w:fldCharType="end"/>
      </w:r>
    </w:p>
    <w:p>
      <w:pPr>
        <w:pStyle w:val="11"/>
        <w:widowControl w:val="0"/>
        <w:numPr>
          <w:ilvl w:val="0"/>
          <w:numId w:val="1"/>
        </w:numPr>
        <w:autoSpaceDE w:val="0"/>
        <w:spacing w:line="594" w:lineRule="exact"/>
        <w:ind w:firstLine="643"/>
        <w:rPr>
          <w:rFonts w:ascii="方正楷体_GBK" w:hAnsi="方正楷体_GBK" w:eastAsia="方正楷体_GBK" w:cs="方正楷体_GBK"/>
          <w:b/>
          <w:bCs/>
          <w:color w:val="000000" w:themeColor="text1"/>
          <w:sz w:val="32"/>
          <w:szCs w:val="32"/>
          <w:shd w:val="clear" w:color="auto" w:fill="FFFFFF"/>
        </w:rPr>
      </w:pPr>
      <w:r>
        <w:rPr>
          <w:rFonts w:hint="eastAsia" w:ascii="方正楷体_GBK" w:hAnsi="方正楷体_GBK" w:eastAsia="方正楷体_GBK" w:cs="方正楷体_GBK"/>
          <w:b/>
          <w:bCs/>
          <w:color w:val="000000" w:themeColor="text1"/>
          <w:sz w:val="32"/>
          <w:szCs w:val="32"/>
          <w:shd w:val="clear" w:color="auto" w:fill="FFFFFF"/>
        </w:rPr>
        <w:t>部门绩效评价情况</w:t>
      </w:r>
    </w:p>
    <w:p>
      <w:pPr>
        <w:pStyle w:val="11"/>
        <w:widowControl w:val="0"/>
        <w:autoSpaceDE w:val="0"/>
        <w:spacing w:line="594" w:lineRule="exact"/>
        <w:ind w:firstLine="0" w:firstLineChars="0"/>
        <w:rPr>
          <w:rFonts w:ascii="方正楷体_GBK" w:hAnsi="方正楷体_GBK" w:eastAsia="方正楷体_GBK" w:cs="方正楷体_GBK"/>
          <w:b/>
          <w:bCs/>
          <w:color w:val="000000" w:themeColor="text1"/>
          <w:sz w:val="32"/>
          <w:szCs w:val="32"/>
          <w:shd w:val="clear" w:color="auto" w:fill="FFFFFF"/>
        </w:rPr>
      </w:pPr>
      <w:r>
        <w:rPr>
          <w:rFonts w:hint="eastAsia" w:ascii="方正楷体_GBK" w:hAnsi="方正楷体_GBK" w:eastAsia="方正楷体_GBK" w:cs="方正楷体_GBK"/>
          <w:b/>
          <w:bCs/>
          <w:color w:val="000000" w:themeColor="text1"/>
          <w:sz w:val="32"/>
          <w:szCs w:val="32"/>
          <w:shd w:val="clear" w:color="auto" w:fill="FFFFFF"/>
        </w:rPr>
        <w:t xml:space="preserve"> </w:t>
      </w:r>
      <w:r>
        <w:rPr>
          <w:rFonts w:hint="eastAsia" w:ascii="Times New Roman" w:hAnsi="Times New Roman" w:eastAsia="方正仿宋_GBK"/>
          <w:color w:val="000000" w:themeColor="text1"/>
          <w:sz w:val="32"/>
          <w:szCs w:val="32"/>
          <w:shd w:val="clear" w:color="auto" w:fill="FFFFFF"/>
        </w:rPr>
        <w:t xml:space="preserve">   我单位未组织开展绩效评价。</w:t>
      </w:r>
    </w:p>
    <w:p>
      <w:pPr>
        <w:pStyle w:val="11"/>
        <w:widowControl w:val="0"/>
        <w:autoSpaceDE w:val="0"/>
        <w:spacing w:line="594" w:lineRule="exact"/>
        <w:ind w:firstLine="643"/>
        <w:rPr>
          <w:rFonts w:ascii="Times New Roman" w:hAnsi="Times New Roman" w:eastAsia="楷体"/>
          <w:b/>
          <w:bCs/>
          <w:color w:val="000000" w:themeColor="text1"/>
          <w:sz w:val="32"/>
          <w:szCs w:val="32"/>
          <w:shd w:val="clear" w:color="auto" w:fill="FFFFFF"/>
        </w:rPr>
      </w:pPr>
      <w:r>
        <w:rPr>
          <w:rFonts w:ascii="Times New Roman" w:hAnsi="Times New Roman" w:eastAsia="楷体"/>
          <w:b/>
          <w:bCs/>
          <w:color w:val="000000" w:themeColor="text1"/>
          <w:sz w:val="32"/>
          <w:szCs w:val="32"/>
          <w:shd w:val="clear" w:color="auto" w:fill="FFFFFF"/>
        </w:rPr>
        <w:t>（三）财政绩效评价情况</w:t>
      </w:r>
    </w:p>
    <w:p>
      <w:pPr>
        <w:pStyle w:val="11"/>
        <w:widowControl w:val="0"/>
        <w:autoSpaceDE w:val="0"/>
        <w:spacing w:line="594" w:lineRule="exact"/>
        <w:ind w:firstLine="640"/>
        <w:rPr>
          <w:rFonts w:ascii="Times New Roman" w:hAnsi="Times New Roman" w:eastAsia="方正仿宋_GBK"/>
          <w:color w:val="000000" w:themeColor="text1"/>
          <w:sz w:val="32"/>
          <w:szCs w:val="32"/>
          <w:shd w:val="clear" w:color="auto" w:fill="FFFFFF"/>
        </w:rPr>
      </w:pPr>
      <w:r>
        <w:rPr>
          <w:rFonts w:hint="eastAsia" w:ascii="Times New Roman" w:hAnsi="Times New Roman" w:eastAsia="方正仿宋_GBK"/>
          <w:color w:val="000000" w:themeColor="text1"/>
          <w:sz w:val="32"/>
          <w:szCs w:val="32"/>
          <w:shd w:val="clear" w:color="auto" w:fill="FFFFFF"/>
        </w:rPr>
        <w:t>县</w:t>
      </w:r>
      <w:r>
        <w:rPr>
          <w:rFonts w:ascii="Times New Roman" w:hAnsi="Times New Roman" w:eastAsia="方正仿宋_GBK"/>
          <w:color w:val="000000" w:themeColor="text1"/>
          <w:sz w:val="32"/>
          <w:szCs w:val="32"/>
          <w:shd w:val="clear" w:color="auto" w:fill="FFFFFF"/>
        </w:rPr>
        <w:t>财政局</w:t>
      </w:r>
      <w:r>
        <w:rPr>
          <w:rFonts w:hint="eastAsia" w:ascii="Times New Roman" w:hAnsi="Times New Roman" w:eastAsia="方正仿宋_GBK"/>
          <w:color w:val="000000" w:themeColor="text1"/>
          <w:sz w:val="32"/>
          <w:szCs w:val="32"/>
          <w:shd w:val="clear" w:color="auto" w:fill="FFFFFF"/>
        </w:rPr>
        <w:t>未</w:t>
      </w:r>
      <w:r>
        <w:rPr>
          <w:rFonts w:ascii="Times New Roman" w:hAnsi="Times New Roman" w:eastAsia="方正仿宋_GBK"/>
          <w:color w:val="000000" w:themeColor="text1"/>
          <w:sz w:val="32"/>
          <w:szCs w:val="32"/>
          <w:shd w:val="clear" w:color="auto" w:fill="FFFFFF"/>
        </w:rPr>
        <w:t>委托第三方对我部门开展绩效评价。</w:t>
      </w:r>
    </w:p>
    <w:p>
      <w:pPr>
        <w:pStyle w:val="11"/>
        <w:widowControl w:val="0"/>
        <w:autoSpaceDE w:val="0"/>
        <w:spacing w:line="594" w:lineRule="exact"/>
        <w:ind w:firstLine="640"/>
        <w:rPr>
          <w:rStyle w:val="10"/>
          <w:rFonts w:ascii="方正黑体_GBK" w:hAnsi="方正黑体_GBK" w:eastAsia="方正黑体_GBK" w:cs="方正黑体_GBK"/>
          <w:b w:val="0"/>
          <w:bCs/>
          <w:color w:val="000000" w:themeColor="text1"/>
          <w:sz w:val="32"/>
          <w:szCs w:val="32"/>
          <w:shd w:val="clear" w:color="auto" w:fill="FFFFFF"/>
        </w:rPr>
      </w:pPr>
      <w:r>
        <w:rPr>
          <w:rStyle w:val="10"/>
          <w:rFonts w:hint="eastAsia" w:ascii="方正黑体_GBK" w:hAnsi="方正黑体_GBK" w:eastAsia="方正黑体_GBK" w:cs="方正黑体_GBK"/>
          <w:b w:val="0"/>
          <w:bCs/>
          <w:color w:val="000000" w:themeColor="text1"/>
          <w:sz w:val="32"/>
          <w:szCs w:val="32"/>
          <w:shd w:val="clear" w:color="auto" w:fill="FFFFFF"/>
        </w:rPr>
        <w:t>六、专业名词解释</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color w:val="000000" w:themeColor="text1"/>
          <w:sz w:val="32"/>
          <w:szCs w:val="32"/>
        </w:rPr>
      </w:pPr>
      <w:r>
        <w:rPr>
          <w:rFonts w:hint="default" w:ascii="Times New Roman" w:hAnsi="Times New Roman" w:eastAsia="方正仿宋_GBK"/>
          <w:b/>
          <w:bCs/>
          <w:color w:val="000000" w:themeColor="text1"/>
          <w:sz w:val="32"/>
          <w:szCs w:val="32"/>
          <w:shd w:val="clear" w:color="auto" w:fill="FFFFFF"/>
        </w:rPr>
        <w:t> </w:t>
      </w:r>
      <w:r>
        <w:rPr>
          <w:rFonts w:ascii="方正楷体_GBK" w:hAnsi="方正楷体_GBK" w:eastAsia="方正楷体_GBK" w:cs="方正楷体_GBK"/>
          <w:b/>
          <w:bCs/>
          <w:color w:val="000000" w:themeColor="text1"/>
          <w:sz w:val="32"/>
          <w:szCs w:val="32"/>
          <w:shd w:val="clear" w:color="auto" w:fill="FFFFFF"/>
        </w:rPr>
        <w:t>（一）财政拨款收入：</w:t>
      </w:r>
      <w:r>
        <w:rPr>
          <w:rFonts w:hint="default" w:ascii="Times New Roman" w:hAnsi="Times New Roman" w:eastAsia="方正仿宋_GBK"/>
          <w:color w:val="000000" w:themeColor="text1"/>
          <w:sz w:val="32"/>
          <w:szCs w:val="32"/>
          <w:shd w:val="clear" w:color="auto" w:fill="FFFFFF"/>
        </w:rPr>
        <w:t>指本年度从本级财政部门取得的财政拨款，包括一般公共预算财政拨款和政府性基金预算财政拨款。</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color w:val="000000" w:themeColor="text1"/>
          <w:sz w:val="32"/>
          <w:szCs w:val="32"/>
        </w:rPr>
      </w:pPr>
      <w:r>
        <w:rPr>
          <w:rStyle w:val="10"/>
          <w:rFonts w:hint="default" w:ascii="Times New Roman" w:hAnsi="Times New Roman" w:eastAsia="方正仿宋_GBK"/>
          <w:color w:val="000000" w:themeColor="text1"/>
          <w:sz w:val="32"/>
          <w:szCs w:val="32"/>
          <w:shd w:val="clear" w:color="auto" w:fill="FFFFFF"/>
        </w:rPr>
        <w:t> </w:t>
      </w:r>
      <w:r>
        <w:rPr>
          <w:rFonts w:hint="default" w:ascii="方正楷体_GBK" w:hAnsi="方正楷体_GBK" w:eastAsia="方正楷体_GBK" w:cs="方正楷体_GBK"/>
          <w:b/>
          <w:bCs/>
          <w:color w:val="000000" w:themeColor="text1"/>
          <w:sz w:val="32"/>
          <w:szCs w:val="32"/>
          <w:shd w:val="clear" w:color="auto" w:fill="FFFFFF"/>
        </w:rPr>
        <w:t>（二）事业收入：</w:t>
      </w:r>
      <w:r>
        <w:rPr>
          <w:rFonts w:hint="default" w:ascii="Times New Roman" w:hAnsi="Times New Roman" w:eastAsia="方正仿宋_GBK"/>
          <w:color w:val="000000" w:themeColor="text1"/>
          <w:sz w:val="32"/>
          <w:szCs w:val="32"/>
          <w:shd w:val="clear" w:color="auto" w:fill="FFFFFF"/>
        </w:rPr>
        <w:t>指事业单位开展专业业务活动及其辅助活动取得的现金流入；事业单位收到的财政专户实际核拨的教育收费等资金在此反映。</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color w:val="000000" w:themeColor="text1"/>
          <w:sz w:val="32"/>
          <w:szCs w:val="32"/>
        </w:rPr>
      </w:pPr>
      <w:r>
        <w:rPr>
          <w:rStyle w:val="10"/>
          <w:rFonts w:hint="default" w:ascii="Times New Roman" w:hAnsi="Times New Roman" w:eastAsia="方正仿宋_GBK"/>
          <w:color w:val="000000" w:themeColor="text1"/>
          <w:sz w:val="32"/>
          <w:szCs w:val="32"/>
          <w:shd w:val="clear" w:color="auto" w:fill="FFFFFF"/>
        </w:rPr>
        <w:t> </w:t>
      </w:r>
      <w:r>
        <w:rPr>
          <w:rFonts w:hint="default" w:ascii="方正楷体_GBK" w:hAnsi="方正楷体_GBK" w:eastAsia="方正楷体_GBK" w:cs="方正楷体_GBK"/>
          <w:b/>
          <w:bCs/>
          <w:color w:val="000000" w:themeColor="text1"/>
          <w:sz w:val="32"/>
          <w:szCs w:val="32"/>
          <w:shd w:val="clear" w:color="auto" w:fill="FFFFFF"/>
        </w:rPr>
        <w:t>（三）经营收入：</w:t>
      </w:r>
      <w:r>
        <w:rPr>
          <w:rFonts w:hint="default" w:ascii="Times New Roman" w:hAnsi="Times New Roman" w:eastAsia="方正仿宋_GBK"/>
          <w:color w:val="000000" w:themeColor="text1"/>
          <w:sz w:val="32"/>
          <w:szCs w:val="32"/>
          <w:shd w:val="clear" w:color="auto" w:fill="FFFFFF"/>
        </w:rPr>
        <w:t>指事业单位在专业业务活动及其辅助活动之外开展非独立核算经营活动取得的现金流入。</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color w:val="000000" w:themeColor="text1"/>
          <w:sz w:val="32"/>
          <w:szCs w:val="32"/>
        </w:rPr>
      </w:pPr>
      <w:r>
        <w:rPr>
          <w:rFonts w:hint="default" w:ascii="方正楷体_GBK" w:hAnsi="方正楷体_GBK" w:eastAsia="方正楷体_GBK" w:cs="方正楷体_GBK"/>
          <w:b/>
          <w:bCs/>
          <w:color w:val="000000" w:themeColor="text1"/>
          <w:sz w:val="32"/>
          <w:szCs w:val="32"/>
          <w:shd w:val="clear" w:color="auto" w:fill="FFFFFF"/>
        </w:rPr>
        <w:t> （四）其他收入：</w:t>
      </w:r>
      <w:r>
        <w:rPr>
          <w:rFonts w:hint="default" w:ascii="Times New Roman" w:hAnsi="Times New Roman" w:eastAsia="方正仿宋_GBK"/>
          <w:color w:val="000000" w:themeColor="text1"/>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color w:val="000000" w:themeColor="text1"/>
          <w:sz w:val="32"/>
          <w:szCs w:val="32"/>
        </w:rPr>
      </w:pPr>
      <w:r>
        <w:rPr>
          <w:rFonts w:hint="default" w:ascii="方正楷体_GBK" w:hAnsi="方正楷体_GBK" w:eastAsia="方正楷体_GBK" w:cs="方正楷体_GBK"/>
          <w:b/>
          <w:bCs/>
          <w:color w:val="000000" w:themeColor="text1"/>
          <w:sz w:val="32"/>
          <w:szCs w:val="32"/>
          <w:shd w:val="clear" w:color="auto" w:fill="FFFFFF"/>
        </w:rPr>
        <w:t>（五）使用非财政拨款结余：</w:t>
      </w:r>
      <w:r>
        <w:rPr>
          <w:rFonts w:hint="default" w:ascii="Times New Roman" w:hAnsi="Times New Roman" w:eastAsia="方正仿宋_GBK"/>
          <w:color w:val="000000" w:themeColor="text1"/>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color w:val="000000" w:themeColor="text1"/>
          <w:sz w:val="32"/>
          <w:szCs w:val="32"/>
        </w:rPr>
      </w:pPr>
      <w:r>
        <w:rPr>
          <w:rFonts w:hint="default" w:ascii="方正楷体_GBK" w:hAnsi="方正楷体_GBK" w:eastAsia="方正楷体_GBK" w:cs="方正楷体_GBK"/>
          <w:b/>
          <w:bCs/>
          <w:color w:val="000000" w:themeColor="text1"/>
          <w:sz w:val="32"/>
          <w:szCs w:val="32"/>
          <w:shd w:val="clear" w:color="auto" w:fill="FFFFFF"/>
        </w:rPr>
        <w:t> （六）年初结转和结余：</w:t>
      </w:r>
      <w:r>
        <w:rPr>
          <w:rFonts w:hint="default" w:ascii="Times New Roman" w:hAnsi="Times New Roman" w:eastAsia="方正仿宋_GBK"/>
          <w:color w:val="000000" w:themeColor="text1"/>
          <w:sz w:val="32"/>
          <w:szCs w:val="32"/>
          <w:shd w:val="clear" w:color="auto" w:fill="FFFFFF"/>
        </w:rPr>
        <w:t>指单位上年结转本年使用的基本支出结转、项目支出结转和结余、经营结余。</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color w:val="000000" w:themeColor="text1"/>
          <w:sz w:val="32"/>
          <w:szCs w:val="32"/>
        </w:rPr>
      </w:pPr>
      <w:r>
        <w:rPr>
          <w:rFonts w:hint="default" w:ascii="方正楷体_GBK" w:hAnsi="方正楷体_GBK" w:eastAsia="方正楷体_GBK" w:cs="方正楷体_GBK"/>
          <w:b/>
          <w:bCs/>
          <w:color w:val="000000" w:themeColor="text1"/>
          <w:sz w:val="32"/>
          <w:szCs w:val="32"/>
          <w:shd w:val="clear" w:color="auto" w:fill="FFFFFF"/>
        </w:rPr>
        <w:t> （七）结余分配：</w:t>
      </w:r>
      <w:r>
        <w:rPr>
          <w:rFonts w:hint="default" w:ascii="Times New Roman" w:hAnsi="Times New Roman" w:eastAsia="方正仿宋_GBK"/>
          <w:color w:val="000000" w:themeColor="text1"/>
          <w:sz w:val="32"/>
          <w:szCs w:val="32"/>
          <w:shd w:val="clear" w:color="auto" w:fill="FFFFFF"/>
        </w:rPr>
        <w:t>指单位按照国家有关规定，缴纳所得税、提取专用基金、转入非财政拨款结余等当年结余的分配情况。</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color w:val="000000" w:themeColor="text1"/>
          <w:sz w:val="32"/>
          <w:szCs w:val="32"/>
        </w:rPr>
      </w:pPr>
      <w:r>
        <w:rPr>
          <w:rFonts w:hint="default" w:ascii="方正楷体_GBK" w:hAnsi="方正楷体_GBK" w:eastAsia="方正楷体_GBK" w:cs="方正楷体_GBK"/>
          <w:b/>
          <w:bCs/>
          <w:color w:val="000000" w:themeColor="text1"/>
          <w:sz w:val="32"/>
          <w:szCs w:val="32"/>
          <w:shd w:val="clear" w:color="auto" w:fill="FFFFFF"/>
        </w:rPr>
        <w:t> （八）年末结转和结余：</w:t>
      </w:r>
      <w:r>
        <w:rPr>
          <w:rFonts w:hint="default" w:ascii="Times New Roman" w:hAnsi="Times New Roman" w:eastAsia="方正仿宋_GBK"/>
          <w:color w:val="000000" w:themeColor="text1"/>
          <w:sz w:val="32"/>
          <w:szCs w:val="32"/>
          <w:shd w:val="clear" w:color="auto" w:fill="FFFFFF"/>
        </w:rPr>
        <w:t>指单位结转下年的基本支出结转、项目支出结转和结余、经营结余。</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color w:val="000000" w:themeColor="text1"/>
          <w:sz w:val="32"/>
          <w:szCs w:val="32"/>
        </w:rPr>
      </w:pPr>
      <w:r>
        <w:rPr>
          <w:rStyle w:val="10"/>
          <w:rFonts w:hint="default" w:ascii="Times New Roman" w:hAnsi="Times New Roman" w:eastAsia="方正仿宋_GBK"/>
          <w:color w:val="000000" w:themeColor="text1"/>
          <w:sz w:val="32"/>
          <w:szCs w:val="32"/>
          <w:shd w:val="clear" w:color="auto" w:fill="FFFFFF"/>
        </w:rPr>
        <w:t> </w:t>
      </w:r>
      <w:r>
        <w:rPr>
          <w:rFonts w:hint="default" w:ascii="方正楷体_GBK" w:hAnsi="方正楷体_GBK" w:eastAsia="方正楷体_GBK" w:cs="方正楷体_GBK"/>
          <w:b/>
          <w:bCs/>
          <w:color w:val="000000" w:themeColor="text1"/>
          <w:sz w:val="32"/>
          <w:szCs w:val="32"/>
          <w:shd w:val="clear" w:color="auto" w:fill="FFFFFF"/>
        </w:rPr>
        <w:t>（九）基本支出：</w:t>
      </w:r>
      <w:r>
        <w:rPr>
          <w:rFonts w:hint="default" w:ascii="Times New Roman" w:hAnsi="Times New Roman" w:eastAsia="方正仿宋_GBK"/>
          <w:color w:val="000000" w:themeColor="text1"/>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color w:val="000000" w:themeColor="text1"/>
          <w:sz w:val="32"/>
          <w:szCs w:val="32"/>
        </w:rPr>
      </w:pPr>
      <w:r>
        <w:rPr>
          <w:rStyle w:val="10"/>
          <w:rFonts w:hint="default" w:ascii="Times New Roman" w:hAnsi="Times New Roman" w:eastAsia="方正仿宋_GBK"/>
          <w:color w:val="000000" w:themeColor="text1"/>
          <w:sz w:val="32"/>
          <w:szCs w:val="32"/>
          <w:shd w:val="clear" w:color="auto" w:fill="FFFFFF"/>
        </w:rPr>
        <w:t> </w:t>
      </w:r>
      <w:r>
        <w:rPr>
          <w:rFonts w:hint="default" w:ascii="方正楷体_GBK" w:hAnsi="方正楷体_GBK" w:eastAsia="方正楷体_GBK" w:cs="方正楷体_GBK"/>
          <w:b/>
          <w:bCs/>
          <w:color w:val="000000" w:themeColor="text1"/>
          <w:sz w:val="32"/>
          <w:szCs w:val="32"/>
          <w:shd w:val="clear" w:color="auto" w:fill="FFFFFF"/>
        </w:rPr>
        <w:t>（十）项目支出：</w:t>
      </w:r>
      <w:r>
        <w:rPr>
          <w:rFonts w:hint="default" w:ascii="Times New Roman" w:hAnsi="Times New Roman" w:eastAsia="方正仿宋_GBK"/>
          <w:color w:val="000000" w:themeColor="text1"/>
          <w:sz w:val="32"/>
          <w:szCs w:val="32"/>
          <w:shd w:val="clear" w:color="auto" w:fill="FFFFFF"/>
        </w:rPr>
        <w:t>指在基本支出之外为完成特定行政任务和事业发展目标所发生的支出。</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color w:val="000000" w:themeColor="text1"/>
          <w:sz w:val="32"/>
          <w:szCs w:val="32"/>
        </w:rPr>
      </w:pPr>
      <w:r>
        <w:rPr>
          <w:rFonts w:hint="default" w:ascii="方正楷体_GBK" w:hAnsi="方正楷体_GBK" w:eastAsia="方正楷体_GBK" w:cs="方正楷体_GBK"/>
          <w:b/>
          <w:bCs/>
          <w:color w:val="000000" w:themeColor="text1"/>
          <w:sz w:val="32"/>
          <w:szCs w:val="32"/>
          <w:shd w:val="clear" w:color="auto" w:fill="FFFFFF"/>
        </w:rPr>
        <w:t> （十一）经营支出：</w:t>
      </w:r>
      <w:r>
        <w:rPr>
          <w:rFonts w:hint="default" w:ascii="Times New Roman" w:hAnsi="Times New Roman" w:eastAsia="方正仿宋_GBK"/>
          <w:color w:val="000000" w:themeColor="text1"/>
          <w:sz w:val="32"/>
          <w:szCs w:val="32"/>
          <w:shd w:val="clear" w:color="auto" w:fill="FFFFFF"/>
        </w:rPr>
        <w:t>指事业单位在专业业务活动及其辅助活动之外开展非独立核算经营活动发生的支出。</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color w:val="000000" w:themeColor="text1"/>
          <w:sz w:val="32"/>
          <w:szCs w:val="32"/>
        </w:rPr>
      </w:pPr>
      <w:r>
        <w:rPr>
          <w:rFonts w:hint="default" w:ascii="方正楷体_GBK" w:hAnsi="方正楷体_GBK" w:eastAsia="方正楷体_GBK" w:cs="方正楷体_GBK"/>
          <w:b/>
          <w:bCs/>
          <w:color w:val="000000" w:themeColor="text1"/>
          <w:sz w:val="32"/>
          <w:szCs w:val="32"/>
          <w:shd w:val="clear" w:color="auto" w:fill="FFFFFF"/>
        </w:rPr>
        <w:t> （十二）“三公”经费：</w:t>
      </w:r>
      <w:r>
        <w:rPr>
          <w:rFonts w:hint="default" w:ascii="Times New Roman" w:hAnsi="Times New Roman" w:eastAsia="方正仿宋_GBK"/>
          <w:color w:val="000000" w:themeColor="text1"/>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color w:val="000000" w:themeColor="text1"/>
          <w:sz w:val="32"/>
          <w:szCs w:val="32"/>
        </w:rPr>
      </w:pPr>
      <w:r>
        <w:rPr>
          <w:rFonts w:hint="default" w:ascii="方正楷体_GBK" w:hAnsi="方正楷体_GBK" w:eastAsia="方正楷体_GBK" w:cs="方正楷体_GBK"/>
          <w:b/>
          <w:bCs/>
          <w:color w:val="000000" w:themeColor="text1"/>
          <w:sz w:val="32"/>
          <w:szCs w:val="32"/>
          <w:shd w:val="clear" w:color="auto" w:fill="FFFFFF"/>
        </w:rPr>
        <w:t> （十三）机关运行经费：</w:t>
      </w:r>
      <w:r>
        <w:rPr>
          <w:rFonts w:hint="default" w:ascii="Times New Roman" w:hAnsi="Times New Roman" w:eastAsia="方正仿宋_GBK"/>
          <w:color w:val="000000" w:themeColor="text1"/>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color w:val="000000" w:themeColor="text1"/>
          <w:sz w:val="32"/>
          <w:szCs w:val="32"/>
        </w:rPr>
      </w:pPr>
      <w:r>
        <w:rPr>
          <w:rStyle w:val="10"/>
          <w:rFonts w:hint="default" w:ascii="Times New Roman" w:hAnsi="Times New Roman" w:eastAsia="方正仿宋_GBK"/>
          <w:color w:val="000000" w:themeColor="text1"/>
          <w:sz w:val="32"/>
          <w:szCs w:val="32"/>
          <w:shd w:val="clear" w:color="auto" w:fill="FFFFFF"/>
        </w:rPr>
        <w:t> </w:t>
      </w:r>
      <w:r>
        <w:rPr>
          <w:rFonts w:hint="default" w:ascii="方正楷体_GBK" w:hAnsi="方正楷体_GBK" w:eastAsia="方正楷体_GBK" w:cs="方正楷体_GBK"/>
          <w:b/>
          <w:bCs/>
          <w:color w:val="000000" w:themeColor="text1"/>
          <w:sz w:val="32"/>
          <w:szCs w:val="32"/>
          <w:shd w:val="clear" w:color="auto" w:fill="FFFFFF"/>
        </w:rPr>
        <w:t>（十四）工资福利支出（支出经济分类科目类级）：</w:t>
      </w:r>
      <w:r>
        <w:rPr>
          <w:rFonts w:hint="default" w:ascii="Times New Roman" w:hAnsi="Times New Roman" w:eastAsia="方正仿宋_GBK"/>
          <w:color w:val="000000" w:themeColor="text1"/>
          <w:sz w:val="32"/>
          <w:szCs w:val="32"/>
          <w:shd w:val="clear" w:color="auto" w:fill="FFFFFF"/>
        </w:rPr>
        <w:t>反映单位开支的在职职工和编制外长期聘用人员的各类劳动报酬，以及为上述人员缴纳的各项社会保险费等。</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color w:val="000000" w:themeColor="text1"/>
          <w:sz w:val="32"/>
          <w:szCs w:val="32"/>
        </w:rPr>
      </w:pPr>
      <w:r>
        <w:rPr>
          <w:rStyle w:val="10"/>
          <w:rFonts w:hint="default" w:ascii="Times New Roman" w:hAnsi="Times New Roman" w:eastAsia="方正仿宋_GBK"/>
          <w:color w:val="000000" w:themeColor="text1"/>
          <w:sz w:val="32"/>
          <w:szCs w:val="32"/>
          <w:shd w:val="clear" w:color="auto" w:fill="FFFFFF"/>
        </w:rPr>
        <w:t> </w:t>
      </w:r>
      <w:r>
        <w:rPr>
          <w:rFonts w:hint="default" w:ascii="方正楷体_GBK" w:hAnsi="方正楷体_GBK" w:eastAsia="方正楷体_GBK" w:cs="方正楷体_GBK"/>
          <w:b/>
          <w:bCs/>
          <w:color w:val="000000" w:themeColor="text1"/>
          <w:sz w:val="32"/>
          <w:szCs w:val="32"/>
          <w:shd w:val="clear" w:color="auto" w:fill="FFFFFF"/>
        </w:rPr>
        <w:t>（十五）商品和服务支出（支出经济分类科目类级）：</w:t>
      </w:r>
      <w:r>
        <w:rPr>
          <w:rFonts w:hint="default" w:ascii="Times New Roman" w:hAnsi="Times New Roman" w:eastAsia="方正仿宋_GBK"/>
          <w:color w:val="000000" w:themeColor="text1"/>
          <w:sz w:val="32"/>
          <w:szCs w:val="32"/>
          <w:shd w:val="clear" w:color="auto" w:fill="FFFFFF"/>
        </w:rPr>
        <w:t>反映单位购买商品和服务的支出（不包括用于购置固定资产的支出、战略性和应急储备支出）。</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color w:val="000000" w:themeColor="text1"/>
          <w:sz w:val="32"/>
          <w:szCs w:val="32"/>
        </w:rPr>
      </w:pPr>
      <w:r>
        <w:rPr>
          <w:rFonts w:hint="default" w:ascii="方正楷体_GBK" w:hAnsi="方正楷体_GBK" w:eastAsia="方正楷体_GBK" w:cs="方正楷体_GBK"/>
          <w:b/>
          <w:bCs/>
          <w:color w:val="000000" w:themeColor="text1"/>
          <w:sz w:val="32"/>
          <w:szCs w:val="32"/>
          <w:shd w:val="clear" w:color="auto" w:fill="FFFFFF"/>
        </w:rPr>
        <w:t> （十六）对个人和家庭的补助（支出经济分类科目类级）：</w:t>
      </w:r>
      <w:r>
        <w:rPr>
          <w:rFonts w:hint="default" w:ascii="Times New Roman" w:hAnsi="Times New Roman" w:eastAsia="方正仿宋_GBK"/>
          <w:color w:val="000000" w:themeColor="text1"/>
          <w:sz w:val="32"/>
          <w:szCs w:val="32"/>
          <w:shd w:val="clear" w:color="auto" w:fill="FFFFFF"/>
        </w:rPr>
        <w:t>反映用于对个人和家庭的补助支出。</w:t>
      </w:r>
    </w:p>
    <w:p>
      <w:pPr>
        <w:pStyle w:val="6"/>
        <w:widowControl w:val="0"/>
        <w:snapToGrid w:val="0"/>
        <w:spacing w:before="0" w:beforeAutospacing="0" w:after="0" w:afterAutospacing="0" w:line="594" w:lineRule="exact"/>
        <w:ind w:firstLine="643" w:firstLineChars="200"/>
        <w:jc w:val="both"/>
        <w:rPr>
          <w:rFonts w:hint="default" w:ascii="Times New Roman" w:hAnsi="Times New Roman" w:eastAsia="方正仿宋_GBK"/>
          <w:color w:val="000000" w:themeColor="text1"/>
          <w:sz w:val="32"/>
          <w:szCs w:val="32"/>
          <w:shd w:val="clear" w:color="auto" w:fill="FFFFFF"/>
        </w:rPr>
      </w:pPr>
      <w:r>
        <w:rPr>
          <w:rFonts w:hint="default" w:ascii="方正楷体_GBK" w:hAnsi="方正楷体_GBK" w:eastAsia="方正楷体_GBK" w:cs="方正楷体_GBK"/>
          <w:b/>
          <w:bCs/>
          <w:color w:val="000000" w:themeColor="text1"/>
          <w:sz w:val="32"/>
          <w:szCs w:val="32"/>
          <w:shd w:val="clear" w:color="auto" w:fill="FFFFFF"/>
        </w:rPr>
        <w:t> （十七）其他资本性支出（支出经济分类科目类级）：</w:t>
      </w:r>
      <w:r>
        <w:rPr>
          <w:rFonts w:hint="default" w:ascii="Times New Roman" w:hAnsi="Times New Roman" w:eastAsia="方正仿宋_GBK"/>
          <w:color w:val="000000" w:themeColor="text1"/>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widowControl w:val="0"/>
        <w:snapToGrid w:val="0"/>
        <w:spacing w:before="0" w:beforeAutospacing="0" w:after="0" w:afterAutospacing="0" w:line="594" w:lineRule="exact"/>
        <w:ind w:firstLine="640" w:firstLineChars="200"/>
        <w:jc w:val="both"/>
        <w:rPr>
          <w:rStyle w:val="10"/>
          <w:rFonts w:hint="default" w:ascii="方正黑体_GBK" w:hAnsi="方正黑体_GBK" w:eastAsia="方正黑体_GBK" w:cs="方正黑体_GBK"/>
          <w:b w:val="0"/>
          <w:bCs/>
          <w:color w:val="000000" w:themeColor="text1"/>
          <w:sz w:val="32"/>
          <w:szCs w:val="32"/>
          <w:shd w:val="clear" w:color="auto" w:fill="FFFFFF"/>
        </w:rPr>
      </w:pPr>
      <w:r>
        <w:rPr>
          <w:rStyle w:val="10"/>
          <w:rFonts w:ascii="方正黑体_GBK" w:hAnsi="方正黑体_GBK" w:eastAsia="方正黑体_GBK" w:cs="方正黑体_GBK"/>
          <w:b w:val="0"/>
          <w:bCs/>
          <w:color w:val="000000" w:themeColor="text1"/>
          <w:sz w:val="32"/>
          <w:szCs w:val="32"/>
          <w:shd w:val="clear" w:color="auto" w:fill="FFFFFF"/>
        </w:rPr>
        <w:t>七、决算公开联系方式及信息反馈渠道</w:t>
      </w:r>
    </w:p>
    <w:p>
      <w:pPr>
        <w:pStyle w:val="6"/>
        <w:widowControl w:val="0"/>
        <w:shd w:val="clear" w:color="auto" w:fill="FFFFFF"/>
        <w:spacing w:before="0" w:beforeAutospacing="0" w:after="0" w:afterAutospacing="0" w:line="594" w:lineRule="exact"/>
        <w:ind w:firstLine="640" w:firstLineChars="200"/>
        <w:jc w:val="both"/>
        <w:rPr>
          <w:rStyle w:val="10"/>
          <w:rFonts w:hint="default" w:ascii="Times New Roman" w:hAnsi="Times New Roman" w:eastAsia="方正仿宋_GBK"/>
          <w:b w:val="0"/>
          <w:color w:val="000000" w:themeColor="text1"/>
          <w:sz w:val="32"/>
          <w:szCs w:val="32"/>
        </w:rPr>
      </w:pPr>
      <w:r>
        <w:rPr>
          <w:rStyle w:val="10"/>
          <w:rFonts w:hint="default" w:ascii="Times New Roman" w:hAnsi="Times New Roman" w:eastAsia="方正仿宋_GBK"/>
          <w:b w:val="0"/>
          <w:color w:val="000000" w:themeColor="text1"/>
          <w:sz w:val="32"/>
          <w:szCs w:val="32"/>
        </w:rPr>
        <w:t>本单位决算公开信息反馈和联系方式：</w:t>
      </w:r>
    </w:p>
    <w:p>
      <w:pPr>
        <w:pStyle w:val="6"/>
        <w:widowControl w:val="0"/>
        <w:shd w:val="clear" w:color="auto" w:fill="FFFFFF"/>
        <w:spacing w:before="0" w:beforeAutospacing="0" w:after="0" w:afterAutospacing="0" w:line="594" w:lineRule="exact"/>
        <w:ind w:firstLine="640" w:firstLineChars="200"/>
        <w:jc w:val="both"/>
        <w:rPr>
          <w:rStyle w:val="10"/>
          <w:rFonts w:hint="default" w:ascii="Times New Roman" w:hAnsi="Times New Roman" w:eastAsia="方正仿宋_GBK"/>
          <w:b w:val="0"/>
          <w:color w:val="000000" w:themeColor="text1"/>
          <w:sz w:val="32"/>
          <w:szCs w:val="32"/>
        </w:rPr>
      </w:pPr>
      <w:r>
        <w:rPr>
          <w:rStyle w:val="10"/>
          <w:rFonts w:hint="default" w:ascii="Times New Roman" w:hAnsi="Times New Roman" w:eastAsia="方正仿宋_GBK"/>
          <w:b w:val="0"/>
          <w:color w:val="000000" w:themeColor="text1"/>
          <w:sz w:val="32"/>
          <w:szCs w:val="32"/>
        </w:rPr>
        <w:t>联系人：杨老师             联系电话：023-74512355</w:t>
      </w:r>
    </w:p>
    <w:p>
      <w:pPr>
        <w:pStyle w:val="11"/>
        <w:autoSpaceDE w:val="0"/>
        <w:ind w:firstLine="0" w:firstLineChars="0"/>
        <w:rPr>
          <w:rStyle w:val="10"/>
          <w:rFonts w:ascii="Times New Roman" w:hAnsi="Times New Roman" w:eastAsia="方正仿宋_GBK"/>
          <w:color w:val="000000" w:themeColor="text1"/>
          <w:sz w:val="32"/>
          <w:szCs w:val="32"/>
          <w:shd w:val="clear" w:color="auto" w:fill="FFFF00"/>
        </w:rPr>
      </w:pPr>
    </w:p>
    <w:p>
      <w:pPr>
        <w:pStyle w:val="11"/>
        <w:autoSpaceDE w:val="0"/>
        <w:ind w:firstLine="0" w:firstLineChars="0"/>
        <w:rPr>
          <w:rStyle w:val="10"/>
          <w:rFonts w:ascii="Times New Roman" w:hAnsi="Times New Roman" w:eastAsia="方正仿宋_GBK"/>
          <w:color w:val="000000" w:themeColor="text1"/>
          <w:sz w:val="32"/>
          <w:szCs w:val="32"/>
          <w:shd w:val="clear" w:color="auto" w:fill="FFFF00"/>
        </w:rPr>
        <w:sectPr>
          <w:footerReference r:id="rId3" w:type="default"/>
          <w:pgSz w:w="11915" w:h="16840"/>
          <w:pgMar w:top="1984" w:right="1446" w:bottom="1644" w:left="1446" w:header="851" w:footer="1304" w:gutter="0"/>
          <w:pgNumType w:fmt="numberInDash"/>
          <w:cols w:space="0" w:num="1"/>
          <w:docGrid w:type="lines" w:linePitch="312" w:charSpace="0"/>
        </w:sectPr>
      </w:pPr>
    </w:p>
    <w:p>
      <w:pPr>
        <w:rPr>
          <w:rFonts w:hint="default" w:ascii="Times New Roman" w:hAnsi="Times New Roman"/>
          <w:color w:val="000000" w:themeColor="text1"/>
          <w:sz w:val="21"/>
          <w:szCs w:val="21"/>
        </w:rPr>
      </w:pPr>
    </w:p>
    <w:tbl>
      <w:tblPr>
        <w:tblStyle w:val="7"/>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themeColor="text1"/>
                <w:sz w:val="40"/>
                <w:szCs w:val="40"/>
              </w:rPr>
            </w:pPr>
            <w:r>
              <w:rPr>
                <w:rFonts w:hint="default" w:ascii="Times New Roman" w:hAnsi="Times New Roman"/>
                <w:b/>
                <w:color w:val="000000" w:themeColor="text1"/>
                <w:sz w:val="44"/>
                <w:szCs w:val="44"/>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Times New Roman" w:hAnsi="Times New Roman"/>
                <w:color w:val="000000" w:themeColor="text1"/>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themeColor="text1"/>
              </w:rPr>
            </w:pPr>
            <w:r>
              <w:rPr>
                <w:rFonts w:hint="default" w:ascii="Times New Roman" w:hAnsi="Times New Roman"/>
                <w:color w:val="000000" w:themeColor="text1"/>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textAlignment w:val="bottom"/>
              <w:rPr>
                <w:rFonts w:hint="default" w:ascii="Times New Roman" w:hAnsi="Times New Roman"/>
                <w:color w:val="000000" w:themeColor="text1"/>
              </w:rPr>
            </w:pPr>
            <w:r>
              <w:rPr>
                <w:rFonts w:hint="default" w:ascii="Times New Roman" w:hAnsi="Times New Roman"/>
                <w:color w:val="000000" w:themeColor="text1"/>
              </w:rPr>
              <w:t>公开部门：中国共产党垫江县委员会办公室</w:t>
            </w: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Times New Roman" w:hAnsi="Times New Roman"/>
                <w:color w:val="000000" w:themeColor="text1"/>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themeColor="text1"/>
              </w:rPr>
            </w:pPr>
            <w:r>
              <w:rPr>
                <w:rFonts w:hint="default" w:ascii="Times New Roman" w:hAnsi="Times New Roman"/>
                <w:color w:val="000000" w:themeColor="text1"/>
              </w:rPr>
              <w:t>单位：万元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2,398.55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一、一般公共服务支出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2,156.19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二、外交支出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三、国防支出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四、公共安全支出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五、教育支出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1.45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六、科学技术支出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七、文化旅游体育与传媒支出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3.61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八、社会保障和就业支出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206.99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Times New Roman" w:hAnsi="Times New Roman"/>
                <w:color w:val="000000" w:themeColor="text1"/>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九、卫生健康支出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36.89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Times New Roman" w:hAnsi="Times New Roman"/>
                <w:color w:val="000000" w:themeColor="text1"/>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十、节能环保支出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Times New Roman" w:hAnsi="Times New Roman"/>
                <w:color w:val="000000" w:themeColor="text1"/>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十一、城乡社区支出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Times New Roman" w:hAnsi="Times New Roman"/>
                <w:color w:val="000000" w:themeColor="text1"/>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十二、农林水支出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十三、交通运输支出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十四、资源勘探工业信息等支出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十五、商业服务业等支出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十六、金融支出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十七、援助其他地区支出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十八、自然资源海洋气象等支出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十九、住房保障支出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67.49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二十、粮油物资储备支出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二十一、国有资本经营预算支出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二十二、灾害防治及应急管理支出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二十三、其他支出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二十四、债务还本支出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二十五、债务付息支出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二十六、抗疫特别国债安排的支出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2,402.16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本年支出合计</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2,469.00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结余分配</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90.08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年末结转和结余</w:t>
            </w:r>
          </w:p>
        </w:tc>
        <w:tc>
          <w:tcPr>
            <w:tcW w:w="381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23.24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2,492.24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2,492.24 </w:t>
            </w:r>
          </w:p>
        </w:tc>
      </w:tr>
    </w:tbl>
    <w:p>
      <w:pPr>
        <w:rPr>
          <w:rFonts w:hint="default" w:ascii="Times New Roman" w:hAnsi="Times New Roman"/>
          <w:color w:val="000000" w:themeColor="text1"/>
          <w:sz w:val="21"/>
          <w:szCs w:val="21"/>
        </w:rPr>
      </w:pPr>
      <w:r>
        <w:rPr>
          <w:rFonts w:hint="default" w:ascii="Times New Roman" w:hAnsi="Times New Roman"/>
          <w:color w:val="000000" w:themeColor="text1"/>
          <w:sz w:val="21"/>
          <w:szCs w:val="21"/>
        </w:rPr>
        <w:t>备注：1.本表反映部门本年度的总收支和年末结转结余情况。</w:t>
      </w:r>
      <w:r>
        <w:rPr>
          <w:rFonts w:hint="default" w:ascii="Times New Roman" w:hAnsi="Times New Roman"/>
          <w:color w:val="000000" w:themeColor="text1"/>
          <w:sz w:val="21"/>
          <w:szCs w:val="21"/>
        </w:rPr>
        <w:br w:type="textWrapping"/>
      </w:r>
      <w:r>
        <w:rPr>
          <w:rFonts w:hint="default" w:ascii="Times New Roman" w:hAnsi="Times New Roman"/>
          <w:color w:val="000000" w:themeColor="text1"/>
          <w:sz w:val="21"/>
          <w:szCs w:val="21"/>
        </w:rPr>
        <w:t xml:space="preserve">      2.本套报表金额单位转换时可能存在尾数误差。</w:t>
      </w:r>
      <w:r>
        <w:rPr>
          <w:rFonts w:hint="default" w:ascii="Times New Roman" w:hAnsi="Times New Roman"/>
          <w:color w:val="000000" w:themeColor="text1"/>
          <w:sz w:val="21"/>
          <w:szCs w:val="21"/>
        </w:rPr>
        <w:br w:type="textWrapping"/>
      </w:r>
      <w:r>
        <w:rPr>
          <w:rFonts w:hint="default" w:ascii="Times New Roman" w:hAnsi="Times New Roman"/>
          <w:color w:val="000000" w:themeColor="text1"/>
          <w:sz w:val="21"/>
          <w:szCs w:val="21"/>
        </w:rPr>
        <w:br w:type="textWrapping"/>
      </w:r>
    </w:p>
    <w:p>
      <w:pPr>
        <w:rPr>
          <w:rFonts w:hint="default" w:ascii="Times New Roman" w:hAnsi="Times New Roman"/>
          <w:color w:val="000000" w:themeColor="text1"/>
          <w:sz w:val="21"/>
          <w:szCs w:val="21"/>
        </w:rPr>
      </w:pPr>
      <w:r>
        <w:rPr>
          <w:rFonts w:hint="default" w:ascii="Times New Roman" w:hAnsi="Times New Roman"/>
          <w:color w:val="000000" w:themeColor="text1"/>
          <w:sz w:val="21"/>
          <w:szCs w:val="21"/>
        </w:rPr>
        <w:br w:type="page"/>
      </w:r>
    </w:p>
    <w:p>
      <w:pPr>
        <w:rPr>
          <w:rFonts w:hint="default" w:ascii="Times New Roman" w:hAnsi="Times New Roman"/>
          <w:color w:val="000000" w:themeColor="text1"/>
          <w:sz w:val="21"/>
          <w:szCs w:val="21"/>
        </w:rPr>
      </w:pPr>
    </w:p>
    <w:tbl>
      <w:tblPr>
        <w:tblStyle w:val="7"/>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themeColor="text1"/>
                <w:sz w:val="40"/>
                <w:szCs w:val="40"/>
              </w:rPr>
            </w:pPr>
            <w:r>
              <w:rPr>
                <w:rFonts w:hint="default" w:ascii="Times New Roman" w:hAnsi="Times New Roman"/>
                <w:b/>
                <w:color w:val="000000" w:themeColor="text1"/>
                <w:sz w:val="44"/>
                <w:szCs w:val="44"/>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r>
              <w:rPr>
                <w:rFonts w:hint="default" w:ascii="Times New Roman" w:hAnsi="Times New Roman"/>
                <w:color w:val="000000" w:themeColor="text1"/>
              </w:rPr>
              <w:t>公开部门：中国共产党垫江县委员会办公室</w:t>
            </w: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themeColor="text1"/>
              </w:rPr>
            </w:pPr>
            <w:r>
              <w:rPr>
                <w:rFonts w:hint="default" w:ascii="Times New Roman" w:hAnsi="Times New Roman"/>
                <w:color w:val="000000" w:themeColor="text1"/>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themeColor="text1"/>
              </w:rPr>
            </w:pPr>
            <w:r>
              <w:rPr>
                <w:rFonts w:hint="default" w:ascii="Times New Roman" w:hAnsi="Times New Roman"/>
                <w:color w:val="000000" w:themeColor="text1"/>
              </w:rPr>
              <w:t>单位：万元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合计</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bCs/>
                <w:color w:val="000000" w:themeColor="text1"/>
                <w:sz w:val="21"/>
                <w:szCs w:val="21"/>
              </w:rPr>
              <w:t xml:space="preserve">2,402.16 </w:t>
            </w:r>
          </w:p>
        </w:tc>
        <w:tc>
          <w:tcPr>
            <w:tcW w:w="23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bCs/>
                <w:color w:val="000000" w:themeColor="text1"/>
                <w:sz w:val="21"/>
                <w:szCs w:val="21"/>
              </w:rPr>
              <w:t xml:space="preserve">2,398.55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bCs/>
                <w:color w:val="000000" w:themeColor="text1"/>
                <w:sz w:val="21"/>
                <w:szCs w:val="21"/>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bCs/>
                <w:color w:val="000000" w:themeColor="text1"/>
                <w:sz w:val="21"/>
                <w:szCs w:val="21"/>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bCs/>
                <w:color w:val="000000" w:themeColor="text1"/>
                <w:sz w:val="21"/>
                <w:szCs w:val="21"/>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bCs/>
                <w:color w:val="000000" w:themeColor="text1"/>
                <w:sz w:val="21"/>
                <w:szCs w:val="21"/>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bCs/>
                <w:color w:val="000000" w:themeColor="text1"/>
                <w:sz w:val="21"/>
                <w:szCs w:val="21"/>
              </w:rPr>
              <w:t xml:space="preserve"> </w:t>
            </w:r>
          </w:p>
        </w:tc>
        <w:tc>
          <w:tcPr>
            <w:tcW w:w="2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bCs/>
                <w:color w:val="000000" w:themeColor="text1"/>
                <w:sz w:val="21"/>
                <w:szCs w:val="21"/>
              </w:rPr>
              <w:t xml:space="preserve">3.61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2,089.04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2,085.42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3.61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20131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党委办公厅（室）及相关机构事务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2,089.04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2,085.42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3.61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2013101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836.31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832.69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3.61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2013102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933.03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933.03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2013150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319.70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319.70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1.45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1.45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20508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1.45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1.45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2050803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1.45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1.45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207.30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207.30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20801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0.09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0.09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2080102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0.09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0.09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20805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207.22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207.22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2080505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80.04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80.04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2080506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40.02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40.02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2080599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87.15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87.15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36.89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36.89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21011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36.89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36.89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2101101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24.20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24.20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2101102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12.69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12.69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221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67.49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67.49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22102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67.49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67.49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2210201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67.49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67.49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bl>
    <w:p>
      <w:pPr>
        <w:ind w:left="630" w:hanging="630" w:hangingChars="300"/>
        <w:rPr>
          <w:rFonts w:hint="default" w:ascii="Times New Roman" w:hAnsi="Times New Roman"/>
          <w:color w:val="000000" w:themeColor="text1"/>
          <w:sz w:val="21"/>
          <w:szCs w:val="21"/>
        </w:rPr>
      </w:pPr>
      <w:r>
        <w:rPr>
          <w:rFonts w:hint="default" w:ascii="Times New Roman" w:hAnsi="Times New Roman"/>
          <w:color w:val="000000" w:themeColor="text1"/>
          <w:sz w:val="21"/>
          <w:szCs w:val="21"/>
        </w:rPr>
        <w:t>备注：1.本表反映部门本年度取得的各项收入情况。</w:t>
      </w:r>
      <w:r>
        <w:rPr>
          <w:rFonts w:hint="default" w:ascii="Times New Roman" w:hAnsi="Times New Roman"/>
          <w:color w:val="000000" w:themeColor="text1"/>
          <w:sz w:val="21"/>
          <w:szCs w:val="21"/>
        </w:rPr>
        <w:br w:type="textWrapping"/>
      </w:r>
      <w:r>
        <w:rPr>
          <w:rFonts w:hint="default" w:ascii="Times New Roman" w:hAnsi="Times New Roman"/>
          <w:color w:val="000000" w:themeColor="text1"/>
          <w:sz w:val="21"/>
          <w:szCs w:val="21"/>
        </w:rPr>
        <w:t>2.本套报表金额单位转换时可能存在尾数误差。</w:t>
      </w:r>
      <w:r>
        <w:rPr>
          <w:rFonts w:hint="default" w:ascii="Times New Roman" w:hAnsi="Times New Roman"/>
          <w:color w:val="000000" w:themeColor="text1"/>
          <w:sz w:val="21"/>
          <w:szCs w:val="21"/>
        </w:rPr>
        <w:br w:type="textWrapping"/>
      </w:r>
      <w:r>
        <w:rPr>
          <w:rFonts w:hint="default" w:ascii="Times New Roman" w:hAnsi="Times New Roman"/>
          <w:color w:val="000000" w:themeColor="text1"/>
          <w:sz w:val="21"/>
          <w:szCs w:val="21"/>
        </w:rPr>
        <w:br w:type="textWrapping"/>
      </w:r>
    </w:p>
    <w:p>
      <w:pPr>
        <w:rPr>
          <w:rFonts w:hint="default" w:ascii="Times New Roman" w:hAnsi="Times New Roman"/>
          <w:color w:val="000000" w:themeColor="text1"/>
          <w:sz w:val="21"/>
          <w:szCs w:val="21"/>
        </w:rPr>
      </w:pPr>
      <w:r>
        <w:rPr>
          <w:rFonts w:hint="default" w:ascii="Times New Roman" w:hAnsi="Times New Roman"/>
          <w:color w:val="000000" w:themeColor="text1"/>
          <w:sz w:val="21"/>
          <w:szCs w:val="21"/>
        </w:rPr>
        <w:br w:type="page"/>
      </w:r>
    </w:p>
    <w:p>
      <w:pPr>
        <w:ind w:left="630" w:hanging="630" w:hangingChars="300"/>
        <w:rPr>
          <w:rFonts w:hint="default" w:ascii="Times New Roman" w:hAnsi="Times New Roman"/>
          <w:color w:val="000000" w:themeColor="text1"/>
          <w:sz w:val="21"/>
          <w:szCs w:val="21"/>
        </w:rPr>
      </w:pPr>
    </w:p>
    <w:tbl>
      <w:tblPr>
        <w:tblStyle w:val="7"/>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themeColor="text1"/>
                <w:sz w:val="40"/>
                <w:szCs w:val="40"/>
              </w:rPr>
            </w:pPr>
            <w:r>
              <w:rPr>
                <w:rFonts w:hint="default" w:ascii="Times New Roman" w:hAnsi="Times New Roman"/>
                <w:b/>
                <w:color w:val="000000" w:themeColor="text1"/>
                <w:sz w:val="44"/>
                <w:szCs w:val="44"/>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r>
              <w:rPr>
                <w:rFonts w:hint="default" w:ascii="Times New Roman" w:hAnsi="Times New Roman" w:eastAsiaTheme="minorEastAsia"/>
                <w:color w:val="000000" w:themeColor="text1"/>
              </w:rPr>
              <w:t xml:space="preserve">公开部门： </w:t>
            </w:r>
            <w:r>
              <w:rPr>
                <w:rFonts w:hint="default" w:ascii="Times New Roman" w:hAnsi="Times New Roman"/>
                <w:color w:val="000000" w:themeColor="text1"/>
              </w:rPr>
              <w:t xml:space="preserve">中国共产党垫江县委员会办公室 </w:t>
            </w: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themeColor="text1"/>
              </w:rPr>
            </w:pPr>
            <w:r>
              <w:rPr>
                <w:rFonts w:hint="default" w:ascii="Times New Roman" w:hAnsi="Times New Roman"/>
                <w:color w:val="000000" w:themeColor="text1"/>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themeColor="text1"/>
              </w:rPr>
            </w:pPr>
            <w:r>
              <w:rPr>
                <w:rFonts w:hint="default" w:ascii="Times New Roman" w:hAnsi="Times New Roman"/>
                <w:color w:val="000000" w:themeColor="text1"/>
              </w:rPr>
              <w:t>单位：万元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对附属单位补助支出</w:t>
            </w:r>
          </w:p>
        </w:tc>
      </w:tr>
      <w:tr>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合计</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bCs/>
                <w:color w:val="000000" w:themeColor="text1"/>
                <w:sz w:val="21"/>
                <w:szCs w:val="21"/>
              </w:rPr>
              <w:t xml:space="preserve">2,469.00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bCs/>
                <w:color w:val="000000" w:themeColor="text1"/>
                <w:sz w:val="21"/>
                <w:szCs w:val="21"/>
              </w:rPr>
              <w:t xml:space="preserve">1,464.92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bCs/>
                <w:color w:val="000000" w:themeColor="text1"/>
                <w:sz w:val="21"/>
                <w:szCs w:val="21"/>
              </w:rPr>
              <w:t xml:space="preserve">1,004.08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bCs/>
                <w:color w:val="000000" w:themeColor="text1"/>
                <w:sz w:val="21"/>
                <w:szCs w:val="21"/>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bCs/>
                <w:color w:val="000000" w:themeColor="text1"/>
                <w:sz w:val="21"/>
                <w:szCs w:val="21"/>
              </w:rPr>
              <w:t xml:space="preserve"> </w:t>
            </w:r>
          </w:p>
        </w:tc>
        <w:tc>
          <w:tcPr>
            <w:tcW w:w="2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bCs/>
                <w:color w:val="000000" w:themeColor="text1"/>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2,156.19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1,152.20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1,004.00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20131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党委办公厅（室）及相关机构事务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2,156.19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1,152.20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1,004.00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2013101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832.50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832.50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2013102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1,004.00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1,004.00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2013150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319.70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319.70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1.45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1.45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20508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进修及培训</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1.45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1.45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2050803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培训支出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1.45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1.45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206.99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206.90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0.09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20801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0.09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0.09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2080102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0.09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0.09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20805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206.90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206.90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2080505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79.83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79.83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2080506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39.92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39.92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2080599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87.15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87.15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36.89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36.89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21011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36.89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36.89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2101101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24.20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24.20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2101102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12.69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12.69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221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67.49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67.49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22102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67.49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b/>
                <w:color w:val="000000" w:themeColor="text1"/>
                <w:sz w:val="21"/>
                <w:szCs w:val="21"/>
              </w:rPr>
              <w:t xml:space="preserve">67.49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2210201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67.49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67.49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18"/>
                <w:szCs w:val="18"/>
              </w:rPr>
            </w:pPr>
            <w:r>
              <w:rPr>
                <w:rFonts w:hint="default" w:ascii="Times New Roman" w:hAnsi="Times New Roman"/>
                <w:color w:val="000000" w:themeColor="text1"/>
                <w:sz w:val="21"/>
                <w:szCs w:val="21"/>
              </w:rPr>
              <w:t xml:space="preserve"> </w:t>
            </w:r>
          </w:p>
        </w:tc>
      </w:tr>
    </w:tbl>
    <w:p>
      <w:pPr>
        <w:rPr>
          <w:rFonts w:hint="default" w:ascii="Times New Roman" w:hAnsi="Times New Roman"/>
          <w:color w:val="000000" w:themeColor="text1"/>
          <w:sz w:val="21"/>
          <w:szCs w:val="21"/>
        </w:rPr>
      </w:pPr>
      <w:r>
        <w:rPr>
          <w:rFonts w:hint="default" w:ascii="Times New Roman" w:hAnsi="Times New Roman"/>
          <w:color w:val="000000" w:themeColor="text1"/>
          <w:sz w:val="21"/>
          <w:szCs w:val="21"/>
        </w:rPr>
        <w:t>备注：1.本表反映部门本年度各项支出情况。</w:t>
      </w:r>
      <w:r>
        <w:rPr>
          <w:rFonts w:hint="default" w:ascii="Times New Roman" w:hAnsi="Times New Roman"/>
          <w:color w:val="000000" w:themeColor="text1"/>
          <w:sz w:val="21"/>
          <w:szCs w:val="21"/>
        </w:rPr>
        <w:br w:type="textWrapping"/>
      </w:r>
      <w:r>
        <w:rPr>
          <w:rFonts w:hint="default" w:ascii="Times New Roman" w:hAnsi="Times New Roman"/>
          <w:color w:val="000000" w:themeColor="text1"/>
          <w:sz w:val="21"/>
          <w:szCs w:val="21"/>
        </w:rPr>
        <w:t xml:space="preserve">      2.本套报表金额单位转换时可能存在尾数误差。</w:t>
      </w:r>
      <w:r>
        <w:rPr>
          <w:rFonts w:hint="default" w:ascii="Times New Roman" w:hAnsi="Times New Roman"/>
          <w:color w:val="000000" w:themeColor="text1"/>
          <w:sz w:val="21"/>
          <w:szCs w:val="21"/>
        </w:rPr>
        <w:br w:type="textWrapping"/>
      </w:r>
      <w:r>
        <w:rPr>
          <w:rFonts w:hint="default" w:ascii="Times New Roman" w:hAnsi="Times New Roman"/>
          <w:color w:val="000000" w:themeColor="text1"/>
          <w:sz w:val="21"/>
          <w:szCs w:val="21"/>
        </w:rPr>
        <w:br w:type="textWrapping"/>
      </w:r>
    </w:p>
    <w:p>
      <w:pPr>
        <w:rPr>
          <w:rFonts w:hint="default" w:ascii="Times New Roman" w:hAnsi="Times New Roman"/>
          <w:color w:val="000000" w:themeColor="text1"/>
          <w:sz w:val="21"/>
          <w:szCs w:val="21"/>
        </w:rPr>
      </w:pPr>
      <w:r>
        <w:rPr>
          <w:rFonts w:hint="default" w:ascii="Times New Roman" w:hAnsi="Times New Roman"/>
          <w:color w:val="000000" w:themeColor="text1"/>
          <w:sz w:val="21"/>
          <w:szCs w:val="21"/>
        </w:rPr>
        <w:br w:type="page"/>
      </w:r>
    </w:p>
    <w:p>
      <w:pPr>
        <w:rPr>
          <w:rFonts w:hint="default" w:ascii="Times New Roman" w:hAnsi="Times New Roman"/>
          <w:color w:val="000000" w:themeColor="text1"/>
          <w:sz w:val="21"/>
          <w:szCs w:val="21"/>
        </w:rPr>
      </w:pPr>
    </w:p>
    <w:tbl>
      <w:tblPr>
        <w:tblStyle w:val="7"/>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themeColor="text1"/>
                <w:sz w:val="40"/>
                <w:szCs w:val="40"/>
              </w:rPr>
            </w:pPr>
            <w:r>
              <w:rPr>
                <w:rFonts w:hint="default" w:ascii="Times New Roman" w:hAnsi="Times New Roman"/>
                <w:b/>
                <w:color w:val="000000" w:themeColor="text1"/>
                <w:sz w:val="44"/>
                <w:szCs w:val="44"/>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r>
              <w:rPr>
                <w:rFonts w:hint="default" w:ascii="Times New Roman" w:hAnsi="Times New Roman" w:eastAsiaTheme="minorEastAsia"/>
                <w:color w:val="000000" w:themeColor="text1"/>
              </w:rPr>
              <w:t xml:space="preserve">公开部门： </w:t>
            </w:r>
            <w:r>
              <w:rPr>
                <w:rFonts w:hint="default" w:ascii="Times New Roman" w:hAnsi="Times New Roman"/>
                <w:color w:val="000000" w:themeColor="text1"/>
              </w:rPr>
              <w:t>中国共产党垫江县委员会办公室</w:t>
            </w: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themeColor="text1"/>
              </w:rPr>
            </w:pPr>
            <w:r>
              <w:rPr>
                <w:rFonts w:hint="default" w:ascii="Times New Roman" w:hAnsi="Times New Roman"/>
                <w:color w:val="000000" w:themeColor="text1"/>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themeColor="text1"/>
              </w:rPr>
            </w:pPr>
            <w:r>
              <w:rPr>
                <w:rFonts w:hint="default" w:ascii="Times New Roman" w:hAnsi="Times New Roman"/>
                <w:color w:val="000000" w:themeColor="text1"/>
              </w:rPr>
              <w:t>单位：万元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2,398.55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2,156.19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2,156.19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1.45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1.45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206.99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206.99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36.89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36.89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67.49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67.49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Times New Roman" w:hAnsi="Times New Roman"/>
                <w:color w:val="000000" w:themeColor="text1"/>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Times New Roman" w:hAnsi="Times New Roman"/>
                <w:color w:val="000000" w:themeColor="text1"/>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Times New Roman" w:hAnsi="Times New Roman"/>
                <w:color w:val="000000" w:themeColor="text1"/>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2,398.55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2,469.00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2,469.00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87.70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17.25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17.25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87.70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Times New Roman" w:hAnsi="Times New Roman"/>
                <w:color w:val="000000" w:themeColor="text1"/>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2,486.25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2,486.25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2,486.25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bl>
    <w:p>
      <w:pPr>
        <w:rPr>
          <w:rFonts w:hint="default" w:ascii="Times New Roman" w:hAnsi="Times New Roman"/>
          <w:color w:val="000000" w:themeColor="text1"/>
          <w:sz w:val="21"/>
          <w:szCs w:val="21"/>
        </w:rPr>
      </w:pPr>
      <w:r>
        <w:rPr>
          <w:rFonts w:hint="default" w:ascii="Times New Roman" w:hAnsi="Times New Roman"/>
          <w:color w:val="000000" w:themeColor="text1"/>
          <w:sz w:val="21"/>
          <w:szCs w:val="21"/>
        </w:rPr>
        <w:t>备注：1.本表反映部门本年度一般公共预算财政拨款、政府性基金预算财政拨款及国有资本经营预算财政拨款的总收支和年末结转结余情况。</w:t>
      </w:r>
      <w:r>
        <w:rPr>
          <w:rFonts w:hint="default" w:ascii="Times New Roman" w:hAnsi="Times New Roman"/>
          <w:color w:val="000000" w:themeColor="text1"/>
          <w:sz w:val="21"/>
          <w:szCs w:val="21"/>
        </w:rPr>
        <w:br w:type="textWrapping"/>
      </w:r>
      <w:r>
        <w:rPr>
          <w:rFonts w:hint="default" w:ascii="Times New Roman" w:hAnsi="Times New Roman"/>
          <w:color w:val="000000" w:themeColor="text1"/>
          <w:sz w:val="21"/>
          <w:szCs w:val="21"/>
        </w:rPr>
        <w:t xml:space="preserve">      2.本套报表金额单位转换时可能存在尾数误差。</w:t>
      </w:r>
      <w:r>
        <w:rPr>
          <w:rFonts w:hint="default" w:ascii="Times New Roman" w:hAnsi="Times New Roman"/>
          <w:color w:val="000000" w:themeColor="text1"/>
          <w:sz w:val="21"/>
          <w:szCs w:val="21"/>
        </w:rPr>
        <w:br w:type="textWrapping"/>
      </w:r>
      <w:r>
        <w:rPr>
          <w:rFonts w:hint="default" w:ascii="Times New Roman" w:hAnsi="Times New Roman"/>
          <w:color w:val="000000" w:themeColor="text1"/>
          <w:sz w:val="21"/>
          <w:szCs w:val="21"/>
        </w:rPr>
        <w:br w:type="textWrapping"/>
      </w:r>
    </w:p>
    <w:p>
      <w:pPr>
        <w:rPr>
          <w:rFonts w:hint="default" w:ascii="Times New Roman" w:hAnsi="Times New Roman"/>
          <w:color w:val="000000" w:themeColor="text1"/>
          <w:sz w:val="21"/>
          <w:szCs w:val="21"/>
        </w:rPr>
      </w:pPr>
      <w:r>
        <w:rPr>
          <w:rFonts w:hint="default" w:ascii="Times New Roman" w:hAnsi="Times New Roman"/>
          <w:color w:val="000000" w:themeColor="text1"/>
          <w:sz w:val="21"/>
          <w:szCs w:val="21"/>
        </w:rPr>
        <w:br w:type="page"/>
      </w:r>
    </w:p>
    <w:tbl>
      <w:tblPr>
        <w:tblStyle w:val="7"/>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themeColor="text1"/>
                <w:sz w:val="40"/>
                <w:szCs w:val="40"/>
              </w:rPr>
            </w:pPr>
            <w:r>
              <w:rPr>
                <w:rFonts w:hint="default" w:ascii="Times New Roman" w:hAnsi="Times New Roman"/>
                <w:b/>
                <w:color w:val="000000" w:themeColor="text1"/>
                <w:sz w:val="44"/>
                <w:szCs w:val="44"/>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r>
              <w:rPr>
                <w:rFonts w:hint="default" w:ascii="Times New Roman" w:hAnsi="Times New Roman" w:eastAsiaTheme="minorEastAsia"/>
                <w:color w:val="000000" w:themeColor="text1"/>
              </w:rPr>
              <w:t xml:space="preserve">公开部门： </w:t>
            </w:r>
            <w:r>
              <w:rPr>
                <w:rFonts w:hint="default" w:ascii="Times New Roman" w:hAnsi="Times New Roman"/>
                <w:color w:val="000000" w:themeColor="text1"/>
              </w:rPr>
              <w:t>中国共产党垫江县委员会办公室</w:t>
            </w: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themeColor="text1"/>
              </w:rPr>
            </w:pPr>
            <w:r>
              <w:rPr>
                <w:rFonts w:hint="default" w:ascii="Times New Roman" w:hAnsi="Times New Roman"/>
                <w:color w:val="000000" w:themeColor="text1"/>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themeColor="text1"/>
              </w:rPr>
            </w:pPr>
            <w:r>
              <w:rPr>
                <w:rFonts w:hint="default" w:ascii="Times New Roman" w:hAnsi="Times New Roman"/>
                <w:color w:val="000000" w:themeColor="text1"/>
              </w:rPr>
              <w:t>单位：万元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本年支出</w:t>
            </w:r>
          </w:p>
        </w:tc>
      </w:tr>
      <w:tr>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项目支出</w:t>
            </w:r>
          </w:p>
        </w:tc>
      </w:tr>
      <w:tr>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合计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bCs/>
                <w:color w:val="000000" w:themeColor="text1"/>
                <w:sz w:val="21"/>
                <w:szCs w:val="21"/>
              </w:rPr>
              <w:t xml:space="preserve">2,469.00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bCs/>
                <w:color w:val="000000" w:themeColor="text1"/>
                <w:sz w:val="21"/>
                <w:szCs w:val="21"/>
              </w:rPr>
              <w:t xml:space="preserve">1,464.92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bCs/>
                <w:color w:val="000000" w:themeColor="text1"/>
                <w:sz w:val="21"/>
                <w:szCs w:val="21"/>
              </w:rPr>
              <w:t xml:space="preserve">1,004.08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一般公共服务支出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1"/>
                <w:szCs w:val="21"/>
              </w:rPr>
              <w:t xml:space="preserve">2,156.19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1"/>
                <w:szCs w:val="21"/>
              </w:rPr>
              <w:t xml:space="preserve">1,152.20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1"/>
                <w:szCs w:val="21"/>
              </w:rPr>
              <w:t xml:space="preserve">1,004.00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20131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党委办公厅（室）及相关机构事务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1"/>
                <w:szCs w:val="21"/>
              </w:rPr>
              <w:t xml:space="preserve">2,156.19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1"/>
                <w:szCs w:val="21"/>
              </w:rPr>
              <w:t xml:space="preserve">1,152.20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1"/>
                <w:szCs w:val="21"/>
              </w:rPr>
              <w:t xml:space="preserve">1,004.00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2013101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行政运行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832.50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832.50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2013102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1,004.00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1,004.00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2013150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事业运行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319.70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319.70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教育支出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1"/>
                <w:szCs w:val="21"/>
              </w:rPr>
              <w:t xml:space="preserve">1.45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1"/>
                <w:szCs w:val="21"/>
              </w:rPr>
              <w:t xml:space="preserve">1.45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20508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进修及培训</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1"/>
                <w:szCs w:val="21"/>
              </w:rPr>
              <w:t xml:space="preserve">1.45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1"/>
                <w:szCs w:val="21"/>
              </w:rPr>
              <w:t xml:space="preserve">1.45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2050803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培训支出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1.45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1.45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1"/>
                <w:szCs w:val="21"/>
              </w:rPr>
              <w:t xml:space="preserve">206.99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1"/>
                <w:szCs w:val="21"/>
              </w:rPr>
              <w:t xml:space="preserve">206.90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1"/>
                <w:szCs w:val="21"/>
              </w:rPr>
              <w:t xml:space="preserve">0.09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20801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人力资源和社会保障管理事务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1"/>
                <w:szCs w:val="21"/>
              </w:rPr>
              <w:t xml:space="preserve">0.09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1"/>
                <w:szCs w:val="21"/>
              </w:rPr>
              <w:t xml:space="preserve">0.09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2080102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0.09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0.09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20805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1"/>
                <w:szCs w:val="21"/>
              </w:rPr>
              <w:t xml:space="preserve">206.90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1"/>
                <w:szCs w:val="21"/>
              </w:rPr>
              <w:t xml:space="preserve">206.90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2080505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机关事业单位基本养老保险缴费支出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79.83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79.83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2080506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机关事业单位职业年金缴费支出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39.92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39.92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2080599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其他行政事业单位养老支出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87.15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87.15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卫生健康支出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1"/>
                <w:szCs w:val="21"/>
              </w:rPr>
              <w:t xml:space="preserve">36.89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1"/>
                <w:szCs w:val="21"/>
              </w:rPr>
              <w:t xml:space="preserve">36.89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21011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行政事业单位医疗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1"/>
                <w:szCs w:val="21"/>
              </w:rPr>
              <w:t xml:space="preserve">36.89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1"/>
                <w:szCs w:val="21"/>
              </w:rPr>
              <w:t xml:space="preserve">36.89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2101101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行政单位医疗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24.20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24.20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2101102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12.69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12.69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221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住房保障支出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1"/>
                <w:szCs w:val="21"/>
              </w:rPr>
              <w:t xml:space="preserve">67.49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1"/>
                <w:szCs w:val="21"/>
              </w:rPr>
              <w:t xml:space="preserve">67.49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22102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b/>
                <w:color w:val="000000" w:themeColor="text1"/>
                <w:sz w:val="21"/>
                <w:szCs w:val="21"/>
              </w:rPr>
              <w:t>住房改革支出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1"/>
                <w:szCs w:val="21"/>
              </w:rPr>
              <w:t xml:space="preserve">67.49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1"/>
                <w:szCs w:val="21"/>
              </w:rPr>
              <w:t xml:space="preserve">67.49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2210201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住房公积金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67.49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67.49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color w:val="000000" w:themeColor="text1"/>
                <w:sz w:val="21"/>
                <w:szCs w:val="21"/>
              </w:rPr>
              <w:t xml:space="preserve"> </w:t>
            </w:r>
          </w:p>
        </w:tc>
      </w:tr>
    </w:tbl>
    <w:p>
      <w:pPr>
        <w:rPr>
          <w:rFonts w:hint="default" w:ascii="Times New Roman" w:hAnsi="Times New Roman"/>
          <w:color w:val="000000" w:themeColor="text1"/>
          <w:sz w:val="21"/>
          <w:szCs w:val="21"/>
        </w:rPr>
      </w:pPr>
      <w:r>
        <w:rPr>
          <w:rFonts w:hint="default" w:ascii="Times New Roman" w:hAnsi="Times New Roman"/>
          <w:color w:val="000000" w:themeColor="text1"/>
          <w:sz w:val="21"/>
          <w:szCs w:val="21"/>
        </w:rPr>
        <w:t>备注：1.本表反映部门本年度一般公共预算财政拨款支出情况。</w:t>
      </w:r>
      <w:r>
        <w:rPr>
          <w:rFonts w:hint="default" w:ascii="Times New Roman" w:hAnsi="Times New Roman"/>
          <w:color w:val="000000" w:themeColor="text1"/>
          <w:sz w:val="21"/>
          <w:szCs w:val="21"/>
        </w:rPr>
        <w:br w:type="textWrapping"/>
      </w:r>
      <w:r>
        <w:rPr>
          <w:rFonts w:hint="default" w:ascii="Times New Roman" w:hAnsi="Times New Roman"/>
          <w:color w:val="000000" w:themeColor="text1"/>
          <w:sz w:val="21"/>
          <w:szCs w:val="21"/>
        </w:rPr>
        <w:t xml:space="preserve">      2.本套报表金额单位转换时可能存在尾数误差。</w:t>
      </w:r>
      <w:r>
        <w:rPr>
          <w:rFonts w:hint="default" w:ascii="Times New Roman" w:hAnsi="Times New Roman"/>
          <w:color w:val="000000" w:themeColor="text1"/>
          <w:sz w:val="21"/>
          <w:szCs w:val="21"/>
        </w:rPr>
        <w:br w:type="textWrapping"/>
      </w:r>
      <w:r>
        <w:rPr>
          <w:rFonts w:hint="default" w:ascii="Times New Roman" w:hAnsi="Times New Roman"/>
          <w:color w:val="000000" w:themeColor="text1"/>
          <w:sz w:val="21"/>
          <w:szCs w:val="21"/>
        </w:rPr>
        <w:br w:type="textWrapping"/>
      </w:r>
    </w:p>
    <w:p>
      <w:pPr>
        <w:ind w:firstLine="630" w:firstLineChars="300"/>
        <w:rPr>
          <w:rFonts w:hint="default" w:ascii="Times New Roman" w:hAnsi="Times New Roman"/>
          <w:color w:val="000000" w:themeColor="text1"/>
          <w:sz w:val="21"/>
          <w:szCs w:val="21"/>
        </w:rPr>
      </w:pPr>
      <w:r>
        <w:rPr>
          <w:rFonts w:hint="default" w:ascii="Times New Roman" w:hAnsi="Times New Roman"/>
          <w:color w:val="000000" w:themeColor="text1"/>
          <w:sz w:val="21"/>
          <w:szCs w:val="21"/>
        </w:rPr>
        <w:br w:type="page"/>
      </w:r>
    </w:p>
    <w:tbl>
      <w:tblPr>
        <w:tblStyle w:val="7"/>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themeColor="text1"/>
                <w:sz w:val="40"/>
                <w:szCs w:val="40"/>
              </w:rPr>
            </w:pPr>
            <w:r>
              <w:rPr>
                <w:rFonts w:hint="default" w:ascii="Times New Roman" w:hAnsi="Times New Roman"/>
                <w:b/>
                <w:color w:val="000000" w:themeColor="text1"/>
                <w:sz w:val="44"/>
                <w:szCs w:val="44"/>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r>
              <w:rPr>
                <w:rFonts w:hint="default" w:ascii="Times New Roman" w:hAnsi="Times New Roman" w:eastAsiaTheme="minorEastAsia"/>
                <w:color w:val="000000" w:themeColor="text1"/>
              </w:rPr>
              <w:t xml:space="preserve">公开部门： </w:t>
            </w:r>
            <w:r>
              <w:rPr>
                <w:rFonts w:hint="default" w:ascii="Times New Roman" w:hAnsi="Times New Roman"/>
                <w:color w:val="000000" w:themeColor="text1"/>
              </w:rPr>
              <w:t>中国共产党垫江县委员会办公室</w:t>
            </w: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themeColor="text1"/>
              </w:rPr>
            </w:pPr>
            <w:r>
              <w:rPr>
                <w:rFonts w:hint="default" w:ascii="Times New Roman" w:hAnsi="Times New Roman"/>
                <w:color w:val="000000" w:themeColor="text1"/>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themeColor="text1"/>
              </w:rPr>
            </w:pPr>
            <w:r>
              <w:rPr>
                <w:rFonts w:hint="default" w:ascii="Times New Roman" w:hAnsi="Times New Roman"/>
                <w:color w:val="000000" w:themeColor="text1"/>
              </w:rPr>
              <w:t>单位：万元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1,043.84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329.97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200.74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29.17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108.02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8.82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221.13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13.49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195.27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0.34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79.83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39.92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13.16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36.89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6.88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83.14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80.78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18.04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2.27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42.85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1.07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91.11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4.52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11.31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74.30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1.91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9.36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39.97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7.45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5.21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57.98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21.73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49.38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olor w:val="000000" w:themeColor="text1"/>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1,134.95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公用经费合计</w:t>
            </w:r>
          </w:p>
        </w:tc>
        <w:tc>
          <w:tcPr>
            <w:tcW w:w="2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1"/>
                <w:szCs w:val="21"/>
              </w:rPr>
              <w:t xml:space="preserve">329.97 </w:t>
            </w:r>
          </w:p>
        </w:tc>
      </w:tr>
    </w:tbl>
    <w:p>
      <w:pPr>
        <w:rPr>
          <w:rFonts w:hint="default" w:ascii="Times New Roman" w:hAnsi="Times New Roman"/>
          <w:color w:val="000000" w:themeColor="text1"/>
          <w:sz w:val="21"/>
          <w:szCs w:val="21"/>
        </w:rPr>
      </w:pPr>
      <w:r>
        <w:rPr>
          <w:rFonts w:hint="default" w:ascii="Times New Roman" w:hAnsi="Times New Roman"/>
          <w:color w:val="000000" w:themeColor="text1"/>
          <w:sz w:val="21"/>
          <w:szCs w:val="21"/>
        </w:rPr>
        <w:t>备注：1.本表反映部门本年度一般公共预算财政拨款基本支出明细情况。</w:t>
      </w:r>
      <w:r>
        <w:rPr>
          <w:rFonts w:hint="default" w:ascii="Times New Roman" w:hAnsi="Times New Roman"/>
          <w:color w:val="000000" w:themeColor="text1"/>
          <w:sz w:val="21"/>
          <w:szCs w:val="21"/>
        </w:rPr>
        <w:br w:type="textWrapping"/>
      </w:r>
      <w:r>
        <w:rPr>
          <w:rFonts w:hint="default" w:ascii="Times New Roman" w:hAnsi="Times New Roman"/>
          <w:color w:val="000000" w:themeColor="text1"/>
          <w:sz w:val="21"/>
          <w:szCs w:val="21"/>
        </w:rPr>
        <w:t xml:space="preserve">      2.本套报表金额单位转换时可能存在尾数误差。</w:t>
      </w:r>
      <w:r>
        <w:rPr>
          <w:rFonts w:hint="default" w:ascii="Times New Roman" w:hAnsi="Times New Roman"/>
          <w:color w:val="000000" w:themeColor="text1"/>
          <w:sz w:val="21"/>
          <w:szCs w:val="21"/>
        </w:rPr>
        <w:br w:type="textWrapping"/>
      </w:r>
      <w:r>
        <w:rPr>
          <w:rFonts w:hint="default" w:ascii="Times New Roman" w:hAnsi="Times New Roman"/>
          <w:color w:val="000000" w:themeColor="text1"/>
          <w:sz w:val="21"/>
          <w:szCs w:val="21"/>
        </w:rPr>
        <w:br w:type="textWrapping"/>
      </w:r>
    </w:p>
    <w:p>
      <w:pPr>
        <w:rPr>
          <w:rFonts w:hint="default" w:ascii="Times New Roman" w:hAnsi="Times New Roman"/>
          <w:color w:val="000000" w:themeColor="text1"/>
          <w:sz w:val="21"/>
          <w:szCs w:val="21"/>
        </w:rPr>
      </w:pPr>
      <w:r>
        <w:rPr>
          <w:rFonts w:hint="default" w:ascii="Times New Roman" w:hAnsi="Times New Roman"/>
          <w:color w:val="000000" w:themeColor="text1"/>
          <w:sz w:val="21"/>
          <w:szCs w:val="21"/>
        </w:rPr>
        <w:br w:type="page"/>
      </w:r>
    </w:p>
    <w:tbl>
      <w:tblPr>
        <w:tblStyle w:val="7"/>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themeColor="text1"/>
                <w:sz w:val="40"/>
                <w:szCs w:val="40"/>
              </w:rPr>
            </w:pPr>
            <w:r>
              <w:rPr>
                <w:rFonts w:hint="default" w:ascii="Times New Roman" w:hAnsi="Times New Roman"/>
                <w:b/>
                <w:color w:val="000000" w:themeColor="text1"/>
                <w:sz w:val="44"/>
                <w:szCs w:val="44"/>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r>
              <w:rPr>
                <w:rFonts w:hint="default" w:ascii="Times New Roman" w:hAnsi="Times New Roman" w:eastAsiaTheme="minorEastAsia"/>
                <w:color w:val="000000" w:themeColor="text1"/>
              </w:rPr>
              <w:t xml:space="preserve">公开部门： </w:t>
            </w:r>
            <w:r>
              <w:rPr>
                <w:rFonts w:hint="default" w:ascii="Times New Roman" w:hAnsi="Times New Roman"/>
                <w:color w:val="000000" w:themeColor="text1"/>
              </w:rPr>
              <w:t>中国共产党垫江县委员会办公室</w:t>
            </w: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themeColor="text1"/>
              </w:rPr>
            </w:pPr>
            <w:r>
              <w:rPr>
                <w:rFonts w:hint="default" w:ascii="Times New Roman" w:hAnsi="Times New Roman"/>
                <w:color w:val="000000" w:themeColor="text1"/>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themeColor="text1"/>
              </w:rPr>
            </w:pPr>
            <w:r>
              <w:rPr>
                <w:rFonts w:hint="default" w:ascii="Times New Roman" w:hAnsi="Times New Roman"/>
                <w:color w:val="000000" w:themeColor="text1"/>
              </w:rPr>
              <w:t>单位：万元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合计</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bCs/>
                <w:color w:val="000000" w:themeColor="text1"/>
                <w:sz w:val="21"/>
                <w:szCs w:val="21"/>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bCs/>
                <w:color w:val="000000" w:themeColor="text1"/>
                <w:sz w:val="21"/>
                <w:szCs w:val="21"/>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bCs/>
                <w:color w:val="000000" w:themeColor="text1"/>
                <w:sz w:val="21"/>
                <w:szCs w:val="21"/>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bCs/>
                <w:color w:val="000000" w:themeColor="text1"/>
                <w:sz w:val="21"/>
                <w:szCs w:val="21"/>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bCs/>
                <w:color w:val="000000" w:themeColor="text1"/>
                <w:sz w:val="21"/>
                <w:szCs w:val="21"/>
              </w:rPr>
              <w:t xml:space="preserve">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bCs/>
                <w:color w:val="000000" w:themeColor="text1"/>
                <w:sz w:val="21"/>
                <w:szCs w:val="21"/>
              </w:rPr>
              <w:t xml:space="preserve"> </w:t>
            </w:r>
          </w:p>
        </w:tc>
      </w:tr>
    </w:tbl>
    <w:p>
      <w:pPr>
        <w:rPr>
          <w:rFonts w:hint="default" w:ascii="Times New Roman" w:hAnsi="Times New Roman"/>
          <w:color w:val="000000" w:themeColor="text1"/>
          <w:sz w:val="21"/>
          <w:szCs w:val="21"/>
        </w:rPr>
      </w:pPr>
      <w:r>
        <w:rPr>
          <w:rFonts w:hint="default" w:ascii="Times New Roman" w:hAnsi="Times New Roman"/>
          <w:color w:val="000000" w:themeColor="text1"/>
          <w:sz w:val="21"/>
          <w:szCs w:val="21"/>
        </w:rPr>
        <w:t>备注：本表反映部门本年度政府性基金预算财政拨款收入支出及结转和结余情况。本部门无政府性基金收支，故本表无数据。</w:t>
      </w:r>
    </w:p>
    <w:p>
      <w:pPr>
        <w:rPr>
          <w:rFonts w:hint="default" w:ascii="Times New Roman" w:hAnsi="Times New Roman"/>
          <w:color w:val="000000" w:themeColor="text1"/>
          <w:sz w:val="21"/>
          <w:szCs w:val="21"/>
        </w:rPr>
      </w:pPr>
    </w:p>
    <w:p>
      <w:pPr>
        <w:rPr>
          <w:rFonts w:hint="default" w:ascii="Times New Roman" w:hAnsi="Times New Roman"/>
          <w:color w:val="000000" w:themeColor="text1"/>
          <w:sz w:val="21"/>
          <w:szCs w:val="21"/>
        </w:rPr>
      </w:pPr>
    </w:p>
    <w:p>
      <w:pPr>
        <w:rPr>
          <w:rFonts w:hint="default" w:ascii="Times New Roman" w:hAnsi="Times New Roman"/>
          <w:color w:val="000000" w:themeColor="text1"/>
          <w:sz w:val="21"/>
          <w:szCs w:val="21"/>
        </w:rPr>
      </w:pPr>
    </w:p>
    <w:p>
      <w:pPr>
        <w:rPr>
          <w:rFonts w:hint="default" w:ascii="Times New Roman" w:hAnsi="Times New Roman"/>
          <w:color w:val="000000" w:themeColor="text1"/>
          <w:sz w:val="21"/>
          <w:szCs w:val="21"/>
        </w:rPr>
      </w:pPr>
    </w:p>
    <w:p>
      <w:pPr>
        <w:rPr>
          <w:rFonts w:hint="default" w:ascii="Times New Roman" w:hAnsi="Times New Roman"/>
          <w:color w:val="000000" w:themeColor="text1"/>
          <w:sz w:val="21"/>
          <w:szCs w:val="21"/>
        </w:rPr>
      </w:pPr>
    </w:p>
    <w:p>
      <w:pPr>
        <w:rPr>
          <w:rFonts w:hint="default" w:ascii="Times New Roman" w:hAnsi="Times New Roman"/>
          <w:color w:val="000000" w:themeColor="text1"/>
          <w:sz w:val="21"/>
          <w:szCs w:val="21"/>
        </w:rPr>
      </w:pPr>
    </w:p>
    <w:p>
      <w:pPr>
        <w:rPr>
          <w:rFonts w:hint="default" w:ascii="Times New Roman" w:hAnsi="Times New Roman"/>
          <w:color w:val="000000" w:themeColor="text1"/>
          <w:sz w:val="21"/>
          <w:szCs w:val="21"/>
        </w:rPr>
      </w:pPr>
    </w:p>
    <w:p>
      <w:pPr>
        <w:rPr>
          <w:rFonts w:hint="default" w:ascii="Times New Roman" w:hAnsi="Times New Roman"/>
          <w:color w:val="000000" w:themeColor="text1"/>
          <w:sz w:val="21"/>
          <w:szCs w:val="21"/>
        </w:rPr>
      </w:pPr>
    </w:p>
    <w:p>
      <w:pPr>
        <w:rPr>
          <w:rFonts w:hint="default" w:ascii="Times New Roman" w:hAnsi="Times New Roman"/>
          <w:color w:val="000000" w:themeColor="text1"/>
          <w:sz w:val="21"/>
          <w:szCs w:val="21"/>
        </w:rPr>
      </w:pPr>
    </w:p>
    <w:p>
      <w:pPr>
        <w:rPr>
          <w:rFonts w:hint="default" w:ascii="Times New Roman" w:hAnsi="Times New Roman"/>
          <w:color w:val="000000" w:themeColor="text1"/>
          <w:sz w:val="21"/>
          <w:szCs w:val="21"/>
        </w:rPr>
      </w:pPr>
    </w:p>
    <w:p>
      <w:pPr>
        <w:rPr>
          <w:rFonts w:hint="default" w:ascii="Times New Roman" w:hAnsi="Times New Roman"/>
          <w:color w:val="000000" w:themeColor="text1"/>
          <w:sz w:val="21"/>
          <w:szCs w:val="21"/>
        </w:rPr>
      </w:pPr>
    </w:p>
    <w:p>
      <w:pPr>
        <w:rPr>
          <w:rFonts w:hint="default" w:ascii="Times New Roman" w:hAnsi="Times New Roman"/>
          <w:color w:val="000000" w:themeColor="text1"/>
          <w:sz w:val="21"/>
          <w:szCs w:val="21"/>
        </w:rPr>
      </w:pPr>
    </w:p>
    <w:tbl>
      <w:tblPr>
        <w:tblStyle w:val="7"/>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themeColor="text1"/>
                <w:sz w:val="40"/>
                <w:szCs w:val="40"/>
              </w:rPr>
            </w:pPr>
            <w:r>
              <w:rPr>
                <w:rFonts w:hint="default" w:ascii="Times New Roman" w:hAnsi="Times New Roman"/>
                <w:b/>
                <w:color w:val="000000" w:themeColor="text1"/>
                <w:sz w:val="44"/>
                <w:szCs w:val="44"/>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r>
              <w:rPr>
                <w:rFonts w:hint="default" w:ascii="Times New Roman" w:hAnsi="Times New Roman" w:eastAsiaTheme="minorEastAsia"/>
                <w:color w:val="000000" w:themeColor="text1"/>
              </w:rPr>
              <w:t xml:space="preserve">公开部门： </w:t>
            </w:r>
            <w:r>
              <w:rPr>
                <w:rFonts w:hint="default" w:ascii="Times New Roman" w:hAnsi="Times New Roman"/>
                <w:color w:val="000000" w:themeColor="text1"/>
              </w:rPr>
              <w:t>中国共产党垫江县委员会办公室</w:t>
            </w: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themeColor="text1"/>
              </w:rPr>
            </w:pPr>
            <w:r>
              <w:rPr>
                <w:rFonts w:hint="default" w:ascii="Times New Roman" w:hAnsi="Times New Roman"/>
                <w:color w:val="000000" w:themeColor="text1"/>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themeColor="text1"/>
              </w:rPr>
            </w:pPr>
            <w:r>
              <w:rPr>
                <w:rFonts w:hint="default" w:ascii="Times New Roman" w:hAnsi="Times New Roman"/>
                <w:color w:val="000000" w:themeColor="text1"/>
              </w:rPr>
              <w:t>单位：万元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themeColor="text1"/>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合计</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bCs/>
                <w:color w:val="000000" w:themeColor="text1"/>
                <w:sz w:val="21"/>
                <w:szCs w:val="21"/>
              </w:rPr>
              <w:t xml:space="preserve">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themeColor="text1"/>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themeColor="text1"/>
                <w:sz w:val="22"/>
                <w:szCs w:val="22"/>
              </w:rPr>
            </w:pPr>
            <w:r>
              <w:rPr>
                <w:rFonts w:hint="default" w:ascii="Times New Roman" w:hAnsi="Times New Roman"/>
                <w:b/>
                <w:bCs/>
                <w:color w:val="000000" w:themeColor="text1"/>
                <w:sz w:val="21"/>
                <w:szCs w:val="21"/>
              </w:rPr>
              <w:t xml:space="preserve"> </w:t>
            </w:r>
          </w:p>
        </w:tc>
      </w:tr>
    </w:tbl>
    <w:p>
      <w:pPr>
        <w:rPr>
          <w:rFonts w:hint="default" w:ascii="Times New Roman" w:hAnsi="Times New Roman"/>
          <w:color w:val="000000" w:themeColor="text1"/>
          <w:sz w:val="21"/>
          <w:szCs w:val="21"/>
        </w:rPr>
      </w:pPr>
      <w:r>
        <w:rPr>
          <w:rFonts w:hint="default" w:ascii="Times New Roman" w:hAnsi="Times New Roman"/>
          <w:color w:val="000000" w:themeColor="text1"/>
          <w:sz w:val="21"/>
          <w:szCs w:val="21"/>
        </w:rPr>
        <w:t>备注：本表反映部门本年度国有资本经营预算财政拨款支出情况。本部门无国有资本经营收支，故本表无数据。</w:t>
      </w:r>
      <w:r>
        <w:rPr>
          <w:rFonts w:hint="default" w:ascii="Times New Roman" w:hAnsi="Times New Roman"/>
          <w:color w:val="000000" w:themeColor="text1"/>
          <w:sz w:val="21"/>
          <w:szCs w:val="21"/>
        </w:rPr>
        <w:br w:type="textWrapping"/>
      </w:r>
      <w:r>
        <w:rPr>
          <w:rFonts w:hint="default" w:ascii="Times New Roman" w:hAnsi="Times New Roman"/>
          <w:color w:val="000000" w:themeColor="text1"/>
          <w:sz w:val="21"/>
          <w:szCs w:val="21"/>
        </w:rPr>
        <w:br w:type="textWrapping"/>
      </w:r>
    </w:p>
    <w:p>
      <w:pPr>
        <w:rPr>
          <w:rFonts w:hint="default" w:ascii="Times New Roman" w:hAnsi="Times New Roman"/>
          <w:color w:val="000000" w:themeColor="text1"/>
          <w:sz w:val="21"/>
          <w:szCs w:val="21"/>
        </w:rPr>
      </w:pPr>
    </w:p>
    <w:p>
      <w:pPr>
        <w:rPr>
          <w:rFonts w:hint="default" w:ascii="Times New Roman" w:hAnsi="Times New Roman"/>
          <w:color w:val="000000" w:themeColor="text1"/>
          <w:sz w:val="21"/>
          <w:szCs w:val="21"/>
        </w:rPr>
      </w:pPr>
    </w:p>
    <w:p>
      <w:pPr>
        <w:rPr>
          <w:rFonts w:hint="default" w:ascii="Times New Roman" w:hAnsi="Times New Roman"/>
          <w:color w:val="000000" w:themeColor="text1"/>
          <w:sz w:val="21"/>
          <w:szCs w:val="21"/>
        </w:rPr>
      </w:pPr>
    </w:p>
    <w:p>
      <w:pPr>
        <w:rPr>
          <w:rFonts w:hint="default" w:ascii="Times New Roman" w:hAnsi="Times New Roman"/>
          <w:color w:val="000000" w:themeColor="text1"/>
          <w:sz w:val="21"/>
          <w:szCs w:val="21"/>
        </w:rPr>
      </w:pPr>
    </w:p>
    <w:p>
      <w:pPr>
        <w:rPr>
          <w:rFonts w:hint="default" w:ascii="Times New Roman" w:hAnsi="Times New Roman"/>
          <w:color w:val="000000" w:themeColor="text1"/>
          <w:sz w:val="21"/>
          <w:szCs w:val="21"/>
        </w:rPr>
      </w:pPr>
    </w:p>
    <w:p>
      <w:pPr>
        <w:rPr>
          <w:rFonts w:hint="default" w:ascii="Times New Roman" w:hAnsi="Times New Roman"/>
          <w:color w:val="000000" w:themeColor="text1"/>
          <w:sz w:val="21"/>
          <w:szCs w:val="21"/>
        </w:rPr>
      </w:pPr>
    </w:p>
    <w:p>
      <w:pPr>
        <w:rPr>
          <w:rFonts w:hint="default" w:ascii="Times New Roman" w:hAnsi="Times New Roman"/>
          <w:color w:val="000000" w:themeColor="text1"/>
          <w:sz w:val="21"/>
          <w:szCs w:val="21"/>
        </w:rPr>
      </w:pPr>
    </w:p>
    <w:p>
      <w:pPr>
        <w:rPr>
          <w:rFonts w:hint="default" w:ascii="Times New Roman" w:hAnsi="Times New Roman"/>
          <w:color w:val="000000" w:themeColor="text1"/>
          <w:sz w:val="21"/>
          <w:szCs w:val="21"/>
        </w:rPr>
      </w:pPr>
    </w:p>
    <w:p>
      <w:pPr>
        <w:rPr>
          <w:rFonts w:hint="default" w:ascii="Times New Roman" w:hAnsi="Times New Roman"/>
          <w:color w:val="000000" w:themeColor="text1"/>
          <w:sz w:val="21"/>
          <w:szCs w:val="21"/>
        </w:rPr>
      </w:pPr>
    </w:p>
    <w:tbl>
      <w:tblPr>
        <w:tblStyle w:val="7"/>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b/>
                <w:color w:val="000000" w:themeColor="text1"/>
                <w:sz w:val="40"/>
                <w:szCs w:val="40"/>
              </w:rPr>
            </w:pPr>
            <w:r>
              <w:rPr>
                <w:rFonts w:hint="default" w:ascii="Times New Roman" w:hAnsi="Times New Roman"/>
                <w:b/>
                <w:color w:val="000000" w:themeColor="text1"/>
                <w:sz w:val="44"/>
                <w:szCs w:val="44"/>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default" w:ascii="Times New Roman" w:hAnsi="Times New Roman"/>
                <w:color w:val="000000" w:themeColor="text1"/>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Times New Roman" w:hAnsi="Times New Roman"/>
                <w:color w:val="000000" w:themeColor="text1"/>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themeColor="text1"/>
              </w:rPr>
            </w:pPr>
            <w:r>
              <w:rPr>
                <w:rFonts w:hint="default" w:ascii="Times New Roman" w:hAnsi="Times New Roman"/>
                <w:color w:val="000000" w:themeColor="text1"/>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tcMar>
              <w:top w:w="15" w:type="dxa"/>
              <w:left w:w="15" w:type="dxa"/>
              <w:right w:w="15" w:type="dxa"/>
            </w:tcMar>
            <w:vAlign w:val="bottom"/>
          </w:tcPr>
          <w:p>
            <w:pPr>
              <w:textAlignment w:val="bottom"/>
              <w:rPr>
                <w:rFonts w:hint="default" w:ascii="Times New Roman" w:hAnsi="Times New Roman"/>
                <w:color w:val="000000" w:themeColor="text1"/>
                <w:sz w:val="22"/>
                <w:szCs w:val="22"/>
              </w:rPr>
            </w:pPr>
            <w:r>
              <w:rPr>
                <w:rFonts w:hint="default" w:ascii="Times New Roman" w:hAnsi="Times New Roman" w:eastAsiaTheme="minorEastAsia"/>
                <w:color w:val="000000" w:themeColor="text1"/>
              </w:rPr>
              <w:t xml:space="preserve">公开部门： </w:t>
            </w:r>
            <w:r>
              <w:rPr>
                <w:rFonts w:hint="default" w:ascii="Times New Roman" w:hAnsi="Times New Roman"/>
                <w:color w:val="000000" w:themeColor="text1"/>
              </w:rPr>
              <w:t>中国共产党垫江县委员会办公室</w:t>
            </w: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default" w:ascii="Times New Roman" w:hAnsi="Times New Roman"/>
                <w:color w:val="000000" w:themeColor="text1"/>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Times New Roman" w:hAnsi="Times New Roman"/>
                <w:color w:val="000000" w:themeColor="text1"/>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olor w:val="000000" w:themeColor="text1"/>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olor w:val="000000" w:themeColor="text1"/>
              </w:rPr>
            </w:pPr>
            <w:r>
              <w:rPr>
                <w:rFonts w:hint="default" w:ascii="Times New Roman" w:hAnsi="Times New Roman"/>
                <w:color w:val="000000" w:themeColor="text1"/>
              </w:rPr>
              <w:t>单位：万元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themeColor="text1"/>
                <w:sz w:val="22"/>
                <w:szCs w:val="22"/>
              </w:rPr>
            </w:pPr>
            <w:r>
              <w:rPr>
                <w:rFonts w:hint="default" w:ascii="Times New Roman" w:hAnsi="Times New Roman"/>
                <w:b/>
                <w:color w:val="000000" w:themeColor="text1"/>
                <w:sz w:val="22"/>
                <w:szCs w:val="22"/>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295.57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124.35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124.35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295.57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57.98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57.98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4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57.98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57.98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66.37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66.37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1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66.37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2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1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4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326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3,452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11.49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Times New Roman" w:hAnsi="Times New Roman"/>
                <w:color w:val="000000" w:themeColor="text1"/>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Times New Roman" w:hAnsi="Times New Roman"/>
                <w:color w:val="000000" w:themeColor="text1"/>
                <w:sz w:val="22"/>
                <w:szCs w:val="22"/>
              </w:rPr>
            </w:pPr>
            <w:r>
              <w:rPr>
                <w:rFonts w:hint="default" w:ascii="Times New Roman" w:hAnsi="Times New Roman"/>
                <w:color w:val="000000" w:themeColor="text1"/>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Times New Roman" w:hAnsi="Times New Roman"/>
                <w:color w:val="000000" w:themeColor="text1"/>
                <w:sz w:val="20"/>
                <w:szCs w:val="20"/>
              </w:rPr>
            </w:pPr>
            <w:r>
              <w:rPr>
                <w:rFonts w:hint="default" w:ascii="Times New Roman" w:hAnsi="Times New Roman"/>
                <w:color w:val="000000" w:themeColor="text1"/>
                <w:sz w:val="21"/>
                <w:szCs w:val="21"/>
              </w:rPr>
              <w:t xml:space="preserve">13.26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ascii="Times New Roman" w:hAnsi="Times New Roman"/>
                <w:color w:val="000000" w:themeColor="text1"/>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Times New Roman" w:hAnsi="Times New Roman"/>
                <w:color w:val="000000" w:themeColor="text1"/>
                <w:sz w:val="20"/>
                <w:szCs w:val="20"/>
              </w:rPr>
            </w:pPr>
          </w:p>
        </w:tc>
      </w:tr>
    </w:tbl>
    <w:p>
      <w:pPr>
        <w:rPr>
          <w:rFonts w:hint="default" w:ascii="Times New Roman" w:hAnsi="Times New Roman"/>
          <w:color w:val="000000" w:themeColor="text1"/>
          <w:sz w:val="21"/>
          <w:szCs w:val="21"/>
        </w:rPr>
      </w:pPr>
      <w:r>
        <w:rPr>
          <w:rFonts w:hint="default" w:ascii="Times New Roman" w:hAnsi="Times New Roman"/>
          <w:color w:val="000000" w:themeColor="text1"/>
          <w:sz w:val="21"/>
          <w:szCs w:val="21"/>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olor w:val="000000" w:themeColor="text1"/>
          <w:sz w:val="21"/>
          <w:szCs w:val="21"/>
        </w:rPr>
        <w:br w:type="textWrapping"/>
      </w:r>
      <w:r>
        <w:rPr>
          <w:rFonts w:hint="default" w:ascii="Times New Roman" w:hAnsi="Times New Roman"/>
          <w:color w:val="000000" w:themeColor="text1"/>
          <w:sz w:val="21"/>
          <w:szCs w:val="21"/>
        </w:rPr>
        <w:t xml:space="preserve">      2.本套报表金额单位转换时可能存在尾数误差。</w:t>
      </w:r>
      <w:r>
        <w:rPr>
          <w:rFonts w:hint="default" w:ascii="Times New Roman" w:hAnsi="Times New Roman"/>
          <w:color w:val="000000" w:themeColor="text1"/>
          <w:sz w:val="21"/>
          <w:szCs w:val="21"/>
        </w:rPr>
        <w:br w:type="textWrapping"/>
      </w:r>
      <w:r>
        <w:rPr>
          <w:rFonts w:hint="default" w:ascii="Times New Roman" w:hAnsi="Times New Roman"/>
          <w:color w:val="000000" w:themeColor="text1"/>
          <w:sz w:val="21"/>
          <w:szCs w:val="21"/>
        </w:rPr>
        <w:br w:type="textWrapping"/>
      </w:r>
    </w:p>
    <w:p>
      <w:pPr>
        <w:rPr>
          <w:rFonts w:hint="default" w:ascii="Times New Roman" w:hAnsi="Times New Roman"/>
          <w:color w:val="000000" w:themeColor="text1"/>
          <w:sz w:val="21"/>
          <w:szCs w:val="21"/>
        </w:rPr>
      </w:pPr>
    </w:p>
    <w:p>
      <w:pPr>
        <w:rPr>
          <w:rFonts w:hint="default" w:ascii="Times New Roman" w:hAnsi="Times New Roman"/>
          <w:color w:val="000000" w:themeColor="text1"/>
          <w:sz w:val="21"/>
          <w:szCs w:val="21"/>
        </w:rPr>
      </w:pPr>
    </w:p>
    <w:p>
      <w:pPr>
        <w:rPr>
          <w:rFonts w:hint="default" w:ascii="Times New Roman" w:hAnsi="Times New Roman"/>
          <w:color w:val="000000" w:themeColor="text1"/>
          <w:sz w:val="21"/>
          <w:szCs w:val="21"/>
        </w:rPr>
      </w:pPr>
    </w:p>
    <w:p>
      <w:pPr>
        <w:rPr>
          <w:rFonts w:hint="default" w:ascii="Times New Roman" w:hAnsi="Times New Roman"/>
          <w:color w:val="000000" w:themeColor="text1"/>
          <w:sz w:val="21"/>
          <w:szCs w:val="21"/>
        </w:rPr>
      </w:pPr>
    </w:p>
    <w:p>
      <w:pPr>
        <w:rPr>
          <w:rFonts w:hint="default" w:ascii="Times New Roman" w:hAnsi="Times New Roman"/>
          <w:color w:val="000000" w:themeColor="text1"/>
          <w:sz w:val="21"/>
          <w:szCs w:val="21"/>
        </w:rPr>
      </w:pPr>
    </w:p>
    <w:p>
      <w:pPr>
        <w:rPr>
          <w:rFonts w:hint="default" w:ascii="Times New Roman" w:hAnsi="Times New Roman"/>
          <w:color w:val="000000" w:themeColor="text1"/>
          <w:sz w:val="21"/>
          <w:szCs w:val="21"/>
        </w:rPr>
      </w:pPr>
    </w:p>
    <w:p>
      <w:pPr>
        <w:rPr>
          <w:rFonts w:hint="default" w:ascii="Times New Roman" w:hAnsi="Times New Roman"/>
          <w:color w:val="000000" w:themeColor="text1"/>
          <w:sz w:val="21"/>
          <w:szCs w:val="21"/>
        </w:rPr>
      </w:pPr>
    </w:p>
    <w:p>
      <w:pPr>
        <w:rPr>
          <w:rFonts w:hint="default" w:ascii="Times New Roman" w:hAnsi="Times New Roman"/>
          <w:color w:val="000000" w:themeColor="text1"/>
          <w:sz w:val="21"/>
          <w:szCs w:val="21"/>
        </w:rPr>
      </w:pPr>
    </w:p>
    <w:p>
      <w:pPr>
        <w:rPr>
          <w:rFonts w:hint="default" w:ascii="Times New Roman" w:hAnsi="Times New Roman"/>
          <w:color w:val="000000" w:themeColor="text1"/>
          <w:sz w:val="21"/>
          <w:szCs w:val="21"/>
        </w:rPr>
      </w:pPr>
    </w:p>
    <w:p>
      <w:pPr>
        <w:pStyle w:val="11"/>
        <w:autoSpaceDE w:val="0"/>
        <w:ind w:firstLine="0" w:firstLineChars="0"/>
        <w:rPr>
          <w:rFonts w:ascii="Times New Roman" w:hAnsi="Times New Roman"/>
          <w:color w:val="000000" w:themeColor="text1"/>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fldChar w:fldCharType="begin"/>
                </w:r>
                <w:r>
                  <w:rPr>
                    <w:rFonts w:asciiTheme="minorEastAsia" w:hAnsiTheme="minorEastAsia" w:eastAsiaTheme="minorEastAsia" w:cstheme="minorEastAsia"/>
                    <w:sz w:val="28"/>
                    <w:szCs w:val="28"/>
                  </w:rPr>
                  <w:instrText xml:space="preserve"> PAGE  \* MERGEFORMAT </w:instrText>
                </w:r>
                <w:r>
                  <w:rPr>
                    <w:rFonts w:asciiTheme="minorEastAsia" w:hAnsiTheme="minorEastAsia" w:eastAsiaTheme="minorEastAsia" w:cstheme="minorEastAsia"/>
                    <w:sz w:val="28"/>
                    <w:szCs w:val="28"/>
                  </w:rPr>
                  <w:fldChar w:fldCharType="separate"/>
                </w:r>
                <w:r>
                  <w:rPr>
                    <w:rFonts w:hint="default" w:asciiTheme="minorEastAsia" w:hAnsiTheme="minorEastAsia" w:eastAsiaTheme="minorEastAsia" w:cstheme="minorEastAsia"/>
                    <w:sz w:val="28"/>
                    <w:szCs w:val="28"/>
                  </w:rPr>
                  <w:t>- 12 -</w:t>
                </w:r>
                <w:r>
                  <w:rPr>
                    <w:rFonts w:asciiTheme="minorEastAsia" w:hAnsiTheme="minorEastAsia" w:eastAsiaTheme="minorEastAsia" w:cstheme="min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t xml:space="preserve"> </w:t>
                </w: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21 -</w:t>
                </w:r>
                <w:r>
                  <w:rPr>
                    <w:rFonts w:hint="default"/>
                  </w:rPr>
                  <w:fldChar w:fldCharType="end"/>
                </w:r>
                <w:r>
                  <w:t xml:space="preserve"> </w:t>
                </w:r>
              </w:p>
            </w:txbxContent>
          </v:textbox>
        </v:shape>
      </w:pict>
    </w:r>
    <w:r>
      <w:rPr>
        <w:rFonts w:hint="default"/>
      </w:rPr>
      <w:pict>
        <v:shape id="_x0000_s2051" o:spid="_x0000_s205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D1923E"/>
    <w:multiLevelType w:val="singleLevel"/>
    <w:tmpl w:val="66D1923E"/>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4315E"/>
    <w:rsid w:val="000C3581"/>
    <w:rsid w:val="0010455D"/>
    <w:rsid w:val="00140117"/>
    <w:rsid w:val="001B3600"/>
    <w:rsid w:val="001F78CD"/>
    <w:rsid w:val="00255353"/>
    <w:rsid w:val="002A31FA"/>
    <w:rsid w:val="002A57A6"/>
    <w:rsid w:val="002C7D64"/>
    <w:rsid w:val="002E5443"/>
    <w:rsid w:val="003F1A60"/>
    <w:rsid w:val="004738B6"/>
    <w:rsid w:val="004B71CF"/>
    <w:rsid w:val="005101BF"/>
    <w:rsid w:val="00550ABE"/>
    <w:rsid w:val="00580C4A"/>
    <w:rsid w:val="005B2823"/>
    <w:rsid w:val="00607EFD"/>
    <w:rsid w:val="00634096"/>
    <w:rsid w:val="006D49CD"/>
    <w:rsid w:val="007520A2"/>
    <w:rsid w:val="00756B4F"/>
    <w:rsid w:val="00757081"/>
    <w:rsid w:val="00776C3D"/>
    <w:rsid w:val="007B419D"/>
    <w:rsid w:val="0093502C"/>
    <w:rsid w:val="00940EAA"/>
    <w:rsid w:val="0096038E"/>
    <w:rsid w:val="00987976"/>
    <w:rsid w:val="009B67B8"/>
    <w:rsid w:val="00B03CCD"/>
    <w:rsid w:val="00B877D1"/>
    <w:rsid w:val="00C06093"/>
    <w:rsid w:val="00C61036"/>
    <w:rsid w:val="00CA730A"/>
    <w:rsid w:val="00CE4D86"/>
    <w:rsid w:val="00D81B30"/>
    <w:rsid w:val="00E00AFA"/>
    <w:rsid w:val="00E73436"/>
    <w:rsid w:val="00E76362"/>
    <w:rsid w:val="00F73F90"/>
    <w:rsid w:val="00F747EF"/>
    <w:rsid w:val="01474EBF"/>
    <w:rsid w:val="01F3521E"/>
    <w:rsid w:val="023010AE"/>
    <w:rsid w:val="03B87EA0"/>
    <w:rsid w:val="03E3214F"/>
    <w:rsid w:val="044C50BA"/>
    <w:rsid w:val="05BC6D49"/>
    <w:rsid w:val="06194FF1"/>
    <w:rsid w:val="06A2550B"/>
    <w:rsid w:val="06F80EE2"/>
    <w:rsid w:val="07001CCA"/>
    <w:rsid w:val="075678DB"/>
    <w:rsid w:val="076871A5"/>
    <w:rsid w:val="07716DD2"/>
    <w:rsid w:val="079D7CC7"/>
    <w:rsid w:val="08051BCA"/>
    <w:rsid w:val="086C12F4"/>
    <w:rsid w:val="08BA052C"/>
    <w:rsid w:val="08DB07BA"/>
    <w:rsid w:val="092F7B58"/>
    <w:rsid w:val="0969353F"/>
    <w:rsid w:val="098305D0"/>
    <w:rsid w:val="0A5C4B69"/>
    <w:rsid w:val="0A86124A"/>
    <w:rsid w:val="0AB54CC0"/>
    <w:rsid w:val="0B9335CE"/>
    <w:rsid w:val="0C220CB1"/>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7C06D4"/>
    <w:rsid w:val="1B907683"/>
    <w:rsid w:val="1BAA2EDC"/>
    <w:rsid w:val="1C5C0973"/>
    <w:rsid w:val="1CA55E64"/>
    <w:rsid w:val="1D014A01"/>
    <w:rsid w:val="1D022362"/>
    <w:rsid w:val="1D1B04B0"/>
    <w:rsid w:val="1DBD6767"/>
    <w:rsid w:val="1DC52125"/>
    <w:rsid w:val="1DD26311"/>
    <w:rsid w:val="1E374ACB"/>
    <w:rsid w:val="1ECF0A66"/>
    <w:rsid w:val="1EF67CA4"/>
    <w:rsid w:val="1F020D3A"/>
    <w:rsid w:val="1F2C5189"/>
    <w:rsid w:val="1F4B0B02"/>
    <w:rsid w:val="1FBB35CD"/>
    <w:rsid w:val="1FCD26AF"/>
    <w:rsid w:val="20642787"/>
    <w:rsid w:val="21454B70"/>
    <w:rsid w:val="21556F04"/>
    <w:rsid w:val="22403BD3"/>
    <w:rsid w:val="232D77C6"/>
    <w:rsid w:val="23C144C4"/>
    <w:rsid w:val="24B92327"/>
    <w:rsid w:val="24C14514"/>
    <w:rsid w:val="2533755C"/>
    <w:rsid w:val="25791755"/>
    <w:rsid w:val="259B7F24"/>
    <w:rsid w:val="26396DF4"/>
    <w:rsid w:val="27167136"/>
    <w:rsid w:val="27B23302"/>
    <w:rsid w:val="29310A5F"/>
    <w:rsid w:val="29C37A35"/>
    <w:rsid w:val="2A076083"/>
    <w:rsid w:val="2A73162E"/>
    <w:rsid w:val="2B167953"/>
    <w:rsid w:val="2B200583"/>
    <w:rsid w:val="2B8209DE"/>
    <w:rsid w:val="2BDB4E98"/>
    <w:rsid w:val="2C6762A3"/>
    <w:rsid w:val="2D885C72"/>
    <w:rsid w:val="2E0E0827"/>
    <w:rsid w:val="2EBF7B3E"/>
    <w:rsid w:val="2FCA4B37"/>
    <w:rsid w:val="2FE029D7"/>
    <w:rsid w:val="2FF06E00"/>
    <w:rsid w:val="30562E26"/>
    <w:rsid w:val="30586FEC"/>
    <w:rsid w:val="315F0B22"/>
    <w:rsid w:val="319D022C"/>
    <w:rsid w:val="31C90022"/>
    <w:rsid w:val="31D84415"/>
    <w:rsid w:val="31FD4901"/>
    <w:rsid w:val="32285F6F"/>
    <w:rsid w:val="32770556"/>
    <w:rsid w:val="328B4F4A"/>
    <w:rsid w:val="328D6FF1"/>
    <w:rsid w:val="329C0913"/>
    <w:rsid w:val="32AA0460"/>
    <w:rsid w:val="3337290D"/>
    <w:rsid w:val="33E31118"/>
    <w:rsid w:val="33EF7674"/>
    <w:rsid w:val="342D7BC6"/>
    <w:rsid w:val="345630A4"/>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B1705E5"/>
    <w:rsid w:val="3B18334B"/>
    <w:rsid w:val="3B36794F"/>
    <w:rsid w:val="3BE1088D"/>
    <w:rsid w:val="3C566AD6"/>
    <w:rsid w:val="3C6A5B02"/>
    <w:rsid w:val="3CC03FC3"/>
    <w:rsid w:val="3D2757A1"/>
    <w:rsid w:val="3D3D4FC4"/>
    <w:rsid w:val="3DDF3AB1"/>
    <w:rsid w:val="3DE1628E"/>
    <w:rsid w:val="3E1D0952"/>
    <w:rsid w:val="3E42660A"/>
    <w:rsid w:val="3E7555B1"/>
    <w:rsid w:val="3E787ED9"/>
    <w:rsid w:val="3E9E6F8F"/>
    <w:rsid w:val="3EEC37F3"/>
    <w:rsid w:val="3F032E93"/>
    <w:rsid w:val="3F0527E5"/>
    <w:rsid w:val="3F694D83"/>
    <w:rsid w:val="3F885DCC"/>
    <w:rsid w:val="3FCD675E"/>
    <w:rsid w:val="4004000C"/>
    <w:rsid w:val="411B6CE5"/>
    <w:rsid w:val="412070D7"/>
    <w:rsid w:val="41314E40"/>
    <w:rsid w:val="41E0734B"/>
    <w:rsid w:val="422F324A"/>
    <w:rsid w:val="426554D0"/>
    <w:rsid w:val="426C1EA8"/>
    <w:rsid w:val="42736402"/>
    <w:rsid w:val="42E86A87"/>
    <w:rsid w:val="43307B09"/>
    <w:rsid w:val="439F6CFA"/>
    <w:rsid w:val="43BB152F"/>
    <w:rsid w:val="44C37687"/>
    <w:rsid w:val="45CB699A"/>
    <w:rsid w:val="465B470D"/>
    <w:rsid w:val="468347F9"/>
    <w:rsid w:val="469D6AD4"/>
    <w:rsid w:val="471E6C84"/>
    <w:rsid w:val="4748792B"/>
    <w:rsid w:val="475D719D"/>
    <w:rsid w:val="47674801"/>
    <w:rsid w:val="480A4E2B"/>
    <w:rsid w:val="48225EF7"/>
    <w:rsid w:val="488F422B"/>
    <w:rsid w:val="48E36915"/>
    <w:rsid w:val="495C4A24"/>
    <w:rsid w:val="497135DF"/>
    <w:rsid w:val="4A263DF2"/>
    <w:rsid w:val="4A6F6675"/>
    <w:rsid w:val="4B135857"/>
    <w:rsid w:val="4B7951CB"/>
    <w:rsid w:val="4B7C315C"/>
    <w:rsid w:val="4C4404C9"/>
    <w:rsid w:val="4DAC4ACA"/>
    <w:rsid w:val="4DBE01D2"/>
    <w:rsid w:val="4F0C6BA3"/>
    <w:rsid w:val="4F186D58"/>
    <w:rsid w:val="4FEA65B7"/>
    <w:rsid w:val="505A5385"/>
    <w:rsid w:val="50F06B6E"/>
    <w:rsid w:val="52234D33"/>
    <w:rsid w:val="522F6E0C"/>
    <w:rsid w:val="52463BA1"/>
    <w:rsid w:val="52A5203F"/>
    <w:rsid w:val="52F163D4"/>
    <w:rsid w:val="531A2DB4"/>
    <w:rsid w:val="53C0244D"/>
    <w:rsid w:val="53DD4D4E"/>
    <w:rsid w:val="53E578CE"/>
    <w:rsid w:val="541330F0"/>
    <w:rsid w:val="54272666"/>
    <w:rsid w:val="542A294E"/>
    <w:rsid w:val="543B029D"/>
    <w:rsid w:val="54861779"/>
    <w:rsid w:val="552256E1"/>
    <w:rsid w:val="554E5773"/>
    <w:rsid w:val="5556692C"/>
    <w:rsid w:val="555A3CBC"/>
    <w:rsid w:val="5582012B"/>
    <w:rsid w:val="558E4E05"/>
    <w:rsid w:val="55BE2E85"/>
    <w:rsid w:val="56530F5D"/>
    <w:rsid w:val="567700D3"/>
    <w:rsid w:val="56FF7E9E"/>
    <w:rsid w:val="578867FC"/>
    <w:rsid w:val="5842572D"/>
    <w:rsid w:val="58AF05F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967186"/>
    <w:rsid w:val="66B94350"/>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834243"/>
    <w:rsid w:val="79A031D5"/>
    <w:rsid w:val="7A1525F7"/>
    <w:rsid w:val="7B420052"/>
    <w:rsid w:val="7B861484"/>
    <w:rsid w:val="7BB87A43"/>
    <w:rsid w:val="7BD06A28"/>
    <w:rsid w:val="7C3A7C0B"/>
    <w:rsid w:val="7C5248E4"/>
    <w:rsid w:val="7C566698"/>
    <w:rsid w:val="7C5866A3"/>
    <w:rsid w:val="7D7406BB"/>
    <w:rsid w:val="7DB2619B"/>
    <w:rsid w:val="7DE94331"/>
    <w:rsid w:val="7F446A19"/>
    <w:rsid w:val="7F7452B9"/>
    <w:rsid w:val="7FA70A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99"/>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SysCeo.com</Company>
  <Pages>24</Pages>
  <Words>2362</Words>
  <Characters>13469</Characters>
  <Lines>112</Lines>
  <Paragraphs>31</Paragraphs>
  <TotalTime>10</TotalTime>
  <ScaleCrop>false</ScaleCrop>
  <LinksUpToDate>false</LinksUpToDate>
  <CharactersWithSpaces>15800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向毅</cp:lastModifiedBy>
  <dcterms:modified xsi:type="dcterms:W3CDTF">2024-09-10T03:29:09Z</dcterms:modified>
  <dc:title>中国共产党垫江县委员会办公室</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