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2EE3" w:rsidRDefault="00771F38">
      <w:pPr>
        <w:pStyle w:val="a5"/>
        <w:spacing w:before="0" w:beforeAutospacing="0" w:line="594" w:lineRule="exact"/>
        <w:jc w:val="center"/>
        <w:rPr>
          <w:rFonts w:ascii="方正小标宋_GBK" w:eastAsia="方正小标宋_GBK" w:hAnsi="方正小标宋_GBK" w:cs="方正小标宋_GBK" w:hint="default"/>
          <w:sz w:val="44"/>
          <w:szCs w:val="44"/>
          <w:shd w:val="clear" w:color="auto" w:fill="FFFFFF"/>
        </w:rPr>
      </w:pPr>
      <w:r>
        <w:rPr>
          <w:rFonts w:ascii="方正小标宋_GBK" w:eastAsia="方正小标宋_GBK" w:hAnsi="方正小标宋_GBK" w:cs="方正小标宋_GBK"/>
          <w:sz w:val="44"/>
          <w:szCs w:val="44"/>
        </w:rPr>
        <w:t>垫江县信访投诉受理中心</w:t>
      </w:r>
      <w:r>
        <w:rPr>
          <w:rFonts w:ascii="方正小标宋_GBK" w:eastAsia="方正小标宋_GBK" w:hAnsi="方正小标宋_GBK" w:cs="方正小标宋_GBK"/>
          <w:sz w:val="44"/>
          <w:szCs w:val="44"/>
          <w:shd w:val="clear" w:color="auto" w:fill="FFFFFF"/>
        </w:rPr>
        <w:t>2023年度决算</w:t>
      </w:r>
    </w:p>
    <w:p w:rsidR="00832EE3" w:rsidRDefault="00771F38">
      <w:pPr>
        <w:pStyle w:val="a5"/>
        <w:spacing w:before="0" w:beforeAutospacing="0" w:line="594" w:lineRule="exact"/>
        <w:jc w:val="center"/>
        <w:rPr>
          <w:rFonts w:ascii="方正小标宋_GBK" w:eastAsia="方正小标宋_GBK" w:hAnsi="方正小标宋_GBK" w:cs="方正小标宋_GBK" w:hint="default"/>
          <w:sz w:val="44"/>
          <w:szCs w:val="44"/>
          <w:shd w:val="clear" w:color="auto" w:fill="FFFFFF"/>
        </w:rPr>
      </w:pPr>
      <w:r>
        <w:rPr>
          <w:rFonts w:ascii="方正小标宋_GBK" w:eastAsia="方正小标宋_GBK" w:hAnsi="方正小标宋_GBK" w:cs="方正小标宋_GBK"/>
          <w:sz w:val="44"/>
          <w:szCs w:val="44"/>
          <w:shd w:val="clear" w:color="auto" w:fill="FFFFFF"/>
        </w:rPr>
        <w:t>公开说明</w:t>
      </w:r>
    </w:p>
    <w:p w:rsidR="00832EE3" w:rsidRDefault="00771F38">
      <w:pPr>
        <w:pStyle w:val="a5"/>
        <w:shd w:val="clear" w:color="auto" w:fill="FFFFFF"/>
        <w:spacing w:line="594" w:lineRule="exact"/>
        <w:ind w:firstLineChars="200" w:firstLine="643"/>
        <w:rPr>
          <w:rFonts w:ascii="黑体" w:eastAsia="黑体" w:hAnsi="黑体" w:cs="黑体" w:hint="default"/>
          <w:sz w:val="32"/>
          <w:szCs w:val="32"/>
        </w:rPr>
      </w:pPr>
      <w:r>
        <w:rPr>
          <w:rStyle w:val="a6"/>
          <w:rFonts w:ascii="黑体" w:eastAsia="黑体" w:hAnsi="黑体" w:cs="黑体"/>
          <w:sz w:val="32"/>
          <w:szCs w:val="32"/>
          <w:shd w:val="clear" w:color="auto" w:fill="FFFFFF"/>
        </w:rPr>
        <w:t>一、单位基本情况</w:t>
      </w:r>
    </w:p>
    <w:p w:rsidR="00832EE3" w:rsidRDefault="00771F38">
      <w:pPr>
        <w:pStyle w:val="a5"/>
        <w:shd w:val="clear" w:color="auto" w:fill="FFFFFF"/>
        <w:spacing w:line="594" w:lineRule="exact"/>
        <w:ind w:firstLineChars="200" w:firstLine="643"/>
        <w:rPr>
          <w:rFonts w:ascii="楷体" w:eastAsia="楷体" w:hAnsi="楷体" w:cs="楷体" w:hint="default"/>
          <w:b/>
          <w:sz w:val="32"/>
          <w:szCs w:val="32"/>
          <w:shd w:val="clear" w:color="auto" w:fill="FFFFFF"/>
        </w:rPr>
      </w:pPr>
      <w:r>
        <w:rPr>
          <w:rStyle w:val="a6"/>
          <w:rFonts w:ascii="楷体" w:eastAsia="楷体" w:hAnsi="楷体" w:cs="楷体"/>
          <w:sz w:val="32"/>
          <w:szCs w:val="32"/>
          <w:shd w:val="clear" w:color="auto" w:fill="FFFFFF"/>
        </w:rPr>
        <w:t>（一）职能职责</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垫江县信访投诉受理中心其主要职责：畅通信访渠道，促进社会和谐稳定。收集、研判群众来信反映事项；报送社情民意及信访稳定信息；办理群众网上来信及投诉事项；信访信息系统建设、协调和管理；协助县信访办接待群众信访。</w:t>
      </w:r>
    </w:p>
    <w:p w:rsidR="00832EE3" w:rsidRDefault="00771F38">
      <w:pPr>
        <w:pStyle w:val="a5"/>
        <w:shd w:val="clear" w:color="auto" w:fill="FFFFFF"/>
        <w:spacing w:line="594" w:lineRule="exact"/>
        <w:ind w:firstLineChars="200" w:firstLine="643"/>
        <w:rPr>
          <w:rFonts w:ascii="楷体" w:eastAsia="楷体" w:hAnsi="楷体" w:cs="楷体" w:hint="default"/>
          <w:sz w:val="32"/>
          <w:szCs w:val="32"/>
        </w:rPr>
      </w:pPr>
      <w:r>
        <w:rPr>
          <w:rStyle w:val="a6"/>
          <w:rFonts w:ascii="楷体" w:eastAsia="楷体" w:hAnsi="楷体" w:cs="楷体"/>
          <w:sz w:val="32"/>
          <w:szCs w:val="32"/>
          <w:shd w:val="clear" w:color="auto" w:fill="FFFFFF"/>
        </w:rPr>
        <w:t>（二）机构设置</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本信访投诉受理中心内设机构2个：信息网络科、办信科。</w:t>
      </w:r>
    </w:p>
    <w:p w:rsidR="00832EE3" w:rsidRDefault="00771F38">
      <w:pPr>
        <w:pStyle w:val="a5"/>
        <w:shd w:val="clear" w:color="auto" w:fill="FFFFFF"/>
        <w:spacing w:line="594" w:lineRule="exact"/>
        <w:ind w:firstLineChars="200" w:firstLine="643"/>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二、部门决算情况说明</w:t>
      </w:r>
    </w:p>
    <w:p w:rsidR="00832EE3" w:rsidRDefault="00771F38">
      <w:pPr>
        <w:pStyle w:val="a5"/>
        <w:shd w:val="clear" w:color="auto" w:fill="FFFFFF"/>
        <w:spacing w:line="594" w:lineRule="exact"/>
        <w:ind w:firstLineChars="200" w:firstLine="643"/>
        <w:rPr>
          <w:rFonts w:ascii="黑体" w:eastAsia="黑体" w:hAnsi="黑体" w:cs="黑体" w:hint="default"/>
          <w:b/>
          <w:sz w:val="32"/>
          <w:szCs w:val="32"/>
          <w:shd w:val="clear" w:color="auto" w:fill="FFFFFF"/>
        </w:rPr>
      </w:pPr>
      <w:r>
        <w:rPr>
          <w:rFonts w:ascii="楷体" w:eastAsia="楷体" w:hAnsi="楷体" w:cs="楷体"/>
          <w:b/>
          <w:bCs/>
          <w:sz w:val="32"/>
          <w:szCs w:val="32"/>
          <w:shd w:val="clear" w:color="auto" w:fill="FFFFFF"/>
        </w:rPr>
        <w:t>（一）收入支出决算总体情况说明</w:t>
      </w:r>
    </w:p>
    <w:p w:rsidR="00832EE3" w:rsidRDefault="00771F38">
      <w:pPr>
        <w:pStyle w:val="a5"/>
        <w:shd w:val="clear" w:color="auto" w:fill="FFFFFF"/>
        <w:spacing w:line="594" w:lineRule="exact"/>
        <w:ind w:firstLineChars="200" w:firstLine="643"/>
        <w:rPr>
          <w:rFonts w:ascii="仿宋" w:eastAsia="仿宋" w:hAnsi="仿宋" w:cs="方正仿宋_GBK" w:hint="default"/>
          <w:sz w:val="32"/>
          <w:szCs w:val="32"/>
        </w:rPr>
      </w:pPr>
      <w:r>
        <w:rPr>
          <w:rFonts w:ascii="仿宋" w:eastAsia="仿宋" w:hAnsi="仿宋" w:cs="方正仿宋_GBK"/>
          <w:b/>
          <w:sz w:val="32"/>
          <w:szCs w:val="32"/>
        </w:rPr>
        <w:t>1.总体情况。</w:t>
      </w:r>
      <w:r>
        <w:rPr>
          <w:rFonts w:ascii="仿宋" w:eastAsia="仿宋" w:hAnsi="仿宋" w:cs="方正仿宋_GBK"/>
          <w:sz w:val="32"/>
          <w:szCs w:val="32"/>
        </w:rPr>
        <w:t>2023年度收入总计184.84万元，支出总计184.84万元。收支较</w:t>
      </w:r>
      <w:r>
        <w:rPr>
          <w:rFonts w:ascii="仿宋" w:eastAsia="仿宋" w:hAnsi="仿宋" w:cs="方正仿宋_GBK"/>
          <w:b/>
          <w:sz w:val="32"/>
          <w:szCs w:val="32"/>
        </w:rPr>
        <w:t>上年</w:t>
      </w:r>
      <w:r>
        <w:rPr>
          <w:rFonts w:ascii="仿宋" w:eastAsia="仿宋" w:hAnsi="仿宋" w:cs="方正仿宋_GBK"/>
          <w:sz w:val="32"/>
          <w:szCs w:val="32"/>
        </w:rPr>
        <w:t>决算数减少3.56万元，下降1.89%，主要原因是基本收入人员经费减少，人员较上年减少1人。</w:t>
      </w:r>
    </w:p>
    <w:p w:rsidR="00832EE3" w:rsidRDefault="00771F38">
      <w:pPr>
        <w:pStyle w:val="a5"/>
        <w:shd w:val="clear" w:color="auto" w:fill="FFFFFF"/>
        <w:spacing w:line="594" w:lineRule="exact"/>
        <w:ind w:firstLineChars="200" w:firstLine="643"/>
        <w:rPr>
          <w:rFonts w:ascii="仿宋" w:eastAsia="仿宋" w:hAnsi="仿宋" w:cs="方正仿宋_GBK" w:hint="default"/>
          <w:sz w:val="32"/>
          <w:szCs w:val="32"/>
        </w:rPr>
      </w:pPr>
      <w:r>
        <w:rPr>
          <w:rFonts w:ascii="仿宋" w:eastAsia="仿宋" w:hAnsi="仿宋" w:cs="方正仿宋_GBK"/>
          <w:b/>
          <w:sz w:val="32"/>
          <w:szCs w:val="32"/>
        </w:rPr>
        <w:lastRenderedPageBreak/>
        <w:t>2.收入情况。</w:t>
      </w:r>
      <w:r>
        <w:rPr>
          <w:rFonts w:ascii="仿宋" w:eastAsia="仿宋" w:hAnsi="仿宋" w:cs="方正仿宋_GBK"/>
          <w:sz w:val="32"/>
          <w:szCs w:val="32"/>
        </w:rPr>
        <w:t>2023年度收入合计184.84万元，较上年决算数减少3.56万元，下降1.89%，主要原因是基本收入人员经费减少，人员较上年减少1人。其中：财政拨款收入184.84万元，占100.00%；事业收入0.00万元，占0.00%；经营收入0.00万元，占0.00%；其他收入0.00万元，占0.00%。此外，使用非财政拨款结余和专用结余0.00万元，年初结转和结余0.00万元。</w:t>
      </w:r>
    </w:p>
    <w:p w:rsidR="00832EE3" w:rsidRDefault="00771F38">
      <w:pPr>
        <w:pStyle w:val="a5"/>
        <w:snapToGrid w:val="0"/>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shd w:val="clear" w:color="auto" w:fill="FFFFFF"/>
        </w:rPr>
      </w:pPr>
      <w:r>
        <w:rPr>
          <w:rFonts w:ascii="仿宋" w:eastAsia="仿宋" w:hAnsi="仿宋" w:cs="方正仿宋_GBK"/>
          <w:b/>
          <w:sz w:val="32"/>
          <w:szCs w:val="32"/>
        </w:rPr>
        <w:t>3.支出情况。</w:t>
      </w:r>
      <w:r>
        <w:rPr>
          <w:rFonts w:ascii="仿宋" w:eastAsia="仿宋" w:hAnsi="仿宋" w:cs="方正仿宋_GBK"/>
          <w:sz w:val="32"/>
          <w:szCs w:val="32"/>
        </w:rPr>
        <w:t>2023年度支出合计184.84万元，较上年决算数减少3.56万元，下降1.89%，主要原因是基本收入人员经费减少，人员较上年减少1人。其中：基本支出184.84万元，占100.00%；项目支出0.00万元，占0.00%；经营支出0.00万元，占0.00%。此外，结余分配0.00万元。</w:t>
      </w:r>
    </w:p>
    <w:p w:rsidR="00832EE3" w:rsidRDefault="00771F38">
      <w:pPr>
        <w:spacing w:line="594" w:lineRule="exact"/>
        <w:ind w:firstLineChars="200" w:firstLine="643"/>
        <w:rPr>
          <w:rFonts w:ascii="仿宋" w:eastAsia="仿宋" w:hAnsi="仿宋" w:cs="方正仿宋_GBK" w:hint="default"/>
          <w:sz w:val="32"/>
          <w:szCs w:val="32"/>
        </w:rPr>
      </w:pPr>
      <w:r>
        <w:rPr>
          <w:rFonts w:ascii="仿宋" w:eastAsia="仿宋" w:hAnsi="仿宋" w:cs="方正仿宋_GBK"/>
          <w:b/>
          <w:sz w:val="32"/>
          <w:szCs w:val="32"/>
        </w:rPr>
        <w:t>4.结转结余情况。</w:t>
      </w:r>
      <w:r>
        <w:rPr>
          <w:rFonts w:ascii="仿宋" w:eastAsia="仿宋" w:hAnsi="仿宋" w:cs="方正仿宋_GBK"/>
          <w:sz w:val="32"/>
          <w:szCs w:val="32"/>
        </w:rPr>
        <w:t>2023年度年末结转和结余0.00万元，较上年决算数无增减，主要原因是本单位2023年度末无结转结余。</w:t>
      </w:r>
    </w:p>
    <w:p w:rsidR="00832EE3" w:rsidRDefault="00771F38">
      <w:pPr>
        <w:pStyle w:val="a5"/>
        <w:snapToGrid w:val="0"/>
        <w:spacing w:before="0" w:beforeAutospacing="0" w:after="0" w:afterAutospacing="0" w:line="594" w:lineRule="exact"/>
        <w:ind w:firstLineChars="200" w:firstLine="643"/>
        <w:jc w:val="both"/>
        <w:rPr>
          <w:rFonts w:ascii="楷体" w:eastAsia="楷体" w:hAnsi="楷体" w:cs="楷体" w:hint="default"/>
          <w:b/>
          <w:bCs/>
          <w:sz w:val="32"/>
          <w:szCs w:val="32"/>
          <w:shd w:val="clear" w:color="auto" w:fill="FFFFFF"/>
        </w:rPr>
      </w:pPr>
      <w:r>
        <w:rPr>
          <w:rFonts w:ascii="楷体" w:eastAsia="楷体" w:hAnsi="楷体" w:cs="楷体"/>
          <w:b/>
          <w:bCs/>
          <w:sz w:val="32"/>
          <w:szCs w:val="32"/>
          <w:shd w:val="clear" w:color="auto" w:fill="FFFFFF"/>
        </w:rPr>
        <w:t>（二）财政拨款收入支出决算总体情况说明</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2023年度财政拨款收、支总计184.84万元。与2022年相比，财政拨款收、支总计各减少3.56万元，下降1.89%。主要原因是基本收入人员经费减少，人员较上年减少1人。</w:t>
      </w:r>
    </w:p>
    <w:p w:rsidR="00832EE3" w:rsidRDefault="00771F38">
      <w:pPr>
        <w:pStyle w:val="1"/>
        <w:autoSpaceDE w:val="0"/>
        <w:spacing w:line="594" w:lineRule="exact"/>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（三）一般公共预算财政拨款收入支出决算情况说明</w:t>
      </w:r>
    </w:p>
    <w:p w:rsidR="00832EE3" w:rsidRDefault="00771F38">
      <w:pPr>
        <w:pStyle w:val="a5"/>
        <w:snapToGrid w:val="0"/>
        <w:spacing w:before="0" w:beforeAutospacing="0" w:after="0" w:afterAutospacing="0" w:line="594" w:lineRule="exact"/>
        <w:ind w:firstLineChars="200" w:firstLine="643"/>
        <w:jc w:val="both"/>
        <w:rPr>
          <w:rFonts w:ascii="仿宋" w:eastAsia="仿宋" w:hAnsi="仿宋" w:cs="方正仿宋_GBK" w:hint="default"/>
          <w:sz w:val="32"/>
          <w:szCs w:val="32"/>
        </w:rPr>
      </w:pPr>
      <w:r>
        <w:rPr>
          <w:rFonts w:ascii="仿宋" w:eastAsia="仿宋" w:hAnsi="仿宋" w:cs="方正仿宋_GBK"/>
          <w:b/>
          <w:sz w:val="32"/>
          <w:szCs w:val="32"/>
        </w:rPr>
        <w:t>1.收入情况。</w:t>
      </w:r>
      <w:r>
        <w:rPr>
          <w:rFonts w:ascii="方正仿宋_GBK" w:eastAsia="方正仿宋_GBK" w:hAnsi="方正仿宋_GBK" w:cs="方正仿宋_GBK"/>
          <w:sz w:val="32"/>
          <w:szCs w:val="32"/>
          <w:shd w:val="clear" w:color="auto" w:fill="FFFFFF"/>
        </w:rPr>
        <w:t>2</w:t>
      </w:r>
      <w:r>
        <w:rPr>
          <w:rFonts w:ascii="仿宋" w:eastAsia="仿宋" w:hAnsi="仿宋" w:cs="方正仿宋_GBK"/>
          <w:sz w:val="32"/>
          <w:szCs w:val="32"/>
        </w:rPr>
        <w:t>023年度一般公共预算财政拨款收入184.84万元，较上年决算数减少3.56万元，下降1.89%。主要原因是基本收入人员经费减少，人员较上年减少1人。</w:t>
      </w:r>
      <w:r>
        <w:rPr>
          <w:rFonts w:ascii="仿宋" w:eastAsia="仿宋" w:hAnsi="仿宋" w:cs="方正仿宋_GBK"/>
          <w:sz w:val="32"/>
          <w:szCs w:val="32"/>
        </w:rPr>
        <w:lastRenderedPageBreak/>
        <w:t>较年初预算数增加26.68万元，增长16.87%。主要原因是补发了2020年-2022年超额绩效工资。此外，年初财政拨款结转和结余0.00万元。</w:t>
      </w:r>
    </w:p>
    <w:p w:rsidR="00832EE3" w:rsidRDefault="00771F38">
      <w:pPr>
        <w:pStyle w:val="a5"/>
        <w:snapToGrid w:val="0"/>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rPr>
      </w:pPr>
      <w:r>
        <w:rPr>
          <w:rFonts w:ascii="仿宋" w:eastAsia="仿宋" w:hAnsi="仿宋" w:cs="方正仿宋_GBK"/>
          <w:b/>
          <w:sz w:val="32"/>
          <w:szCs w:val="32"/>
        </w:rPr>
        <w:t>2.支出情况。</w:t>
      </w:r>
      <w:r>
        <w:rPr>
          <w:rFonts w:ascii="仿宋" w:eastAsia="仿宋" w:hAnsi="仿宋" w:cs="方正仿宋_GBK"/>
          <w:sz w:val="32"/>
          <w:szCs w:val="32"/>
        </w:rPr>
        <w:t>2023年度一般公共预算财政拨款支出184.84万元，较上年决算数减少3.56万元，下降1.89%。主要原因是基本收入人员经费减少，人员较上年减少1人。</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较年初预算数增加26.68万元，增长16.87%。主要原因是补发了2020年-2022年超额绩效工资。</w:t>
      </w:r>
    </w:p>
    <w:p w:rsidR="00832EE3" w:rsidRDefault="00771F38">
      <w:pPr>
        <w:spacing w:line="594" w:lineRule="exact"/>
        <w:ind w:firstLineChars="200" w:firstLine="643"/>
        <w:rPr>
          <w:rFonts w:ascii="仿宋" w:eastAsia="仿宋" w:hAnsi="仿宋" w:cs="方正仿宋_GBK" w:hint="default"/>
          <w:sz w:val="32"/>
          <w:szCs w:val="32"/>
        </w:rPr>
      </w:pPr>
      <w:r>
        <w:rPr>
          <w:rFonts w:ascii="仿宋" w:eastAsia="仿宋" w:hAnsi="仿宋" w:cs="方正仿宋_GBK"/>
          <w:b/>
          <w:sz w:val="32"/>
          <w:szCs w:val="32"/>
        </w:rPr>
        <w:t>3.结转结余情况。</w:t>
      </w:r>
      <w:r>
        <w:rPr>
          <w:rFonts w:ascii="仿宋" w:eastAsia="仿宋" w:hAnsi="仿宋" w:cs="方正仿宋_GBK"/>
          <w:sz w:val="32"/>
          <w:szCs w:val="32"/>
        </w:rPr>
        <w:t>2023年度年末一般公共预算财政拨款结转和结余0.00万元，较上年决算数无增减，主要原因是本单位2023年度末无结转结余。</w:t>
      </w:r>
    </w:p>
    <w:p w:rsidR="00832EE3" w:rsidRDefault="00771F38">
      <w:pPr>
        <w:pStyle w:val="a5"/>
        <w:snapToGrid w:val="0"/>
        <w:spacing w:before="0" w:beforeAutospacing="0" w:after="0" w:afterAutospacing="0" w:line="594" w:lineRule="exact"/>
        <w:ind w:firstLineChars="200" w:firstLine="643"/>
        <w:jc w:val="both"/>
        <w:rPr>
          <w:rFonts w:ascii="仿宋" w:eastAsia="仿宋" w:hAnsi="仿宋" w:cs="方正仿宋_GBK" w:hint="default"/>
          <w:sz w:val="32"/>
          <w:szCs w:val="32"/>
        </w:rPr>
      </w:pPr>
      <w:r>
        <w:rPr>
          <w:rFonts w:ascii="仿宋" w:eastAsia="仿宋" w:hAnsi="仿宋" w:cs="方正仿宋_GBK"/>
          <w:b/>
          <w:sz w:val="32"/>
          <w:szCs w:val="32"/>
        </w:rPr>
        <w:t>4.比较情况。</w:t>
      </w:r>
      <w:r>
        <w:rPr>
          <w:rFonts w:ascii="仿宋" w:eastAsia="仿宋" w:hAnsi="仿宋" w:cs="方正仿宋_GBK"/>
          <w:sz w:val="32"/>
          <w:szCs w:val="32"/>
        </w:rPr>
        <w:t>本部门2023年度一般公共预算财政拨款支出主要用于以下几个方面：</w:t>
      </w:r>
      <w:r>
        <w:rPr>
          <w:rFonts w:ascii="仿宋" w:eastAsia="仿宋" w:hAnsi="仿宋" w:cs="方正仿宋_GBK" w:hint="default"/>
          <w:sz w:val="32"/>
          <w:szCs w:val="32"/>
        </w:rPr>
        <w:t xml:space="preserve"> </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（1）一般公共服务支出153.54万元，占83.07%，较年初预算数增加23.61万元，增长18.17%，主要原因是补发了2020年-2022年超额绩效工资。</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（2）教育支出0.48万元，占0.26%，较年初预算数无增减，主要原因是年末较预算数无变化。</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（3）社会保障与就业支出15.31万元，占8.28%，较年初预算数增加0.83万元，增长5.73%，主要原因是人员基本工资调增。</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lastRenderedPageBreak/>
        <w:t>（4）卫生健康支出6.41万元，占3.47%，较年初预算数增加0.38万元，增长6.30%，主要原因是人员基本工资调增。</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（5）住房保障支出9.10万元，占4.92%，较年初预算数增加1.86万元，增长25.69%，主要原因是人员基本工资调增。</w:t>
      </w:r>
    </w:p>
    <w:p w:rsidR="00832EE3" w:rsidRDefault="00771F38">
      <w:pPr>
        <w:spacing w:line="594" w:lineRule="exact"/>
        <w:ind w:firstLineChars="200" w:firstLine="640"/>
        <w:rPr>
          <w:rFonts w:ascii="楷体" w:eastAsia="楷体" w:hAnsi="楷体" w:cs="方正仿宋_GBK" w:hint="default"/>
          <w:sz w:val="32"/>
          <w:szCs w:val="32"/>
        </w:rPr>
      </w:pPr>
      <w:r>
        <w:rPr>
          <w:rFonts w:ascii="楷体" w:eastAsia="楷体" w:hAnsi="楷体" w:cs="方正仿宋_GBK"/>
          <w:sz w:val="32"/>
          <w:szCs w:val="32"/>
        </w:rPr>
        <w:t>（四）一般公共预算财政拨款基本支出决算情况说明</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2023年度一般公共财政拨款基本支出184.84万元。其中：人员经费164.48万元，较上年决算数增加2.39万元，增长1.47%，主要原因是人员基本工资调增，人员经费用途主要包括岗位工资、薪级工资、保留津贴补贴、基础绩效、超额绩效。公用经费20.36万元，较上年决算数减少5.95万元，下降22.61%，主要原因是厉行节约，减少开支。公用经费用途主要包括办公费、邮电费、印刷费、差旅费、工会费、培训费、公务接待费、福利费、其他商品和服务支出。</w:t>
      </w:r>
    </w:p>
    <w:p w:rsidR="00832EE3" w:rsidRDefault="00771F38">
      <w:pPr>
        <w:spacing w:line="594" w:lineRule="exact"/>
        <w:ind w:firstLineChars="200" w:firstLine="640"/>
        <w:rPr>
          <w:rFonts w:ascii="楷体" w:eastAsia="楷体" w:hAnsi="楷体" w:cs="方正仿宋_GBK" w:hint="default"/>
          <w:sz w:val="32"/>
          <w:szCs w:val="32"/>
        </w:rPr>
      </w:pPr>
      <w:r>
        <w:rPr>
          <w:rFonts w:ascii="楷体" w:eastAsia="楷体" w:hAnsi="楷体" w:cs="方正仿宋_GBK"/>
          <w:sz w:val="32"/>
          <w:szCs w:val="32"/>
        </w:rPr>
        <w:t>（五）政府性基金预算收支决算情况说明</w:t>
      </w:r>
    </w:p>
    <w:p w:rsidR="00832EE3" w:rsidRDefault="00771F38">
      <w:pPr>
        <w:spacing w:line="594" w:lineRule="exact"/>
        <w:ind w:firstLineChars="200" w:firstLine="640"/>
        <w:rPr>
          <w:rFonts w:ascii="仿宋" w:eastAsia="仿宋" w:hAnsi="仿宋" w:cs="方正仿宋_GBK" w:hint="default"/>
          <w:sz w:val="32"/>
          <w:szCs w:val="32"/>
        </w:rPr>
      </w:pPr>
      <w:r w:rsidRPr="00077999">
        <w:rPr>
          <w:rFonts w:ascii="Times New Roman" w:eastAsia="方正仿宋_GBK" w:hAnsi="Times New Roman"/>
          <w:color w:val="000000" w:themeColor="text1"/>
          <w:sz w:val="32"/>
          <w:szCs w:val="32"/>
          <w:shd w:val="clear" w:color="auto" w:fill="FFFFFF"/>
        </w:rPr>
        <w:t>2023</w:t>
      </w:r>
      <w:r w:rsidRPr="00077999">
        <w:rPr>
          <w:rFonts w:ascii="Times New Roman" w:eastAsia="方正仿宋_GBK" w:hAnsi="Times New Roman"/>
          <w:color w:val="000000" w:themeColor="text1"/>
          <w:sz w:val="32"/>
          <w:szCs w:val="32"/>
          <w:shd w:val="clear" w:color="auto" w:fill="FFFFFF"/>
        </w:rPr>
        <w:t>年度政府性基金预算财政拨款年初结转结余</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万元，年末结转结余</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万元。本年收入</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万元，较上年决算数无增减，主要原因是本年度无政府性基金预算财政拨款收入。本年支出</w:t>
      </w:r>
      <w:r w:rsidRPr="00077999">
        <w:rPr>
          <w:rFonts w:ascii="Times New Roman" w:eastAsia="方正仿宋_GBK" w:hAnsi="Times New Roman"/>
          <w:color w:val="000000" w:themeColor="text1"/>
          <w:sz w:val="32"/>
          <w:szCs w:val="32"/>
          <w:shd w:val="clear" w:color="auto" w:fill="FFFFFF"/>
        </w:rPr>
        <w:t>0.00</w:t>
      </w:r>
      <w:r w:rsidRPr="00077999">
        <w:rPr>
          <w:rFonts w:ascii="Times New Roman" w:eastAsia="方正仿宋_GBK" w:hAnsi="Times New Roman"/>
          <w:color w:val="000000" w:themeColor="text1"/>
          <w:sz w:val="32"/>
          <w:szCs w:val="32"/>
          <w:shd w:val="clear" w:color="auto" w:fill="FFFFFF"/>
        </w:rPr>
        <w:t>万元，较上年决算数无增减，主要原因是本年度无政府性基金预算财政拨款支出。本</w:t>
      </w:r>
      <w:r>
        <w:rPr>
          <w:rFonts w:ascii="Times New Roman" w:eastAsia="方正仿宋_GBK" w:hAnsi="Times New Roman"/>
          <w:color w:val="000000" w:themeColor="text1"/>
          <w:sz w:val="32"/>
          <w:szCs w:val="32"/>
          <w:shd w:val="clear" w:color="auto" w:fill="FFFFFF"/>
        </w:rPr>
        <w:t>单位</w:t>
      </w:r>
      <w:r w:rsidRPr="00077999">
        <w:rPr>
          <w:rFonts w:ascii="Times New Roman" w:eastAsia="方正仿宋_GBK" w:hAnsi="Times New Roman"/>
          <w:color w:val="000000" w:themeColor="text1"/>
          <w:sz w:val="32"/>
          <w:szCs w:val="32"/>
          <w:shd w:val="clear" w:color="auto" w:fill="FFFFFF"/>
        </w:rPr>
        <w:t>2023</w:t>
      </w:r>
      <w:r w:rsidRPr="00077999">
        <w:rPr>
          <w:rFonts w:ascii="Times New Roman" w:eastAsia="方正仿宋_GBK" w:hAnsi="Times New Roman"/>
          <w:color w:val="000000" w:themeColor="text1"/>
          <w:sz w:val="32"/>
          <w:szCs w:val="32"/>
          <w:shd w:val="clear" w:color="auto" w:fill="FFFFFF"/>
        </w:rPr>
        <w:t>年度无政府性基金预算财政拨款收支。</w:t>
      </w:r>
    </w:p>
    <w:p w:rsidR="00832EE3" w:rsidRDefault="00771F38">
      <w:pPr>
        <w:spacing w:line="594" w:lineRule="exact"/>
        <w:ind w:firstLineChars="200" w:firstLine="640"/>
        <w:rPr>
          <w:rFonts w:ascii="楷体" w:eastAsia="楷体" w:hAnsi="楷体" w:cs="方正仿宋_GBK" w:hint="default"/>
          <w:sz w:val="32"/>
          <w:szCs w:val="32"/>
        </w:rPr>
      </w:pPr>
      <w:r>
        <w:rPr>
          <w:rFonts w:ascii="楷体" w:eastAsia="楷体" w:hAnsi="楷体" w:cs="方正仿宋_GBK"/>
          <w:sz w:val="32"/>
          <w:szCs w:val="32"/>
        </w:rPr>
        <w:t>（六）国有资本经营预算财政拨款支出决算情况说明</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lastRenderedPageBreak/>
        <w:t>本部门2023年度无国有资本经营预算财政拨款支出。</w:t>
      </w:r>
    </w:p>
    <w:p w:rsidR="00832EE3" w:rsidRDefault="00771F38">
      <w:pPr>
        <w:pStyle w:val="a5"/>
        <w:shd w:val="clear" w:color="auto" w:fill="FFFFFF"/>
        <w:spacing w:line="594" w:lineRule="exact"/>
        <w:ind w:firstLineChars="200" w:firstLine="643"/>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三、“三公”经费情况说明</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hint="eastAsia"/>
          <w:sz w:val="32"/>
          <w:szCs w:val="32"/>
        </w:rPr>
        <w:t>（一）“三公”经费支出总体情况说明</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2023年度“三公”经费支出共计0.97万元，较年初预算数减少0.03万元，下降3.00%，主要原因是厉行节约，减少开支。较上年支出数增加0.55万元，增长130.95%，主要原因是信访工作量大，任务重，支出较上年增加。</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hint="eastAsia"/>
          <w:sz w:val="32"/>
          <w:szCs w:val="32"/>
        </w:rPr>
        <w:t>（二）“三公”经费分项支出情况</w:t>
      </w:r>
    </w:p>
    <w:p w:rsidR="00771F38" w:rsidRPr="002528F8" w:rsidRDefault="00771F38" w:rsidP="00771F38">
      <w:pPr>
        <w:adjustRightInd w:val="0"/>
        <w:snapToGrid w:val="0"/>
        <w:spacing w:line="600" w:lineRule="exact"/>
        <w:ind w:firstLineChars="200" w:firstLine="640"/>
        <w:rPr>
          <w:rFonts w:ascii="方正仿宋_GBK" w:eastAsia="方正仿宋_GBK" w:hAnsi="方正仿宋_GBK" w:cs="方正仿宋_GBK"/>
          <w:sz w:val="32"/>
          <w:szCs w:val="32"/>
          <w:shd w:val="clear" w:color="auto" w:fill="FFFFFF"/>
        </w:rPr>
      </w:pPr>
      <w:r w:rsidRPr="002528F8">
        <w:rPr>
          <w:rFonts w:ascii="方正仿宋_GBK" w:eastAsia="方正仿宋_GBK" w:hAnsi="方正仿宋_GBK" w:cs="方正仿宋_GBK"/>
          <w:sz w:val="32"/>
          <w:szCs w:val="32"/>
          <w:shd w:val="clear" w:color="auto" w:fill="FFFFFF"/>
        </w:rPr>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rsidR="00771F38" w:rsidRPr="002528F8" w:rsidRDefault="00771F38" w:rsidP="00771F38">
      <w:pPr>
        <w:adjustRightInd w:val="0"/>
        <w:snapToGrid w:val="0"/>
        <w:spacing w:line="600" w:lineRule="exact"/>
        <w:ind w:firstLineChars="200" w:firstLine="640"/>
        <w:rPr>
          <w:rFonts w:ascii="方正仿宋_GBK" w:eastAsia="方正仿宋_GBK" w:hAnsi="方正仿宋_GBK" w:cs="方正仿宋_GBK"/>
          <w:sz w:val="32"/>
          <w:szCs w:val="32"/>
          <w:shd w:val="clear" w:color="auto" w:fill="FFFFFF"/>
        </w:rPr>
      </w:pPr>
      <w:r w:rsidRPr="002528F8">
        <w:rPr>
          <w:rFonts w:ascii="方正仿宋_GBK" w:eastAsia="方正仿宋_GBK" w:hAnsi="方正仿宋_GBK" w:cs="方正仿宋_GBK"/>
          <w:sz w:val="32"/>
          <w:szCs w:val="32"/>
          <w:shd w:val="clear" w:color="auto" w:fill="FFFFFF"/>
        </w:rPr>
        <w:t xml:space="preserve"> 公务车购置费0.00万元。费用支出较年初预算数无增减，主要原因是年初预算数未安排且本年未发生公务车购置费用。较上年支出数无增减，主要原因是上年和本年均未发生公务车购置费用。</w:t>
      </w:r>
    </w:p>
    <w:p w:rsidR="00832EE3" w:rsidRDefault="00771F38" w:rsidP="00771F38">
      <w:pPr>
        <w:spacing w:line="594" w:lineRule="exact"/>
        <w:ind w:firstLineChars="200" w:firstLine="640"/>
        <w:rPr>
          <w:rFonts w:ascii="仿宋" w:eastAsia="仿宋" w:hAnsi="仿宋" w:cs="方正仿宋_GBK" w:hint="default"/>
          <w:sz w:val="32"/>
          <w:szCs w:val="32"/>
        </w:rPr>
      </w:pPr>
      <w:r w:rsidRPr="002528F8">
        <w:rPr>
          <w:rFonts w:ascii="方正仿宋_GBK" w:eastAsia="方正仿宋_GBK" w:hAnsi="方正仿宋_GBK" w:cs="方正仿宋_GBK"/>
          <w:sz w:val="32"/>
          <w:szCs w:val="32"/>
          <w:shd w:val="clear" w:color="auto" w:fill="FFFFFF"/>
        </w:rPr>
        <w:t xml:space="preserve"> 公务车运行维护费0.00万元。费用支出较年初预算数无增减，主要原因是年初预算数未安排且本年未发生公务车运行维护费用。较上年支出数无增减，主要原因是上年和本年均未发生公务车运行维护费用。</w:t>
      </w:r>
      <w:r>
        <w:rPr>
          <w:rFonts w:ascii="仿宋" w:eastAsia="仿宋" w:hAnsi="仿宋" w:cs="方正仿宋_GBK"/>
          <w:sz w:val="32"/>
          <w:szCs w:val="32"/>
        </w:rPr>
        <w:t> </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lastRenderedPageBreak/>
        <w:t>公务接待费0.97万元，主要用于接待信访集访、接访、到市到京稳定工作。费用支出较年初预算数减少0.03万元，下降3.00%，主要原因是厉行节约，减少开支。较上年支出数增加0.55万元，增长130.95%，主要原因是信访工作量大，任务重，支出较上年增加。</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sz w:val="32"/>
          <w:szCs w:val="32"/>
        </w:rPr>
        <w:t>（三）“三公”经费实物量情况</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2023年度本部门因公出国（境）共计0个团组，0人；公务用车购置0辆，公务车保有量为0辆；国内公务接待14批次98人，其中：国内外事接待0批次，0人；国（境）外公务接待0批次，0人。2023年本部门人均接待费99.27元，车均购置费0万元，车均维护费0万元。</w:t>
      </w:r>
    </w:p>
    <w:p w:rsidR="00832EE3" w:rsidRDefault="00771F38">
      <w:pPr>
        <w:pStyle w:val="a5"/>
        <w:shd w:val="clear" w:color="auto" w:fill="FFFFFF"/>
        <w:spacing w:line="594" w:lineRule="exact"/>
        <w:ind w:firstLineChars="200" w:firstLine="643"/>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四、其他需要说明的事项</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sz w:val="32"/>
          <w:szCs w:val="32"/>
        </w:rPr>
        <w:t>（一）财政拨款会议费和培训费情况说明</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本年度会议费支出0.00万元，较上年决算数无增减，主要原因是与上年持平。本年度培训费支出0.48万元，较上年决算数无增减，主要原因是与上年持平。</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sz w:val="32"/>
          <w:szCs w:val="32"/>
        </w:rPr>
        <w:t>（二）机关运行经费情况说明</w:t>
      </w:r>
    </w:p>
    <w:p w:rsidR="00832EE3" w:rsidRDefault="00771F38">
      <w:pPr>
        <w:spacing w:line="594" w:lineRule="exact"/>
        <w:ind w:firstLineChars="200" w:firstLine="640"/>
        <w:rPr>
          <w:rFonts w:ascii="仿宋" w:eastAsia="仿宋" w:hAnsi="仿宋" w:cs="方正仿宋_GBK" w:hint="default"/>
          <w:sz w:val="32"/>
          <w:szCs w:val="32"/>
        </w:rPr>
      </w:pPr>
      <w:r w:rsidRPr="00771F38">
        <w:rPr>
          <w:rFonts w:ascii="仿宋" w:eastAsia="仿宋" w:hAnsi="仿宋" w:cs="方正仿宋_GBK" w:hint="default"/>
          <w:sz w:val="32"/>
          <w:szCs w:val="32"/>
        </w:rPr>
        <w:t>2023年度本部门机关运行经费支出0.00万元，机关运行经费较上年支出数无增减，主要原因是按照部门决算列报口径，我单位不在机关运行经费统计范围之内。</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hint="eastAsia"/>
          <w:sz w:val="32"/>
          <w:szCs w:val="32"/>
        </w:rPr>
        <w:t>（三）国有资产占用情况说明</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lastRenderedPageBreak/>
        <w:t>截至2023年12月31日，本部门共有车辆0辆，其中，副部（省）级及以上领导用车0辆、主要负责人用车0辆、机要通信用车0辆、应急保障用车0辆、执法执勤用车0辆，特种专业技术用车0辆，离退休干部用车0辆。单价100万元（含）以上专用设备0台（套）。</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hint="eastAsia"/>
          <w:sz w:val="32"/>
          <w:szCs w:val="32"/>
        </w:rPr>
        <w:t>（四）政府采购支出情况说明</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2023年度本部门政府采购支出总额0.00万元，其中：政府采购货物支出0.00万元、政府采购工程支出0.00万元、政府采购服务支出0.00万元。授予中小企业合同金额0.00万元，占政府采购支出总额的0%，其中：授予小微企业合同金额0.00万元，占政府采购支出总额的0 %。主要是2023年度我单位未发生政府采购事项，无相关经费支出。</w:t>
      </w:r>
    </w:p>
    <w:p w:rsidR="00832EE3" w:rsidRDefault="00771F38">
      <w:pPr>
        <w:pStyle w:val="a5"/>
        <w:numPr>
          <w:ilvl w:val="0"/>
          <w:numId w:val="1"/>
        </w:numPr>
        <w:shd w:val="clear" w:color="auto" w:fill="FFFFFF"/>
        <w:spacing w:line="594" w:lineRule="exact"/>
        <w:ind w:firstLineChars="200" w:firstLine="643"/>
        <w:rPr>
          <w:rStyle w:val="a6"/>
          <w:rFonts w:ascii="黑体" w:eastAsia="黑体" w:hAnsi="黑体" w:cs="黑体" w:hint="default"/>
          <w:sz w:val="32"/>
          <w:szCs w:val="32"/>
          <w:shd w:val="clear" w:color="auto" w:fill="FFFFFF"/>
        </w:rPr>
      </w:pPr>
      <w:r>
        <w:rPr>
          <w:rStyle w:val="a6"/>
          <w:rFonts w:ascii="黑体" w:eastAsia="黑体" w:hAnsi="黑体" w:cs="黑体"/>
          <w:sz w:val="32"/>
          <w:szCs w:val="32"/>
          <w:shd w:val="clear" w:color="auto" w:fill="FFFFFF"/>
        </w:rPr>
        <w:t>预算绩效管理情况说明</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hint="eastAsia"/>
          <w:sz w:val="32"/>
          <w:szCs w:val="32"/>
        </w:rPr>
        <w:t>（一）单位自评情况</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2023年度本单位无项目，故无绩效自评。</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hint="eastAsia"/>
          <w:sz w:val="32"/>
          <w:szCs w:val="32"/>
        </w:rPr>
        <w:t>（二）单位绩效评价情况</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我单位未组织开展绩效评价。</w:t>
      </w:r>
    </w:p>
    <w:p w:rsidR="00832EE3" w:rsidRDefault="00771F38">
      <w:pPr>
        <w:pStyle w:val="1"/>
        <w:autoSpaceDE w:val="0"/>
        <w:spacing w:line="594" w:lineRule="exact"/>
        <w:ind w:firstLine="640"/>
        <w:rPr>
          <w:rFonts w:ascii="楷体" w:eastAsia="楷体" w:hAnsi="楷体" w:cs="方正仿宋_GBK"/>
          <w:sz w:val="32"/>
          <w:szCs w:val="32"/>
        </w:rPr>
      </w:pPr>
      <w:r>
        <w:rPr>
          <w:rFonts w:ascii="楷体" w:eastAsia="楷体" w:hAnsi="楷体" w:cs="方正仿宋_GBK" w:hint="eastAsia"/>
          <w:sz w:val="32"/>
          <w:szCs w:val="32"/>
        </w:rPr>
        <w:t>（三）财政绩效评价情况</w:t>
      </w:r>
    </w:p>
    <w:p w:rsidR="00832EE3" w:rsidRDefault="00771F38">
      <w:pPr>
        <w:spacing w:line="594" w:lineRule="exact"/>
        <w:ind w:firstLineChars="200" w:firstLine="640"/>
        <w:rPr>
          <w:rFonts w:ascii="仿宋" w:eastAsia="仿宋" w:hAnsi="仿宋" w:cs="方正仿宋_GBK" w:hint="default"/>
          <w:sz w:val="32"/>
          <w:szCs w:val="32"/>
        </w:rPr>
      </w:pPr>
      <w:r>
        <w:rPr>
          <w:rFonts w:ascii="仿宋" w:eastAsia="仿宋" w:hAnsi="仿宋" w:cs="方正仿宋_GBK"/>
          <w:sz w:val="32"/>
          <w:szCs w:val="32"/>
        </w:rPr>
        <w:t>县财政局未委托第三方对我单位开展绩效评价。</w:t>
      </w:r>
    </w:p>
    <w:p w:rsidR="00832EE3" w:rsidRDefault="00771F38">
      <w:pPr>
        <w:pStyle w:val="a5"/>
        <w:shd w:val="clear" w:color="auto" w:fill="FFFFFF"/>
        <w:spacing w:line="594" w:lineRule="exact"/>
        <w:ind w:firstLineChars="200" w:firstLine="643"/>
        <w:rPr>
          <w:rStyle w:val="a6"/>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 </w:t>
      </w:r>
      <w:r>
        <w:rPr>
          <w:rStyle w:val="a6"/>
          <w:rFonts w:ascii="黑体" w:eastAsia="黑体" w:hAnsi="黑体" w:cs="黑体"/>
          <w:sz w:val="32"/>
          <w:szCs w:val="32"/>
          <w:shd w:val="clear" w:color="auto" w:fill="FFFFFF"/>
        </w:rPr>
        <w:t>六、专业名词解释</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bookmarkStart w:id="0" w:name="_GoBack"/>
      <w:bookmarkEnd w:id="0"/>
      <w:r>
        <w:rPr>
          <w:rFonts w:ascii="楷体" w:eastAsia="楷体" w:hAnsi="楷体" w:cs="方正仿宋_GBK"/>
          <w:sz w:val="32"/>
          <w:szCs w:val="32"/>
        </w:rPr>
        <w:lastRenderedPageBreak/>
        <w:t>（一）财政拨款收入：</w:t>
      </w:r>
      <w:r>
        <w:rPr>
          <w:rFonts w:ascii="仿宋" w:eastAsia="仿宋" w:hAnsi="仿宋" w:cs="方正仿宋_GBK"/>
          <w:sz w:val="32"/>
          <w:szCs w:val="32"/>
        </w:rPr>
        <w:t>指本年度从本级财政部门取得的财政拨款，包括一般公共预算财政拨款和政府性基金预算财政拨款。</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（二）事业收入：</w:t>
      </w:r>
      <w:r>
        <w:rPr>
          <w:rFonts w:ascii="仿宋" w:eastAsia="仿宋" w:hAnsi="仿宋" w:cs="方正仿宋_GBK"/>
          <w:sz w:val="32"/>
          <w:szCs w:val="32"/>
        </w:rPr>
        <w:t>指事业单位开展专业业务活动及其辅助活动取得的现金流入；事业单位收到的财政专户实际核拨的教育收费等资金在此反映。</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（三）经营收入：</w:t>
      </w:r>
      <w:r>
        <w:rPr>
          <w:rFonts w:ascii="仿宋" w:eastAsia="仿宋" w:hAnsi="仿宋" w:cs="方正仿宋_GBK"/>
          <w:sz w:val="32"/>
          <w:szCs w:val="32"/>
        </w:rPr>
        <w:t>指事业单位在专业业务活动及其辅助活动之外开展非独立核算经营活动取得的现金流入。</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（四）其他收入：</w:t>
      </w:r>
      <w:r>
        <w:rPr>
          <w:rFonts w:ascii="仿宋" w:eastAsia="仿宋" w:hAnsi="仿宋" w:cs="方正仿宋_GBK"/>
          <w:sz w:val="32"/>
          <w:szCs w:val="32"/>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（五）使用非财政拨款结余：</w:t>
      </w:r>
      <w:r>
        <w:rPr>
          <w:rFonts w:ascii="仿宋" w:eastAsia="仿宋" w:hAnsi="仿宋" w:cs="方正仿宋_GBK"/>
          <w:sz w:val="32"/>
          <w:szCs w:val="32"/>
        </w:rPr>
        <w:t>指单位在当年的“财政拨款收入”、“事业收入”、</w:t>
      </w:r>
      <w:r>
        <w:rPr>
          <w:rFonts w:ascii="楷体" w:eastAsia="楷体" w:hAnsi="楷体" w:cs="方正仿宋_GBK"/>
          <w:sz w:val="32"/>
          <w:szCs w:val="32"/>
        </w:rPr>
        <w:t>“经营收入”</w:t>
      </w:r>
      <w:r>
        <w:rPr>
          <w:rFonts w:ascii="仿宋" w:eastAsia="仿宋" w:hAnsi="仿宋" w:cs="方正仿宋_GBK"/>
          <w:sz w:val="32"/>
          <w:szCs w:val="32"/>
        </w:rPr>
        <w:t>、“其他收入”等不足以安排当年支出的情况下，使用以前年度积累的非财政拨款结余弥补本年度收支缺口的资金。</w:t>
      </w:r>
    </w:p>
    <w:p w:rsidR="00832EE3" w:rsidRDefault="00771F38">
      <w:pPr>
        <w:pStyle w:val="a5"/>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楷体" w:eastAsia="楷体" w:hAnsi="楷体" w:cs="方正仿宋_GBK"/>
          <w:sz w:val="32"/>
          <w:szCs w:val="32"/>
        </w:rPr>
        <w:t>（六）年初结转和结余：</w:t>
      </w:r>
      <w:r>
        <w:rPr>
          <w:rFonts w:ascii="仿宋" w:eastAsia="仿宋" w:hAnsi="仿宋" w:cs="方正仿宋_GBK"/>
          <w:sz w:val="32"/>
          <w:szCs w:val="32"/>
        </w:rPr>
        <w:t>指单位上年结转本年使用的基本支出结转、项目支出结转和结余、经营结余。</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lastRenderedPageBreak/>
        <w:t>（七）结余分配：</w:t>
      </w:r>
      <w:r>
        <w:rPr>
          <w:rFonts w:ascii="仿宋" w:eastAsia="仿宋" w:hAnsi="仿宋" w:cs="方正仿宋_GBK"/>
          <w:sz w:val="32"/>
          <w:szCs w:val="32"/>
        </w:rPr>
        <w:t>指单位按照国家有关规定，缴纳所得税、提取专用基金、转入非财政拨款结余等当年结余的分配情况。</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（八）年末结转和结余：</w:t>
      </w:r>
      <w:r>
        <w:rPr>
          <w:rFonts w:ascii="仿宋" w:eastAsia="仿宋" w:hAnsi="仿宋" w:cs="方正仿宋_GBK"/>
          <w:sz w:val="32"/>
          <w:szCs w:val="32"/>
        </w:rPr>
        <w:t>指单位结转下年的基本支出结转、项目支出结转和结余、经营结余。</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（九）基本支出：</w:t>
      </w:r>
      <w:r>
        <w:rPr>
          <w:rFonts w:ascii="仿宋" w:eastAsia="仿宋" w:hAnsi="仿宋" w:cs="方正仿宋_GBK"/>
          <w:sz w:val="32"/>
          <w:szCs w:val="32"/>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（十）项目支出：</w:t>
      </w:r>
      <w:r>
        <w:rPr>
          <w:rFonts w:ascii="仿宋" w:eastAsia="仿宋" w:hAnsi="仿宋" w:cs="方正仿宋_GBK"/>
          <w:sz w:val="32"/>
          <w:szCs w:val="32"/>
        </w:rPr>
        <w:t>指在基本支出之外为完成特定行政任务和事业发展目标所发生的支出。</w:t>
      </w:r>
    </w:p>
    <w:p w:rsidR="00832EE3" w:rsidRDefault="00771F38">
      <w:pPr>
        <w:pStyle w:val="a5"/>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楷体" w:eastAsia="楷体" w:hAnsi="楷体" w:cs="方正仿宋_GBK"/>
          <w:sz w:val="32"/>
          <w:szCs w:val="32"/>
        </w:rPr>
        <w:t>（十一）经营支出：</w:t>
      </w:r>
      <w:r>
        <w:rPr>
          <w:rFonts w:ascii="仿宋" w:eastAsia="仿宋" w:hAnsi="仿宋" w:cs="方正仿宋_GBK"/>
          <w:sz w:val="32"/>
          <w:szCs w:val="32"/>
        </w:rPr>
        <w:t>指事业单位在专业业务活动及其辅助活动之外开展非独立核算经营活动发生的支出。</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（十二）“三公”经费：</w:t>
      </w:r>
      <w:r>
        <w:rPr>
          <w:rFonts w:ascii="仿宋" w:eastAsia="仿宋" w:hAnsi="仿宋" w:cs="方正仿宋_GBK"/>
          <w:sz w:val="32"/>
          <w:szCs w:val="32"/>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lastRenderedPageBreak/>
        <w:t>（十三）机关运行经费：</w:t>
      </w:r>
      <w:r>
        <w:rPr>
          <w:rFonts w:ascii="仿宋" w:eastAsia="仿宋" w:hAnsi="仿宋" w:cs="方正仿宋_GBK"/>
          <w:sz w:val="32"/>
          <w:szCs w:val="32"/>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（十四）工资福利支出（支出经济分类科目类级）：</w:t>
      </w:r>
      <w:r>
        <w:rPr>
          <w:rFonts w:ascii="仿宋" w:eastAsia="仿宋" w:hAnsi="仿宋" w:cs="方正仿宋_GBK"/>
          <w:sz w:val="32"/>
          <w:szCs w:val="32"/>
        </w:rPr>
        <w:t>反映单位开支的在职职工和编制外长期聘用人员的各类劳动报酬，以及为上述人员缴纳的各项社会保险费等。</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（十五）商品和服务支出（支出经济分类科目类级）：</w:t>
      </w:r>
      <w:r>
        <w:rPr>
          <w:rFonts w:ascii="仿宋" w:eastAsia="仿宋" w:hAnsi="仿宋" w:cs="方正仿宋_GBK"/>
          <w:sz w:val="32"/>
          <w:szCs w:val="32"/>
        </w:rPr>
        <w:t>反映单位购买商品和服务的支出（不包括用于购置固定资产的支出、战略性和应急储备支出）。</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（十六）对个人和家庭的补助（支出经济分类科目类级）：</w:t>
      </w:r>
      <w:r>
        <w:rPr>
          <w:rFonts w:ascii="仿宋" w:eastAsia="仿宋" w:hAnsi="仿宋" w:cs="方正仿宋_GBK"/>
          <w:sz w:val="32"/>
          <w:szCs w:val="32"/>
        </w:rPr>
        <w:t>反映用于对个人和家庭的补助支出。</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cs="方正仿宋_GBK" w:hint="default"/>
          <w:sz w:val="32"/>
          <w:szCs w:val="32"/>
        </w:rPr>
      </w:pPr>
      <w:r>
        <w:rPr>
          <w:rFonts w:ascii="楷体" w:eastAsia="楷体" w:hAnsi="楷体" w:cs="方正仿宋_GBK"/>
          <w:sz w:val="32"/>
          <w:szCs w:val="32"/>
        </w:rPr>
        <w:t>（十七）其他资本性支出（支出经济分类科目类级）：</w:t>
      </w:r>
      <w:r>
        <w:rPr>
          <w:rFonts w:ascii="仿宋" w:eastAsia="仿宋" w:hAnsi="仿宋" w:cs="方正仿宋_GBK"/>
          <w:sz w:val="32"/>
          <w:szCs w:val="32"/>
        </w:rPr>
        <w:t>反映非各级发展与改革部门集中安排的用于购置固定资产、战略性和应急性储备、土地和无形资产，以及构建基础设施、大型修缮和财政支持企业更新改造所发生的支出。</w:t>
      </w:r>
    </w:p>
    <w:p w:rsidR="00832EE3" w:rsidRDefault="00771F38">
      <w:pPr>
        <w:pStyle w:val="a5"/>
        <w:shd w:val="clear" w:color="auto" w:fill="FFFFFF"/>
        <w:spacing w:line="594" w:lineRule="exact"/>
        <w:ind w:firstLineChars="200" w:firstLine="643"/>
        <w:rPr>
          <w:rStyle w:val="a6"/>
          <w:rFonts w:ascii="方正仿宋_GBK" w:eastAsia="方正仿宋_GBK" w:hAnsi="方正仿宋_GBK" w:cs="方正仿宋_GBK" w:hint="default"/>
          <w:sz w:val="32"/>
          <w:szCs w:val="32"/>
          <w:shd w:val="clear" w:color="auto" w:fill="FFFFFF"/>
        </w:rPr>
      </w:pPr>
      <w:r>
        <w:rPr>
          <w:rStyle w:val="a6"/>
          <w:rFonts w:ascii="方正仿宋_GBK" w:eastAsia="方正仿宋_GBK" w:hAnsi="方正仿宋_GBK" w:cs="方正仿宋_GBK"/>
          <w:sz w:val="32"/>
          <w:szCs w:val="32"/>
          <w:shd w:val="clear" w:color="auto" w:fill="FFFFFF"/>
        </w:rPr>
        <w:t> </w:t>
      </w:r>
      <w:r>
        <w:rPr>
          <w:rStyle w:val="a6"/>
          <w:rFonts w:ascii="黑体" w:eastAsia="黑体" w:hAnsi="黑体" w:cs="黑体"/>
          <w:sz w:val="32"/>
          <w:szCs w:val="32"/>
          <w:shd w:val="clear" w:color="auto" w:fill="FFFFFF"/>
        </w:rPr>
        <w:t>七、决算公开联系方式及信息反馈渠道</w:t>
      </w:r>
    </w:p>
    <w:p w:rsidR="00832EE3" w:rsidRDefault="00771F38">
      <w:pPr>
        <w:pStyle w:val="a5"/>
        <w:snapToGrid w:val="0"/>
        <w:spacing w:before="0" w:beforeAutospacing="0" w:after="0" w:afterAutospacing="0" w:line="594" w:lineRule="exact"/>
        <w:ind w:firstLineChars="200" w:firstLine="640"/>
        <w:jc w:val="both"/>
        <w:rPr>
          <w:rFonts w:ascii="仿宋" w:eastAsia="仿宋" w:hAnsi="仿宋" w:hint="default"/>
          <w:b/>
        </w:rPr>
      </w:pPr>
      <w:r>
        <w:rPr>
          <w:rFonts w:ascii="仿宋" w:eastAsia="仿宋" w:hAnsi="仿宋" w:cs="方正仿宋_GBK"/>
          <w:sz w:val="32"/>
          <w:szCs w:val="32"/>
        </w:rPr>
        <w:t>本单位决算公开信息反馈和联系方式：陈老师023-74512572</w:t>
      </w:r>
    </w:p>
    <w:p w:rsidR="00832EE3" w:rsidRDefault="00832EE3">
      <w:pPr>
        <w:pStyle w:val="1"/>
        <w:autoSpaceDE w:val="0"/>
        <w:spacing w:line="594" w:lineRule="exact"/>
        <w:ind w:firstLineChars="0" w:firstLine="0"/>
        <w:rPr>
          <w:rFonts w:ascii="仿宋" w:eastAsia="仿宋" w:hAnsi="仿宋"/>
          <w:b/>
        </w:rPr>
        <w:sectPr w:rsidR="00832EE3">
          <w:footerReference w:type="default" r:id="rId8"/>
          <w:pgSz w:w="11915" w:h="16840"/>
          <w:pgMar w:top="1440" w:right="1800" w:bottom="1440" w:left="1800" w:header="851" w:footer="992" w:gutter="0"/>
          <w:pgNumType w:fmt="numberInDash"/>
          <w:cols w:space="720"/>
          <w:docGrid w:type="lines" w:linePitch="312"/>
        </w:sectPr>
      </w:pPr>
    </w:p>
    <w:p w:rsidR="00832EE3" w:rsidRDefault="00832EE3">
      <w:pPr>
        <w:spacing w:line="594" w:lineRule="exact"/>
        <w:rPr>
          <w:rFonts w:cs="宋体" w:hint="default"/>
          <w:sz w:val="32"/>
          <w:szCs w:val="32"/>
        </w:rPr>
      </w:pPr>
    </w:p>
    <w:tbl>
      <w:tblPr>
        <w:tblW w:w="22292" w:type="dxa"/>
        <w:tblLayout w:type="fixed"/>
        <w:tblCellMar>
          <w:left w:w="0" w:type="dxa"/>
          <w:right w:w="0" w:type="dxa"/>
        </w:tblCellMar>
        <w:tblLook w:val="04A0" w:firstRow="1" w:lastRow="0" w:firstColumn="1" w:lastColumn="0" w:noHBand="0" w:noVBand="1"/>
      </w:tblPr>
      <w:tblGrid>
        <w:gridCol w:w="6581"/>
        <w:gridCol w:w="4358"/>
        <w:gridCol w:w="7536"/>
        <w:gridCol w:w="3817"/>
      </w:tblGrid>
      <w:tr w:rsidR="00832EE3">
        <w:trPr>
          <w:trHeight w:val="565"/>
        </w:trPr>
        <w:tc>
          <w:tcPr>
            <w:tcW w:w="22292" w:type="dxa"/>
            <w:gridSpan w:val="4"/>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收入支出决算总表</w:t>
            </w:r>
          </w:p>
        </w:tc>
      </w:tr>
      <w:tr w:rsidR="00832EE3">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358"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7536"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817"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公开01表</w:t>
            </w:r>
          </w:p>
        </w:tc>
      </w:tr>
      <w:tr w:rsidR="00832EE3">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textAlignment w:val="bottom"/>
              <w:rPr>
                <w:rFonts w:cs="宋体" w:hint="default"/>
                <w:color w:val="000000"/>
                <w:sz w:val="32"/>
                <w:szCs w:val="32"/>
              </w:rPr>
            </w:pPr>
            <w:r>
              <w:rPr>
                <w:rFonts w:cs="宋体"/>
                <w:sz w:val="32"/>
                <w:szCs w:val="32"/>
              </w:rPr>
              <w:t>公开单位：垫江县信访投诉受理中心</w:t>
            </w:r>
          </w:p>
        </w:tc>
        <w:tc>
          <w:tcPr>
            <w:tcW w:w="4358"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7536"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817"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收入</w:t>
            </w:r>
          </w:p>
        </w:tc>
        <w:tc>
          <w:tcPr>
            <w:tcW w:w="11353" w:type="dxa"/>
            <w:gridSpan w:val="2"/>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支出</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w:t>
            </w:r>
          </w:p>
        </w:tc>
        <w:tc>
          <w:tcPr>
            <w:tcW w:w="4358"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决算数</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功能分类科目</w:t>
            </w:r>
          </w:p>
        </w:tc>
        <w:tc>
          <w:tcPr>
            <w:tcW w:w="3817"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决算数</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一、一般公共预算财政拨款收入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一、一般公共服务支出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153.54</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二、政府性基金预算财政拨款收入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二、外交支出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三、国有资本经营预算财政拨款收入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三、国防支出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四、上级补助收入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四、公共安全支出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五、事业收入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五、教育支出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六、经营收入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六、科学技术支出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七、附属单位上缴收入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七、文化旅游体育与传媒支出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八、其他收入</w:t>
            </w:r>
          </w:p>
        </w:tc>
        <w:tc>
          <w:tcPr>
            <w:tcW w:w="4358" w:type="dxa"/>
            <w:tcBorders>
              <w:top w:val="nil"/>
              <w:left w:val="nil"/>
              <w:bottom w:val="nil"/>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八、社会保障和就业支出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15.31</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九、卫生健康支出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十、节能环保支出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十一、城乡社区支出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十二、农林水支出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十三、交通运输支出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十四、资源勘探工业信息等支出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十五、商业服务业等支出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十六、金融支出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十七、援助其他地区支出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十八、自然资源海洋气象等支出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十九、住房保障支出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二十、粮油物资储备支出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二十一、国有资本经营预算支出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二十二、灾害防治及应急管理支出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二十三、其他支出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二十四、债务还本支出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二十五、债务付息支出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二十六、抗疫特别国债安排的支出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本年收入合计</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本年支出合计</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使用非财政拨款结余和专用结余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结余分配</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年初结转和结余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年末结转和结余</w:t>
            </w:r>
          </w:p>
        </w:tc>
        <w:tc>
          <w:tcPr>
            <w:tcW w:w="3817" w:type="dxa"/>
            <w:tcBorders>
              <w:top w:val="nil"/>
              <w:left w:val="nil"/>
              <w:bottom w:val="single" w:sz="4" w:space="0" w:color="auto"/>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07"/>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7536" w:type="dxa"/>
            <w:tcBorders>
              <w:top w:val="nil"/>
              <w:left w:val="nil"/>
              <w:bottom w:val="single" w:sz="4" w:space="0" w:color="000000"/>
              <w:right w:val="single" w:sz="4" w:space="0" w:color="auto"/>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总计</w:t>
            </w:r>
          </w:p>
        </w:tc>
        <w:tc>
          <w:tcPr>
            <w:tcW w:w="381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r>
    </w:tbl>
    <w:p w:rsidR="00832EE3" w:rsidRDefault="00771F38">
      <w:pPr>
        <w:spacing w:line="594" w:lineRule="exact"/>
        <w:rPr>
          <w:rFonts w:cs="宋体" w:hint="default"/>
          <w:sz w:val="32"/>
          <w:szCs w:val="32"/>
        </w:rPr>
      </w:pPr>
      <w:r>
        <w:rPr>
          <w:rFonts w:cs="宋体"/>
          <w:sz w:val="32"/>
          <w:szCs w:val="32"/>
        </w:rPr>
        <w:t>备注：1.本表反映单位本年度的总收支和年末结转结余情况。</w:t>
      </w:r>
      <w:r>
        <w:rPr>
          <w:rFonts w:cs="宋体"/>
          <w:sz w:val="32"/>
          <w:szCs w:val="32"/>
        </w:rPr>
        <w:br/>
        <w:t xml:space="preserve">      2.本套报表金额单位转换时可能存在尾数误差。</w:t>
      </w:r>
      <w:r>
        <w:rPr>
          <w:rFonts w:cs="宋体"/>
          <w:sz w:val="32"/>
          <w:szCs w:val="32"/>
        </w:rPr>
        <w:br/>
      </w:r>
      <w:r>
        <w:rPr>
          <w:rFonts w:cs="宋体"/>
          <w:sz w:val="32"/>
          <w:szCs w:val="32"/>
        </w:rPr>
        <w:br/>
      </w:r>
    </w:p>
    <w:p w:rsidR="00832EE3" w:rsidRDefault="00771F38">
      <w:pPr>
        <w:spacing w:line="594" w:lineRule="exact"/>
        <w:rPr>
          <w:rFonts w:cs="宋体" w:hint="default"/>
          <w:sz w:val="32"/>
          <w:szCs w:val="32"/>
        </w:rPr>
      </w:pPr>
      <w:r>
        <w:rPr>
          <w:rFonts w:cs="宋体"/>
          <w:sz w:val="32"/>
          <w:szCs w:val="32"/>
        </w:rPr>
        <w:br w:type="page"/>
      </w:r>
    </w:p>
    <w:p w:rsidR="00832EE3" w:rsidRDefault="00832EE3">
      <w:pPr>
        <w:spacing w:line="594" w:lineRule="exact"/>
        <w:rPr>
          <w:rFonts w:cs="宋体" w:hint="default"/>
          <w:sz w:val="32"/>
          <w:szCs w:val="32"/>
        </w:rPr>
      </w:pPr>
    </w:p>
    <w:p w:rsidR="00832EE3" w:rsidRDefault="00832EE3">
      <w:pPr>
        <w:spacing w:line="594" w:lineRule="exact"/>
        <w:rPr>
          <w:rFonts w:cs="宋体" w:hint="default"/>
          <w:sz w:val="32"/>
          <w:szCs w:val="32"/>
        </w:rPr>
      </w:pPr>
    </w:p>
    <w:tbl>
      <w:tblPr>
        <w:tblW w:w="22220" w:type="dxa"/>
        <w:tblLayout w:type="fixed"/>
        <w:tblCellMar>
          <w:left w:w="0" w:type="dxa"/>
          <w:right w:w="0" w:type="dxa"/>
        </w:tblCellMar>
        <w:tblLook w:val="04A0" w:firstRow="1" w:lastRow="0" w:firstColumn="1" w:lastColumn="0" w:noHBand="0" w:noVBand="1"/>
      </w:tblPr>
      <w:tblGrid>
        <w:gridCol w:w="1941"/>
        <w:gridCol w:w="3317"/>
        <w:gridCol w:w="2412"/>
        <w:gridCol w:w="2399"/>
        <w:gridCol w:w="1963"/>
        <w:gridCol w:w="1963"/>
        <w:gridCol w:w="1963"/>
        <w:gridCol w:w="1963"/>
        <w:gridCol w:w="1963"/>
        <w:gridCol w:w="2336"/>
      </w:tblGrid>
      <w:tr w:rsidR="00832EE3">
        <w:trPr>
          <w:trHeight w:val="641"/>
        </w:trPr>
        <w:tc>
          <w:tcPr>
            <w:tcW w:w="22220" w:type="dxa"/>
            <w:gridSpan w:val="10"/>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收入决算表</w:t>
            </w:r>
          </w:p>
        </w:tc>
      </w:tr>
      <w:tr w:rsidR="00832EE3">
        <w:trPr>
          <w:trHeight w:val="328"/>
        </w:trPr>
        <w:tc>
          <w:tcPr>
            <w:tcW w:w="5258" w:type="dxa"/>
            <w:gridSpan w:val="2"/>
            <w:vMerge w:val="restart"/>
            <w:tcBorders>
              <w:top w:val="nil"/>
              <w:left w:val="nil"/>
              <w:right w:val="nil"/>
            </w:tcBorders>
            <w:shd w:val="clear" w:color="auto" w:fill="auto"/>
            <w:tcMar>
              <w:top w:w="15" w:type="dxa"/>
              <w:left w:w="15" w:type="dxa"/>
              <w:right w:w="15" w:type="dxa"/>
            </w:tcMar>
            <w:vAlign w:val="bottom"/>
          </w:tcPr>
          <w:p w:rsidR="00832EE3" w:rsidRDefault="00771F38">
            <w:pPr>
              <w:spacing w:line="594" w:lineRule="exact"/>
              <w:rPr>
                <w:rFonts w:ascii="Arial" w:hAnsi="Arial" w:cs="Arial" w:hint="default"/>
                <w:color w:val="000000"/>
                <w:sz w:val="32"/>
                <w:szCs w:val="32"/>
              </w:rPr>
            </w:pPr>
            <w:r>
              <w:rPr>
                <w:rFonts w:cs="宋体"/>
                <w:sz w:val="32"/>
                <w:szCs w:val="32"/>
              </w:rPr>
              <w:t>公开单位：垫江县信访投诉受理中心</w:t>
            </w:r>
          </w:p>
        </w:tc>
        <w:tc>
          <w:tcPr>
            <w:tcW w:w="241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399"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336"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公开02表</w:t>
            </w:r>
          </w:p>
        </w:tc>
      </w:tr>
      <w:tr w:rsidR="00832EE3">
        <w:trPr>
          <w:trHeight w:val="328"/>
        </w:trPr>
        <w:tc>
          <w:tcPr>
            <w:tcW w:w="5258" w:type="dxa"/>
            <w:gridSpan w:val="2"/>
            <w:vMerge/>
            <w:tcBorders>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1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399"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96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336"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431"/>
        </w:trPr>
        <w:tc>
          <w:tcPr>
            <w:tcW w:w="5258" w:type="dxa"/>
            <w:gridSpan w:val="2"/>
            <w:tcBorders>
              <w:top w:val="single" w:sz="4" w:space="0" w:color="000000"/>
              <w:left w:val="single" w:sz="4" w:space="0" w:color="000000"/>
              <w:bottom w:val="single" w:sz="4" w:space="0" w:color="000000"/>
              <w:right w:val="nil"/>
            </w:tcBorders>
            <w:shd w:val="clear" w:color="auto" w:fill="D0CECE"/>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其他收入</w:t>
            </w:r>
          </w:p>
        </w:tc>
      </w:tr>
      <w:tr w:rsidR="00832EE3">
        <w:trPr>
          <w:trHeight w:val="624"/>
        </w:trPr>
        <w:tc>
          <w:tcPr>
            <w:tcW w:w="1941"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功能分类科目编码</w:t>
            </w:r>
          </w:p>
        </w:tc>
        <w:tc>
          <w:tcPr>
            <w:tcW w:w="3317"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24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bCs/>
                <w:color w:val="000000"/>
                <w:sz w:val="32"/>
                <w:szCs w:val="32"/>
              </w:rPr>
              <w:t>184.84</w:t>
            </w:r>
          </w:p>
        </w:tc>
        <w:tc>
          <w:tcPr>
            <w:tcW w:w="239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bCs/>
                <w:color w:val="000000"/>
                <w:sz w:val="32"/>
                <w:szCs w:val="32"/>
              </w:rPr>
              <w:t>184.84</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3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一般公共服务支出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20103</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政府办公厅（室）及相关机构事务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2010350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事业运行</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153.54</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153.54</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教育支出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20508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进修及培训</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2050803</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培训支出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20805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2080505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10.21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10.21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2080506</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5.10</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5.10</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210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lastRenderedPageBreak/>
              <w:t>21011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2101102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221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22102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2210201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bl>
    <w:p w:rsidR="00832EE3" w:rsidRDefault="00771F38">
      <w:pPr>
        <w:spacing w:line="594" w:lineRule="exact"/>
        <w:ind w:left="960" w:hangingChars="300" w:hanging="960"/>
        <w:rPr>
          <w:rFonts w:cs="宋体" w:hint="default"/>
          <w:sz w:val="32"/>
          <w:szCs w:val="32"/>
        </w:rPr>
      </w:pPr>
      <w:r>
        <w:rPr>
          <w:rFonts w:cs="宋体"/>
          <w:sz w:val="32"/>
          <w:szCs w:val="32"/>
        </w:rPr>
        <w:t>备注：1.本表反映单位本年度取得的各项收入情况。</w:t>
      </w:r>
      <w:r>
        <w:rPr>
          <w:rFonts w:cs="宋体"/>
          <w:sz w:val="32"/>
          <w:szCs w:val="32"/>
        </w:rPr>
        <w:br/>
        <w:t>2.本套报表金额单位转换时可能存在尾数误差。</w:t>
      </w:r>
      <w:r>
        <w:rPr>
          <w:rFonts w:cs="宋体"/>
          <w:sz w:val="32"/>
          <w:szCs w:val="32"/>
        </w:rPr>
        <w:br/>
      </w:r>
      <w:r>
        <w:rPr>
          <w:rFonts w:cs="宋体"/>
          <w:sz w:val="32"/>
          <w:szCs w:val="32"/>
        </w:rPr>
        <w:br/>
      </w:r>
    </w:p>
    <w:p w:rsidR="00832EE3" w:rsidRDefault="00771F38">
      <w:pPr>
        <w:spacing w:line="594" w:lineRule="exact"/>
        <w:rPr>
          <w:rFonts w:cs="宋体" w:hint="default"/>
          <w:sz w:val="32"/>
          <w:szCs w:val="32"/>
        </w:rPr>
      </w:pPr>
      <w:r>
        <w:rPr>
          <w:rFonts w:cs="宋体"/>
          <w:sz w:val="32"/>
          <w:szCs w:val="32"/>
        </w:rPr>
        <w:br w:type="page"/>
      </w:r>
    </w:p>
    <w:p w:rsidR="00832EE3" w:rsidRDefault="00832EE3">
      <w:pPr>
        <w:spacing w:line="594" w:lineRule="exact"/>
        <w:ind w:left="960" w:hangingChars="300" w:hanging="960"/>
        <w:rPr>
          <w:rFonts w:cs="宋体" w:hint="default"/>
          <w:sz w:val="32"/>
          <w:szCs w:val="32"/>
        </w:rPr>
      </w:pPr>
    </w:p>
    <w:tbl>
      <w:tblPr>
        <w:tblW w:w="22180" w:type="dxa"/>
        <w:tblLayout w:type="fixed"/>
        <w:tblCellMar>
          <w:left w:w="0" w:type="dxa"/>
          <w:right w:w="0" w:type="dxa"/>
        </w:tblCellMar>
        <w:tblLook w:val="04A0" w:firstRow="1" w:lastRow="0" w:firstColumn="1" w:lastColumn="0" w:noHBand="0" w:noVBand="1"/>
      </w:tblPr>
      <w:tblGrid>
        <w:gridCol w:w="2082"/>
        <w:gridCol w:w="3528"/>
        <w:gridCol w:w="2760"/>
        <w:gridCol w:w="2760"/>
        <w:gridCol w:w="2760"/>
        <w:gridCol w:w="2760"/>
        <w:gridCol w:w="2760"/>
        <w:gridCol w:w="2770"/>
      </w:tblGrid>
      <w:tr w:rsidR="00832EE3">
        <w:trPr>
          <w:trHeight w:val="654"/>
        </w:trPr>
        <w:tc>
          <w:tcPr>
            <w:tcW w:w="22180" w:type="dxa"/>
            <w:gridSpan w:val="8"/>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支出决算表</w:t>
            </w:r>
          </w:p>
        </w:tc>
      </w:tr>
      <w:tr w:rsidR="00832EE3">
        <w:trPr>
          <w:trHeight w:val="342"/>
        </w:trPr>
        <w:tc>
          <w:tcPr>
            <w:tcW w:w="5610" w:type="dxa"/>
            <w:gridSpan w:val="2"/>
            <w:vMerge w:val="restart"/>
            <w:tcBorders>
              <w:top w:val="nil"/>
              <w:left w:val="nil"/>
              <w:right w:val="nil"/>
            </w:tcBorders>
            <w:shd w:val="clear" w:color="auto" w:fill="auto"/>
            <w:tcMar>
              <w:top w:w="15" w:type="dxa"/>
              <w:left w:w="15" w:type="dxa"/>
              <w:right w:w="15" w:type="dxa"/>
            </w:tcMar>
            <w:vAlign w:val="bottom"/>
          </w:tcPr>
          <w:p w:rsidR="00832EE3" w:rsidRDefault="00771F38">
            <w:pPr>
              <w:spacing w:line="594" w:lineRule="exact"/>
              <w:rPr>
                <w:rFonts w:ascii="Arial" w:hAnsi="Arial" w:cs="Arial" w:hint="default"/>
                <w:color w:val="000000"/>
                <w:sz w:val="32"/>
                <w:szCs w:val="32"/>
              </w:rPr>
            </w:pPr>
            <w:r>
              <w:rPr>
                <w:rFonts w:asciiTheme="minorEastAsia" w:eastAsiaTheme="minorEastAsia" w:hAnsiTheme="minorEastAsia" w:cstheme="minorEastAsia"/>
                <w:sz w:val="32"/>
                <w:szCs w:val="32"/>
              </w:rPr>
              <w:t>公开单位</w:t>
            </w:r>
            <w:r>
              <w:rPr>
                <w:rFonts w:asciiTheme="minorEastAsia" w:eastAsiaTheme="minorEastAsia" w:hAnsiTheme="minorEastAsia" w:cstheme="minorEastAsia"/>
                <w:color w:val="000000"/>
                <w:sz w:val="32"/>
                <w:szCs w:val="32"/>
              </w:rPr>
              <w:t xml:space="preserve">： </w:t>
            </w:r>
            <w:r>
              <w:rPr>
                <w:color w:val="000000"/>
                <w:sz w:val="32"/>
                <w:szCs w:val="32"/>
              </w:rPr>
              <w:t>垫江县信访投诉受理中心</w:t>
            </w: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70"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公开03表</w:t>
            </w:r>
          </w:p>
        </w:tc>
      </w:tr>
      <w:tr w:rsidR="00832EE3">
        <w:trPr>
          <w:trHeight w:val="342"/>
        </w:trPr>
        <w:tc>
          <w:tcPr>
            <w:tcW w:w="5610" w:type="dxa"/>
            <w:gridSpan w:val="2"/>
            <w:vMerge/>
            <w:tcBorders>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6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70"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对附属单位补助支出</w:t>
            </w:r>
          </w:p>
        </w:tc>
      </w:tr>
      <w:tr w:rsidR="00832EE3">
        <w:trPr>
          <w:trHeight w:val="624"/>
        </w:trPr>
        <w:tc>
          <w:tcPr>
            <w:tcW w:w="208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功能分类科目编码</w:t>
            </w:r>
          </w:p>
        </w:tc>
        <w:tc>
          <w:tcPr>
            <w:tcW w:w="3528"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bCs/>
                <w:color w:val="000000"/>
                <w:sz w:val="32"/>
                <w:szCs w:val="32"/>
              </w:rPr>
              <w:t>184.84</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bCs/>
                <w:color w:val="000000"/>
                <w:sz w:val="32"/>
                <w:szCs w:val="32"/>
              </w:rPr>
              <w:t>184.84</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77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一般公共服务支出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20103</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政府办公厅（室）及相关机构事务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153.54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2010350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事业运行</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153.54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153.54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教育支出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20508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进修及培训</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2050803</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培训支出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20805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15.31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2080505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10.21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10.21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2080506</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5.10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5.10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210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21011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6.41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lastRenderedPageBreak/>
              <w:t>2101102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221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22102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b/>
                <w:color w:val="000000"/>
                <w:sz w:val="32"/>
                <w:szCs w:val="32"/>
              </w:rPr>
              <w:t>9.10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2210201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bl>
    <w:p w:rsidR="00832EE3" w:rsidRDefault="00771F38">
      <w:pPr>
        <w:spacing w:line="594" w:lineRule="exact"/>
        <w:rPr>
          <w:rFonts w:cs="宋体" w:hint="default"/>
          <w:sz w:val="32"/>
          <w:szCs w:val="32"/>
        </w:rPr>
      </w:pPr>
      <w:r>
        <w:rPr>
          <w:rFonts w:cs="宋体"/>
          <w:sz w:val="32"/>
          <w:szCs w:val="32"/>
        </w:rPr>
        <w:t>备注：1.本表反映单位本年度各项支出情况。</w:t>
      </w:r>
      <w:r>
        <w:rPr>
          <w:rFonts w:cs="宋体"/>
          <w:sz w:val="32"/>
          <w:szCs w:val="32"/>
        </w:rPr>
        <w:br/>
        <w:t xml:space="preserve">      2.本套报表金额单位转换时可能存在尾数误差。</w:t>
      </w:r>
      <w:r>
        <w:rPr>
          <w:rFonts w:cs="宋体"/>
          <w:sz w:val="32"/>
          <w:szCs w:val="32"/>
        </w:rPr>
        <w:br/>
      </w:r>
      <w:r>
        <w:rPr>
          <w:rFonts w:cs="宋体"/>
          <w:sz w:val="32"/>
          <w:szCs w:val="32"/>
        </w:rPr>
        <w:br/>
      </w:r>
    </w:p>
    <w:p w:rsidR="00832EE3" w:rsidRDefault="00771F38">
      <w:pPr>
        <w:spacing w:line="594" w:lineRule="exact"/>
        <w:rPr>
          <w:rFonts w:cs="宋体" w:hint="default"/>
          <w:sz w:val="32"/>
          <w:szCs w:val="32"/>
        </w:rPr>
      </w:pPr>
      <w:r>
        <w:rPr>
          <w:rFonts w:cs="宋体"/>
          <w:sz w:val="32"/>
          <w:szCs w:val="32"/>
        </w:rPr>
        <w:br w:type="page"/>
      </w:r>
    </w:p>
    <w:p w:rsidR="00832EE3" w:rsidRDefault="00832EE3">
      <w:pPr>
        <w:spacing w:line="594" w:lineRule="exact"/>
        <w:rPr>
          <w:rFonts w:cs="宋体" w:hint="default"/>
          <w:sz w:val="32"/>
          <w:szCs w:val="32"/>
        </w:rPr>
      </w:pPr>
    </w:p>
    <w:tbl>
      <w:tblPr>
        <w:tblW w:w="22360" w:type="dxa"/>
        <w:tblLayout w:type="fixed"/>
        <w:tblCellMar>
          <w:left w:w="0" w:type="dxa"/>
          <w:right w:w="0" w:type="dxa"/>
        </w:tblCellMar>
        <w:tblLook w:val="04A0" w:firstRow="1" w:lastRow="0" w:firstColumn="1" w:lastColumn="0" w:noHBand="0" w:noVBand="1"/>
      </w:tblPr>
      <w:tblGrid>
        <w:gridCol w:w="4068"/>
        <w:gridCol w:w="2674"/>
        <w:gridCol w:w="3752"/>
        <w:gridCol w:w="2952"/>
        <w:gridCol w:w="2952"/>
        <w:gridCol w:w="2952"/>
        <w:gridCol w:w="3010"/>
      </w:tblGrid>
      <w:tr w:rsidR="00832EE3">
        <w:trPr>
          <w:trHeight w:val="90"/>
        </w:trPr>
        <w:tc>
          <w:tcPr>
            <w:tcW w:w="22360" w:type="dxa"/>
            <w:gridSpan w:val="7"/>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财政拨款收入支出决算总表</w:t>
            </w:r>
          </w:p>
        </w:tc>
      </w:tr>
      <w:tr w:rsidR="00832EE3">
        <w:trPr>
          <w:trHeight w:val="90"/>
        </w:trPr>
        <w:tc>
          <w:tcPr>
            <w:tcW w:w="6742" w:type="dxa"/>
            <w:gridSpan w:val="2"/>
            <w:vMerge w:val="restart"/>
            <w:tcBorders>
              <w:top w:val="nil"/>
              <w:left w:val="nil"/>
              <w:right w:val="nil"/>
            </w:tcBorders>
            <w:shd w:val="clear" w:color="auto" w:fill="auto"/>
            <w:tcMar>
              <w:top w:w="15" w:type="dxa"/>
              <w:left w:w="15" w:type="dxa"/>
              <w:right w:w="15" w:type="dxa"/>
            </w:tcMar>
            <w:vAlign w:val="bottom"/>
          </w:tcPr>
          <w:p w:rsidR="00832EE3" w:rsidRDefault="00771F38">
            <w:pPr>
              <w:spacing w:line="594" w:lineRule="exact"/>
              <w:rPr>
                <w:rFonts w:ascii="Arial" w:hAnsi="Arial" w:cs="Arial" w:hint="default"/>
                <w:color w:val="000000"/>
                <w:sz w:val="32"/>
                <w:szCs w:val="32"/>
              </w:rPr>
            </w:pPr>
            <w:r>
              <w:rPr>
                <w:rFonts w:asciiTheme="minorEastAsia" w:eastAsiaTheme="minorEastAsia" w:hAnsiTheme="minorEastAsia" w:cstheme="minorEastAsia"/>
                <w:sz w:val="32"/>
                <w:szCs w:val="32"/>
              </w:rPr>
              <w:t>公开单位</w:t>
            </w:r>
            <w:r>
              <w:rPr>
                <w:rFonts w:asciiTheme="minorEastAsia" w:eastAsiaTheme="minorEastAsia" w:hAnsiTheme="minorEastAsia" w:cstheme="minorEastAsia"/>
                <w:color w:val="000000"/>
                <w:sz w:val="32"/>
                <w:szCs w:val="32"/>
              </w:rPr>
              <w:t xml:space="preserve">： </w:t>
            </w:r>
            <w:r>
              <w:rPr>
                <w:color w:val="000000"/>
                <w:sz w:val="32"/>
                <w:szCs w:val="32"/>
              </w:rPr>
              <w:t>垫江县信访投诉受理中心</w:t>
            </w:r>
          </w:p>
        </w:tc>
        <w:tc>
          <w:tcPr>
            <w:tcW w:w="37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010"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公开04表</w:t>
            </w:r>
          </w:p>
        </w:tc>
      </w:tr>
      <w:tr w:rsidR="00832EE3">
        <w:trPr>
          <w:trHeight w:val="90"/>
        </w:trPr>
        <w:tc>
          <w:tcPr>
            <w:tcW w:w="6742" w:type="dxa"/>
            <w:gridSpan w:val="2"/>
            <w:vMerge/>
            <w:tcBorders>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7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010"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收     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支     出</w:t>
            </w:r>
          </w:p>
        </w:tc>
      </w:tr>
      <w:tr w:rsidR="00832EE3">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功能分类科目</w:t>
            </w:r>
          </w:p>
        </w:tc>
        <w:tc>
          <w:tcPr>
            <w:tcW w:w="11866" w:type="dxa"/>
            <w:gridSpan w:val="4"/>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决算数</w:t>
            </w:r>
          </w:p>
        </w:tc>
      </w:tr>
      <w:tr w:rsidR="00832EE3">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67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国有资本经营预算财政拨款</w:t>
            </w: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153.54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153.54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15.31</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15.31</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ascii="Arial" w:hAnsi="Arial" w:cs="Arial"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r>
      <w:tr w:rsidR="00832EE3">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184.84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bl>
    <w:p w:rsidR="00832EE3" w:rsidRDefault="00771F38">
      <w:pPr>
        <w:spacing w:line="594" w:lineRule="exact"/>
        <w:rPr>
          <w:rFonts w:cs="宋体" w:hint="default"/>
          <w:sz w:val="32"/>
          <w:szCs w:val="32"/>
        </w:rPr>
      </w:pPr>
      <w:r>
        <w:rPr>
          <w:rFonts w:cs="宋体"/>
          <w:sz w:val="32"/>
          <w:szCs w:val="32"/>
        </w:rPr>
        <w:t>备注：1.本表反映单位本年度一般公共预算财政拨款、政府性基金预算财政拨款及国有资本经营预算财政拨款的总收支和年末结转结余情况。</w:t>
      </w:r>
      <w:r>
        <w:rPr>
          <w:rFonts w:cs="宋体"/>
          <w:sz w:val="32"/>
          <w:szCs w:val="32"/>
        </w:rPr>
        <w:br/>
        <w:t xml:space="preserve">      2.本套报表金额单位转换时可能存在尾数误差。</w:t>
      </w:r>
      <w:r>
        <w:rPr>
          <w:rFonts w:cs="宋体"/>
          <w:sz w:val="32"/>
          <w:szCs w:val="32"/>
        </w:rPr>
        <w:br/>
      </w:r>
      <w:r>
        <w:rPr>
          <w:rFonts w:cs="宋体"/>
          <w:sz w:val="32"/>
          <w:szCs w:val="32"/>
        </w:rPr>
        <w:lastRenderedPageBreak/>
        <w:br/>
      </w:r>
    </w:p>
    <w:p w:rsidR="00832EE3" w:rsidRDefault="00771F38">
      <w:pPr>
        <w:spacing w:line="594" w:lineRule="exact"/>
        <w:rPr>
          <w:rFonts w:cs="宋体" w:hint="default"/>
          <w:sz w:val="32"/>
          <w:szCs w:val="32"/>
        </w:rPr>
      </w:pPr>
      <w:r>
        <w:rPr>
          <w:rFonts w:cs="宋体"/>
          <w:sz w:val="32"/>
          <w:szCs w:val="32"/>
        </w:rPr>
        <w:br w:type="page"/>
      </w:r>
    </w:p>
    <w:tbl>
      <w:tblPr>
        <w:tblW w:w="22300" w:type="dxa"/>
        <w:tblLayout w:type="fixed"/>
        <w:tblCellMar>
          <w:left w:w="0" w:type="dxa"/>
          <w:right w:w="0" w:type="dxa"/>
        </w:tblCellMar>
        <w:tblLook w:val="04A0" w:firstRow="1" w:lastRow="0" w:firstColumn="1" w:lastColumn="0" w:noHBand="0" w:noVBand="1"/>
      </w:tblPr>
      <w:tblGrid>
        <w:gridCol w:w="2694"/>
        <w:gridCol w:w="5151"/>
        <w:gridCol w:w="4817"/>
        <w:gridCol w:w="4817"/>
        <w:gridCol w:w="4821"/>
      </w:tblGrid>
      <w:tr w:rsidR="00832EE3">
        <w:trPr>
          <w:trHeight w:val="510"/>
        </w:trPr>
        <w:tc>
          <w:tcPr>
            <w:tcW w:w="22300" w:type="dxa"/>
            <w:gridSpan w:val="5"/>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lastRenderedPageBreak/>
              <w:t>一般公共预算财政拨款支出决算表</w:t>
            </w:r>
          </w:p>
        </w:tc>
      </w:tr>
      <w:tr w:rsidR="00832EE3">
        <w:trPr>
          <w:trHeight w:val="255"/>
        </w:trPr>
        <w:tc>
          <w:tcPr>
            <w:tcW w:w="7845" w:type="dxa"/>
            <w:gridSpan w:val="2"/>
            <w:vMerge w:val="restart"/>
            <w:tcBorders>
              <w:top w:val="nil"/>
              <w:left w:val="nil"/>
              <w:right w:val="nil"/>
            </w:tcBorders>
            <w:shd w:val="clear" w:color="auto" w:fill="auto"/>
            <w:tcMar>
              <w:top w:w="15" w:type="dxa"/>
              <w:left w:w="15" w:type="dxa"/>
              <w:right w:w="15" w:type="dxa"/>
            </w:tcMar>
            <w:vAlign w:val="bottom"/>
          </w:tcPr>
          <w:p w:rsidR="00832EE3" w:rsidRDefault="00771F38">
            <w:pPr>
              <w:spacing w:line="594" w:lineRule="exact"/>
              <w:rPr>
                <w:rFonts w:ascii="Arial" w:hAnsi="Arial" w:cs="Arial" w:hint="default"/>
                <w:color w:val="000000"/>
                <w:sz w:val="32"/>
                <w:szCs w:val="32"/>
              </w:rPr>
            </w:pPr>
            <w:r>
              <w:rPr>
                <w:rFonts w:asciiTheme="minorEastAsia" w:eastAsiaTheme="minorEastAsia" w:hAnsiTheme="minorEastAsia" w:cstheme="minorEastAsia"/>
                <w:sz w:val="32"/>
                <w:szCs w:val="32"/>
              </w:rPr>
              <w:t>公开单位</w:t>
            </w:r>
            <w:r>
              <w:rPr>
                <w:rFonts w:asciiTheme="minorEastAsia" w:eastAsiaTheme="minorEastAsia" w:hAnsiTheme="minorEastAsia" w:cstheme="minorEastAsia"/>
                <w:color w:val="000000"/>
                <w:sz w:val="32"/>
                <w:szCs w:val="32"/>
              </w:rPr>
              <w:t xml:space="preserve">： </w:t>
            </w:r>
            <w:r>
              <w:rPr>
                <w:color w:val="000000"/>
                <w:sz w:val="32"/>
                <w:szCs w:val="32"/>
              </w:rPr>
              <w:t>垫江县信访投诉受理中心</w:t>
            </w:r>
          </w:p>
        </w:tc>
        <w:tc>
          <w:tcPr>
            <w:tcW w:w="4817"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817"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821"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公开05表</w:t>
            </w:r>
          </w:p>
        </w:tc>
      </w:tr>
      <w:tr w:rsidR="00832EE3">
        <w:trPr>
          <w:trHeight w:val="285"/>
        </w:trPr>
        <w:tc>
          <w:tcPr>
            <w:tcW w:w="7845" w:type="dxa"/>
            <w:gridSpan w:val="2"/>
            <w:vMerge/>
            <w:tcBorders>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817"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817"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821"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w:t>
            </w:r>
          </w:p>
        </w:tc>
        <w:tc>
          <w:tcPr>
            <w:tcW w:w="14455"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本年支出</w:t>
            </w:r>
          </w:p>
        </w:tc>
      </w:tr>
      <w:tr w:rsidR="00832EE3">
        <w:trPr>
          <w:trHeight w:val="624"/>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基本支出</w:t>
            </w:r>
          </w:p>
        </w:tc>
        <w:tc>
          <w:tcPr>
            <w:tcW w:w="482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项目支出</w:t>
            </w:r>
          </w:p>
        </w:tc>
      </w:tr>
      <w:tr w:rsidR="00832EE3">
        <w:trPr>
          <w:trHeight w:val="624"/>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bCs/>
                <w:color w:val="000000"/>
                <w:sz w:val="32"/>
                <w:szCs w:val="32"/>
              </w:rPr>
              <w:t>184.84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bCs/>
                <w:color w:val="000000"/>
                <w:sz w:val="32"/>
                <w:szCs w:val="32"/>
              </w:rPr>
              <w:t>184.84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一般公共服务支出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153.54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153.54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20103</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政府办公厅（室）及相关机构事务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153.54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153.54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2010350</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事业运行</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153.54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153.54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教育支出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0.48</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0.48</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20508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进修及培训</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0.48</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0.48</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2050803</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培训支出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0.48</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0.48</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社会保障和就业支出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15.31</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20805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行政事业单位养老支出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15.31</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2080505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机关事业单位基本养老保险缴费支出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10.21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10.21</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2080506</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机关事业单位职业年金缴费支出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5.10</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5.10</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210</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卫生健康支出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6.41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6.41</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21011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行政事业单位医疗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6.41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6.41</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2101102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事业单位医疗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6.41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6.41</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221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住房保障支出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9.10</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9.10</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22102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b/>
                <w:color w:val="000000"/>
                <w:sz w:val="32"/>
                <w:szCs w:val="32"/>
              </w:rPr>
              <w:t>住房改革支出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9.10</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b/>
                <w:color w:val="000000"/>
                <w:sz w:val="32"/>
                <w:szCs w:val="32"/>
              </w:rPr>
              <w:t>9.10</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r w:rsidR="00832EE3">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2210201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住房公积金</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9.10</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b/>
                <w:color w:val="000000"/>
                <w:sz w:val="32"/>
                <w:szCs w:val="32"/>
              </w:rPr>
            </w:pPr>
            <w:r>
              <w:rPr>
                <w:rFonts w:cs="宋体"/>
                <w:color w:val="000000"/>
                <w:sz w:val="32"/>
                <w:szCs w:val="32"/>
              </w:rPr>
              <w:t>9.10</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bl>
    <w:p w:rsidR="00832EE3" w:rsidRDefault="00771F38">
      <w:pPr>
        <w:spacing w:line="594" w:lineRule="exact"/>
        <w:rPr>
          <w:rFonts w:cs="宋体" w:hint="default"/>
          <w:sz w:val="32"/>
          <w:szCs w:val="32"/>
        </w:rPr>
      </w:pPr>
      <w:r>
        <w:rPr>
          <w:rFonts w:cs="宋体"/>
          <w:sz w:val="32"/>
          <w:szCs w:val="32"/>
        </w:rPr>
        <w:lastRenderedPageBreak/>
        <w:t>备注：1.本表反映单位本年度一般公共预算财政拨款支出情况。</w:t>
      </w:r>
      <w:r>
        <w:rPr>
          <w:rFonts w:cs="宋体"/>
          <w:sz w:val="32"/>
          <w:szCs w:val="32"/>
        </w:rPr>
        <w:br/>
        <w:t xml:space="preserve">      2.本套报表金额单位转换时可能存在尾数误差。</w:t>
      </w:r>
      <w:r>
        <w:rPr>
          <w:rFonts w:cs="宋体"/>
          <w:sz w:val="32"/>
          <w:szCs w:val="32"/>
        </w:rPr>
        <w:br/>
      </w:r>
      <w:r>
        <w:rPr>
          <w:rFonts w:cs="宋体"/>
          <w:sz w:val="32"/>
          <w:szCs w:val="32"/>
        </w:rPr>
        <w:br/>
      </w:r>
    </w:p>
    <w:p w:rsidR="00832EE3" w:rsidRDefault="00771F38">
      <w:pPr>
        <w:spacing w:line="594" w:lineRule="exact"/>
        <w:ind w:firstLineChars="300" w:firstLine="960"/>
        <w:rPr>
          <w:rFonts w:cs="宋体" w:hint="default"/>
          <w:sz w:val="32"/>
          <w:szCs w:val="32"/>
        </w:rPr>
      </w:pPr>
      <w:r>
        <w:rPr>
          <w:rFonts w:cs="宋体"/>
          <w:sz w:val="32"/>
          <w:szCs w:val="32"/>
        </w:rPr>
        <w:br w:type="page"/>
      </w:r>
    </w:p>
    <w:tbl>
      <w:tblPr>
        <w:tblW w:w="22280" w:type="dxa"/>
        <w:tblLayout w:type="fixed"/>
        <w:tblCellMar>
          <w:left w:w="0" w:type="dxa"/>
          <w:right w:w="0" w:type="dxa"/>
        </w:tblCellMar>
        <w:tblLook w:val="04A0" w:firstRow="1" w:lastRow="0" w:firstColumn="1" w:lastColumn="0" w:noHBand="0" w:noVBand="1"/>
      </w:tblPr>
      <w:tblGrid>
        <w:gridCol w:w="1289"/>
        <w:gridCol w:w="3495"/>
        <w:gridCol w:w="2829"/>
        <w:gridCol w:w="1122"/>
        <w:gridCol w:w="2330"/>
        <w:gridCol w:w="2747"/>
        <w:gridCol w:w="1509"/>
        <w:gridCol w:w="4465"/>
        <w:gridCol w:w="2494"/>
      </w:tblGrid>
      <w:tr w:rsidR="00832EE3">
        <w:trPr>
          <w:trHeight w:val="590"/>
        </w:trPr>
        <w:tc>
          <w:tcPr>
            <w:tcW w:w="22280" w:type="dxa"/>
            <w:gridSpan w:val="9"/>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lastRenderedPageBreak/>
              <w:t>一般公共预算财政拨款基本支出决算表</w:t>
            </w:r>
          </w:p>
        </w:tc>
      </w:tr>
      <w:tr w:rsidR="00832EE3">
        <w:trPr>
          <w:trHeight w:val="302"/>
        </w:trPr>
        <w:tc>
          <w:tcPr>
            <w:tcW w:w="4784" w:type="dxa"/>
            <w:gridSpan w:val="2"/>
            <w:vMerge w:val="restart"/>
            <w:tcBorders>
              <w:top w:val="nil"/>
              <w:left w:val="nil"/>
              <w:right w:val="nil"/>
            </w:tcBorders>
            <w:shd w:val="clear" w:color="auto" w:fill="auto"/>
            <w:tcMar>
              <w:top w:w="15" w:type="dxa"/>
              <w:left w:w="15" w:type="dxa"/>
              <w:right w:w="15" w:type="dxa"/>
            </w:tcMar>
            <w:vAlign w:val="bottom"/>
          </w:tcPr>
          <w:p w:rsidR="00832EE3" w:rsidRDefault="00771F38">
            <w:pPr>
              <w:spacing w:line="594" w:lineRule="exact"/>
              <w:rPr>
                <w:rFonts w:ascii="Arial" w:hAnsi="Arial" w:cs="Arial" w:hint="default"/>
                <w:color w:val="000000"/>
                <w:sz w:val="32"/>
                <w:szCs w:val="32"/>
              </w:rPr>
            </w:pPr>
            <w:r>
              <w:rPr>
                <w:rFonts w:asciiTheme="minorEastAsia" w:eastAsiaTheme="minorEastAsia" w:hAnsiTheme="minorEastAsia" w:cstheme="minorEastAsia"/>
                <w:sz w:val="32"/>
                <w:szCs w:val="32"/>
              </w:rPr>
              <w:t>公开单位</w:t>
            </w:r>
            <w:r>
              <w:rPr>
                <w:rFonts w:asciiTheme="minorEastAsia" w:eastAsiaTheme="minorEastAsia" w:hAnsiTheme="minorEastAsia" w:cstheme="minorEastAsia"/>
                <w:color w:val="000000"/>
                <w:sz w:val="32"/>
                <w:szCs w:val="32"/>
              </w:rPr>
              <w:t xml:space="preserve">： </w:t>
            </w:r>
            <w:r>
              <w:rPr>
                <w:color w:val="000000"/>
                <w:sz w:val="32"/>
                <w:szCs w:val="32"/>
              </w:rPr>
              <w:t>垫江县信访投诉受理中心</w:t>
            </w:r>
          </w:p>
        </w:tc>
        <w:tc>
          <w:tcPr>
            <w:tcW w:w="2829"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33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47"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509"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465"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94"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公开06表</w:t>
            </w:r>
          </w:p>
        </w:tc>
      </w:tr>
      <w:tr w:rsidR="00832EE3">
        <w:trPr>
          <w:trHeight w:val="302"/>
        </w:trPr>
        <w:tc>
          <w:tcPr>
            <w:tcW w:w="4784" w:type="dxa"/>
            <w:gridSpan w:val="2"/>
            <w:vMerge/>
            <w:tcBorders>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829"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330"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747"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509"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465"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94"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人员经费</w:t>
            </w:r>
          </w:p>
        </w:tc>
        <w:tc>
          <w:tcPr>
            <w:tcW w:w="14667" w:type="dxa"/>
            <w:gridSpan w:val="6"/>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公用经费</w:t>
            </w:r>
          </w:p>
        </w:tc>
      </w:tr>
      <w:tr w:rsidR="00832EE3">
        <w:trPr>
          <w:trHeight w:val="624"/>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经济分类科目（按“款”级功能分类科目）</w:t>
            </w:r>
          </w:p>
        </w:tc>
        <w:tc>
          <w:tcPr>
            <w:tcW w:w="249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金额</w:t>
            </w:r>
          </w:p>
        </w:tc>
      </w:tr>
      <w:tr w:rsidR="00832EE3">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9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164.48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20.36</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32.95</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1.84</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房屋建筑物购建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1.24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0.44</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办公设备购置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专用设备购置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基础设施建设</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96.87</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大型修缮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10.21</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信息网络及软件购置更新</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5.10</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2.09</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物资储备</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6.41</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土地补偿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安置补助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0.18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3.15</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地上附着物和青苗补偿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9.10</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拆迁补偿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1.28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公务用车购置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1.14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其他交通工具购置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文物和陈列品购置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lastRenderedPageBreak/>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0.48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无形资产购置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0.97</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资本金注入</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政府投资基金股权投资</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费用补贴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利息补贴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9.12</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0.19</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国家赔偿费用支出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经常性赠与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2.08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资本性赠与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r>
      <w:tr w:rsidR="00832EE3">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color w:val="000000"/>
                <w:sz w:val="32"/>
                <w:szCs w:val="3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color w:val="000000"/>
                <w:sz w:val="32"/>
                <w:szCs w:val="32"/>
              </w:rPr>
            </w:pPr>
          </w:p>
        </w:tc>
      </w:tr>
      <w:tr w:rsidR="00832EE3">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lastRenderedPageBreak/>
              <w:t>人员经费合计</w:t>
            </w:r>
          </w:p>
        </w:tc>
        <w:tc>
          <w:tcPr>
            <w:tcW w:w="2829"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164.48</w:t>
            </w:r>
          </w:p>
        </w:tc>
        <w:tc>
          <w:tcPr>
            <w:tcW w:w="12173" w:type="dxa"/>
            <w:gridSpan w:val="5"/>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公用经费合计</w:t>
            </w:r>
          </w:p>
        </w:tc>
        <w:tc>
          <w:tcPr>
            <w:tcW w:w="2494"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right"/>
              <w:textAlignment w:val="center"/>
              <w:rPr>
                <w:rFonts w:cs="宋体" w:hint="default"/>
                <w:color w:val="000000"/>
                <w:sz w:val="32"/>
                <w:szCs w:val="32"/>
              </w:rPr>
            </w:pPr>
            <w:r>
              <w:rPr>
                <w:rFonts w:cs="宋体"/>
                <w:color w:val="000000"/>
                <w:sz w:val="32"/>
                <w:szCs w:val="32"/>
              </w:rPr>
              <w:t>20.36</w:t>
            </w:r>
          </w:p>
        </w:tc>
      </w:tr>
    </w:tbl>
    <w:p w:rsidR="00832EE3" w:rsidRDefault="00771F38">
      <w:pPr>
        <w:spacing w:line="594" w:lineRule="exact"/>
        <w:rPr>
          <w:rFonts w:cs="宋体" w:hint="default"/>
          <w:sz w:val="32"/>
          <w:szCs w:val="32"/>
        </w:rPr>
      </w:pPr>
      <w:r>
        <w:rPr>
          <w:rFonts w:cs="宋体"/>
          <w:sz w:val="32"/>
          <w:szCs w:val="32"/>
        </w:rPr>
        <w:t>备注：1.本表反映单位本年度一般公共预算财政拨款基本支出明细情况。</w:t>
      </w:r>
      <w:r>
        <w:rPr>
          <w:rFonts w:cs="宋体"/>
          <w:sz w:val="32"/>
          <w:szCs w:val="32"/>
        </w:rPr>
        <w:br/>
        <w:t xml:space="preserve">      2.本套报表金额单位转换时可能存在尾数误差。</w:t>
      </w:r>
      <w:r>
        <w:rPr>
          <w:rFonts w:cs="宋体"/>
          <w:sz w:val="32"/>
          <w:szCs w:val="32"/>
        </w:rPr>
        <w:br/>
      </w:r>
      <w:r>
        <w:rPr>
          <w:rFonts w:cs="宋体"/>
          <w:sz w:val="32"/>
          <w:szCs w:val="32"/>
        </w:rPr>
        <w:br/>
      </w:r>
    </w:p>
    <w:p w:rsidR="00832EE3" w:rsidRDefault="00771F38">
      <w:pPr>
        <w:spacing w:line="594" w:lineRule="exact"/>
        <w:rPr>
          <w:rFonts w:cs="宋体" w:hint="default"/>
          <w:sz w:val="32"/>
          <w:szCs w:val="32"/>
        </w:rPr>
      </w:pPr>
      <w:r>
        <w:rPr>
          <w:rFonts w:cs="宋体"/>
          <w:sz w:val="32"/>
          <w:szCs w:val="32"/>
        </w:rPr>
        <w:br w:type="page"/>
      </w:r>
    </w:p>
    <w:tbl>
      <w:tblPr>
        <w:tblW w:w="22240" w:type="dxa"/>
        <w:tblLayout w:type="fixed"/>
        <w:tblCellMar>
          <w:left w:w="0" w:type="dxa"/>
          <w:right w:w="0" w:type="dxa"/>
        </w:tblCellMar>
        <w:tblLook w:val="04A0" w:firstRow="1" w:lastRow="0" w:firstColumn="1" w:lastColumn="0" w:noHBand="0" w:noVBand="1"/>
      </w:tblPr>
      <w:tblGrid>
        <w:gridCol w:w="2686"/>
        <w:gridCol w:w="4465"/>
        <w:gridCol w:w="2473"/>
        <w:gridCol w:w="2473"/>
        <w:gridCol w:w="2473"/>
        <w:gridCol w:w="2473"/>
        <w:gridCol w:w="2558"/>
        <w:gridCol w:w="2639"/>
      </w:tblGrid>
      <w:tr w:rsidR="00832EE3">
        <w:trPr>
          <w:trHeight w:val="644"/>
        </w:trPr>
        <w:tc>
          <w:tcPr>
            <w:tcW w:w="22240" w:type="dxa"/>
            <w:gridSpan w:val="8"/>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lastRenderedPageBreak/>
              <w:t>政府性基金预算财政拨款收入支出决算表</w:t>
            </w:r>
          </w:p>
        </w:tc>
      </w:tr>
      <w:tr w:rsidR="00832EE3">
        <w:trPr>
          <w:trHeight w:val="329"/>
        </w:trPr>
        <w:tc>
          <w:tcPr>
            <w:tcW w:w="7151" w:type="dxa"/>
            <w:gridSpan w:val="2"/>
            <w:vMerge w:val="restart"/>
            <w:tcBorders>
              <w:top w:val="nil"/>
              <w:left w:val="nil"/>
              <w:right w:val="nil"/>
            </w:tcBorders>
            <w:shd w:val="clear" w:color="auto" w:fill="auto"/>
            <w:tcMar>
              <w:top w:w="15" w:type="dxa"/>
              <w:left w:w="15" w:type="dxa"/>
              <w:right w:w="15" w:type="dxa"/>
            </w:tcMar>
            <w:vAlign w:val="bottom"/>
          </w:tcPr>
          <w:p w:rsidR="00832EE3" w:rsidRDefault="00771F38">
            <w:pPr>
              <w:spacing w:line="594" w:lineRule="exact"/>
              <w:rPr>
                <w:rFonts w:ascii="Arial" w:hAnsi="Arial" w:cs="Arial" w:hint="default"/>
                <w:color w:val="000000"/>
                <w:sz w:val="32"/>
                <w:szCs w:val="32"/>
              </w:rPr>
            </w:pPr>
            <w:r>
              <w:rPr>
                <w:rFonts w:asciiTheme="minorEastAsia" w:eastAsiaTheme="minorEastAsia" w:hAnsiTheme="minorEastAsia" w:cstheme="minorEastAsia"/>
                <w:sz w:val="32"/>
                <w:szCs w:val="32"/>
              </w:rPr>
              <w:t>公开单位</w:t>
            </w:r>
            <w:r>
              <w:rPr>
                <w:rFonts w:asciiTheme="minorEastAsia" w:eastAsiaTheme="minorEastAsia" w:hAnsiTheme="minorEastAsia" w:cstheme="minorEastAsia"/>
                <w:color w:val="000000"/>
                <w:sz w:val="32"/>
                <w:szCs w:val="32"/>
              </w:rPr>
              <w:t xml:space="preserve">： </w:t>
            </w:r>
            <w:r>
              <w:rPr>
                <w:color w:val="000000"/>
                <w:sz w:val="32"/>
                <w:szCs w:val="32"/>
              </w:rPr>
              <w:t>垫江县信访投诉受理中心</w:t>
            </w: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558"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639"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公开07表</w:t>
            </w:r>
          </w:p>
        </w:tc>
      </w:tr>
      <w:tr w:rsidR="00832EE3">
        <w:trPr>
          <w:trHeight w:val="329"/>
        </w:trPr>
        <w:tc>
          <w:tcPr>
            <w:tcW w:w="7151" w:type="dxa"/>
            <w:gridSpan w:val="2"/>
            <w:vMerge/>
            <w:tcBorders>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47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558"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2639"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本年收入</w:t>
            </w:r>
          </w:p>
        </w:tc>
        <w:tc>
          <w:tcPr>
            <w:tcW w:w="7504"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年末结转和结余</w:t>
            </w:r>
          </w:p>
        </w:tc>
      </w:tr>
      <w:tr w:rsidR="00832EE3">
        <w:trPr>
          <w:trHeight w:val="624"/>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基本支出</w:t>
            </w:r>
          </w:p>
        </w:tc>
        <w:tc>
          <w:tcPr>
            <w:tcW w:w="2558"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33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bl>
    <w:p w:rsidR="00832EE3" w:rsidRDefault="00771F38">
      <w:pPr>
        <w:spacing w:line="594" w:lineRule="exact"/>
        <w:rPr>
          <w:rFonts w:cs="宋体" w:hint="default"/>
          <w:sz w:val="32"/>
          <w:szCs w:val="32"/>
        </w:rPr>
      </w:pPr>
      <w:r>
        <w:rPr>
          <w:rFonts w:cs="宋体"/>
          <w:sz w:val="32"/>
          <w:szCs w:val="32"/>
        </w:rPr>
        <w:t>备注：本表反映单位本年度政府性基金预算财政拨款收入支出及结转和结余情况。本单位无政府性基金收支，故本表无数据。</w:t>
      </w:r>
      <w:r>
        <w:rPr>
          <w:rFonts w:cs="宋体"/>
          <w:sz w:val="32"/>
          <w:szCs w:val="32"/>
        </w:rPr>
        <w:br/>
      </w:r>
      <w:r>
        <w:rPr>
          <w:rFonts w:cs="宋体"/>
          <w:sz w:val="32"/>
          <w:szCs w:val="32"/>
        </w:rPr>
        <w:br/>
      </w:r>
    </w:p>
    <w:p w:rsidR="00832EE3" w:rsidRDefault="00771F38">
      <w:pPr>
        <w:spacing w:line="594" w:lineRule="exact"/>
        <w:rPr>
          <w:rFonts w:cs="宋体" w:hint="default"/>
          <w:sz w:val="32"/>
          <w:szCs w:val="32"/>
        </w:rPr>
      </w:pPr>
      <w:r>
        <w:rPr>
          <w:rFonts w:cs="宋体"/>
          <w:sz w:val="32"/>
          <w:szCs w:val="32"/>
        </w:rPr>
        <w:br w:type="page"/>
      </w:r>
    </w:p>
    <w:tbl>
      <w:tblPr>
        <w:tblW w:w="22220" w:type="dxa"/>
        <w:tblLayout w:type="fixed"/>
        <w:tblCellMar>
          <w:left w:w="0" w:type="dxa"/>
          <w:right w:w="0" w:type="dxa"/>
        </w:tblCellMar>
        <w:tblLook w:val="04A0" w:firstRow="1" w:lastRow="0" w:firstColumn="1" w:lastColumn="0" w:noHBand="0" w:noVBand="1"/>
      </w:tblPr>
      <w:tblGrid>
        <w:gridCol w:w="2729"/>
        <w:gridCol w:w="4420"/>
        <w:gridCol w:w="4736"/>
        <w:gridCol w:w="5423"/>
        <w:gridCol w:w="4912"/>
      </w:tblGrid>
      <w:tr w:rsidR="00832EE3">
        <w:trPr>
          <w:trHeight w:val="650"/>
        </w:trPr>
        <w:tc>
          <w:tcPr>
            <w:tcW w:w="22220" w:type="dxa"/>
            <w:gridSpan w:val="5"/>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lastRenderedPageBreak/>
              <w:t>国有资本经营预算财政拨款支出决算表</w:t>
            </w:r>
          </w:p>
        </w:tc>
      </w:tr>
      <w:tr w:rsidR="00832EE3">
        <w:trPr>
          <w:trHeight w:val="332"/>
        </w:trPr>
        <w:tc>
          <w:tcPr>
            <w:tcW w:w="7149" w:type="dxa"/>
            <w:gridSpan w:val="2"/>
            <w:vMerge w:val="restart"/>
            <w:tcBorders>
              <w:top w:val="nil"/>
              <w:left w:val="nil"/>
              <w:right w:val="nil"/>
            </w:tcBorders>
            <w:shd w:val="clear" w:color="auto" w:fill="auto"/>
            <w:tcMar>
              <w:top w:w="15" w:type="dxa"/>
              <w:left w:w="15" w:type="dxa"/>
              <w:right w:w="15" w:type="dxa"/>
            </w:tcMar>
            <w:vAlign w:val="bottom"/>
          </w:tcPr>
          <w:p w:rsidR="00832EE3" w:rsidRDefault="00771F38">
            <w:pPr>
              <w:spacing w:line="594" w:lineRule="exact"/>
              <w:rPr>
                <w:rFonts w:ascii="Arial" w:hAnsi="Arial" w:cs="Arial" w:hint="default"/>
                <w:color w:val="000000"/>
                <w:sz w:val="32"/>
                <w:szCs w:val="32"/>
              </w:rPr>
            </w:pPr>
            <w:r>
              <w:rPr>
                <w:rFonts w:asciiTheme="minorEastAsia" w:eastAsiaTheme="minorEastAsia" w:hAnsiTheme="minorEastAsia" w:cstheme="minorEastAsia"/>
                <w:sz w:val="32"/>
                <w:szCs w:val="32"/>
              </w:rPr>
              <w:t>公开单位</w:t>
            </w:r>
            <w:r>
              <w:rPr>
                <w:rFonts w:asciiTheme="minorEastAsia" w:eastAsiaTheme="minorEastAsia" w:hAnsiTheme="minorEastAsia" w:cstheme="minorEastAsia"/>
                <w:color w:val="000000"/>
                <w:sz w:val="32"/>
                <w:szCs w:val="32"/>
              </w:rPr>
              <w:t xml:space="preserve">： </w:t>
            </w:r>
            <w:r>
              <w:rPr>
                <w:color w:val="000000"/>
                <w:sz w:val="32"/>
                <w:szCs w:val="32"/>
              </w:rPr>
              <w:t>垫江县信访投诉受理中心</w:t>
            </w:r>
          </w:p>
        </w:tc>
        <w:tc>
          <w:tcPr>
            <w:tcW w:w="4736"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542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912"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公开08表</w:t>
            </w:r>
          </w:p>
        </w:tc>
      </w:tr>
      <w:tr w:rsidR="00832EE3">
        <w:trPr>
          <w:trHeight w:val="332"/>
        </w:trPr>
        <w:tc>
          <w:tcPr>
            <w:tcW w:w="7149" w:type="dxa"/>
            <w:gridSpan w:val="2"/>
            <w:vMerge/>
            <w:tcBorders>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736"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5423"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4912"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t>本年支出</w:t>
            </w:r>
          </w:p>
        </w:tc>
      </w:tr>
      <w:tr w:rsidR="00832EE3">
        <w:trPr>
          <w:trHeight w:val="624"/>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基本支出</w:t>
            </w:r>
          </w:p>
        </w:tc>
        <w:tc>
          <w:tcPr>
            <w:tcW w:w="491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项目支出</w:t>
            </w:r>
          </w:p>
        </w:tc>
      </w:tr>
      <w:tr w:rsidR="00832EE3">
        <w:trPr>
          <w:trHeight w:val="624"/>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24"/>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jc w:val="center"/>
              <w:rPr>
                <w:rFonts w:cs="宋体" w:hint="default"/>
                <w:b/>
                <w:color w:val="000000"/>
                <w:sz w:val="32"/>
                <w:szCs w:val="32"/>
              </w:rPr>
            </w:pPr>
          </w:p>
        </w:tc>
      </w:tr>
      <w:tr w:rsidR="00832EE3">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合计</w:t>
            </w:r>
          </w:p>
        </w:tc>
        <w:tc>
          <w:tcPr>
            <w:tcW w:w="47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c>
          <w:tcPr>
            <w:tcW w:w="542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rPr>
                <w:rFonts w:cs="宋体" w:hint="default"/>
                <w:b/>
                <w:color w:val="000000"/>
                <w:sz w:val="32"/>
                <w:szCs w:val="32"/>
              </w:rPr>
            </w:pPr>
          </w:p>
        </w:tc>
        <w:tc>
          <w:tcPr>
            <w:tcW w:w="49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832EE3">
            <w:pPr>
              <w:spacing w:line="594" w:lineRule="exact"/>
              <w:jc w:val="right"/>
              <w:textAlignment w:val="center"/>
              <w:rPr>
                <w:rFonts w:cs="宋体" w:hint="default"/>
                <w:b/>
                <w:color w:val="000000"/>
                <w:sz w:val="32"/>
                <w:szCs w:val="32"/>
              </w:rPr>
            </w:pPr>
          </w:p>
        </w:tc>
      </w:tr>
    </w:tbl>
    <w:p w:rsidR="00832EE3" w:rsidRDefault="00771F38">
      <w:pPr>
        <w:spacing w:line="594" w:lineRule="exact"/>
        <w:rPr>
          <w:rFonts w:cs="宋体" w:hint="default"/>
          <w:sz w:val="32"/>
          <w:szCs w:val="32"/>
        </w:rPr>
      </w:pPr>
      <w:r>
        <w:rPr>
          <w:rFonts w:cs="宋体"/>
          <w:sz w:val="32"/>
          <w:szCs w:val="32"/>
        </w:rPr>
        <w:t>备注：本表反映单位本年度国有资本经营预算财政拨款支出情况。本单位无国有资本经营收支，故本表无数据。</w:t>
      </w:r>
      <w:r>
        <w:rPr>
          <w:rFonts w:cs="宋体"/>
          <w:sz w:val="32"/>
          <w:szCs w:val="32"/>
        </w:rPr>
        <w:br/>
      </w:r>
      <w:r>
        <w:rPr>
          <w:rFonts w:cs="宋体"/>
          <w:sz w:val="32"/>
          <w:szCs w:val="32"/>
        </w:rPr>
        <w:br/>
      </w:r>
    </w:p>
    <w:p w:rsidR="00832EE3" w:rsidRDefault="00771F38">
      <w:pPr>
        <w:spacing w:line="594" w:lineRule="exact"/>
        <w:rPr>
          <w:rFonts w:cs="宋体" w:hint="default"/>
          <w:sz w:val="32"/>
          <w:szCs w:val="32"/>
        </w:rPr>
      </w:pPr>
      <w:r>
        <w:rPr>
          <w:rFonts w:cs="宋体"/>
          <w:sz w:val="32"/>
          <w:szCs w:val="32"/>
        </w:rPr>
        <w:br w:type="page"/>
      </w:r>
    </w:p>
    <w:tbl>
      <w:tblPr>
        <w:tblW w:w="22168" w:type="dxa"/>
        <w:tblLayout w:type="fixed"/>
        <w:tblCellMar>
          <w:left w:w="0" w:type="dxa"/>
          <w:right w:w="0" w:type="dxa"/>
        </w:tblCellMar>
        <w:tblLook w:val="04A0" w:firstRow="1" w:lastRow="0" w:firstColumn="1" w:lastColumn="0" w:noHBand="0" w:noVBand="1"/>
      </w:tblPr>
      <w:tblGrid>
        <w:gridCol w:w="5159"/>
        <w:gridCol w:w="3822"/>
        <w:gridCol w:w="3281"/>
        <w:gridCol w:w="6581"/>
        <w:gridCol w:w="3325"/>
      </w:tblGrid>
      <w:tr w:rsidR="00832EE3">
        <w:trPr>
          <w:trHeight w:val="510"/>
        </w:trPr>
        <w:tc>
          <w:tcPr>
            <w:tcW w:w="22168" w:type="dxa"/>
            <w:gridSpan w:val="5"/>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center"/>
              <w:textAlignment w:val="bottom"/>
              <w:rPr>
                <w:rFonts w:cs="宋体" w:hint="default"/>
                <w:b/>
                <w:color w:val="000000"/>
                <w:sz w:val="32"/>
                <w:szCs w:val="32"/>
              </w:rPr>
            </w:pPr>
            <w:r>
              <w:rPr>
                <w:rFonts w:cs="宋体"/>
                <w:b/>
                <w:color w:val="000000"/>
                <w:sz w:val="32"/>
                <w:szCs w:val="32"/>
              </w:rPr>
              <w:lastRenderedPageBreak/>
              <w:t>机构运行信息表</w:t>
            </w:r>
          </w:p>
        </w:tc>
      </w:tr>
      <w:tr w:rsidR="00832EE3">
        <w:trPr>
          <w:trHeight w:val="255"/>
        </w:trPr>
        <w:tc>
          <w:tcPr>
            <w:tcW w:w="5159"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82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jc w:val="center"/>
              <w:rPr>
                <w:rFonts w:ascii="Arial" w:hAnsi="Arial" w:cs="Arial" w:hint="default"/>
                <w:color w:val="000000"/>
                <w:sz w:val="32"/>
                <w:szCs w:val="32"/>
              </w:rPr>
            </w:pPr>
          </w:p>
        </w:tc>
        <w:tc>
          <w:tcPr>
            <w:tcW w:w="3281"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6581"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325"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公开09表</w:t>
            </w:r>
          </w:p>
        </w:tc>
      </w:tr>
      <w:tr w:rsidR="00832EE3">
        <w:trPr>
          <w:trHeight w:val="285"/>
        </w:trPr>
        <w:tc>
          <w:tcPr>
            <w:tcW w:w="5159"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textAlignment w:val="bottom"/>
              <w:rPr>
                <w:rFonts w:ascii="Arial" w:hAnsi="Arial" w:cs="Arial" w:hint="default"/>
                <w:color w:val="000000"/>
                <w:sz w:val="32"/>
                <w:szCs w:val="32"/>
              </w:rPr>
            </w:pPr>
            <w:r>
              <w:rPr>
                <w:rFonts w:asciiTheme="minorEastAsia" w:eastAsiaTheme="minorEastAsia" w:hAnsiTheme="minorEastAsia" w:cstheme="minorEastAsia"/>
                <w:sz w:val="32"/>
                <w:szCs w:val="32"/>
              </w:rPr>
              <w:t>公开单位</w:t>
            </w:r>
            <w:r>
              <w:rPr>
                <w:rFonts w:asciiTheme="minorEastAsia" w:eastAsiaTheme="minorEastAsia" w:hAnsiTheme="minorEastAsia" w:cstheme="minorEastAsia"/>
                <w:color w:val="000000"/>
                <w:sz w:val="32"/>
                <w:szCs w:val="32"/>
              </w:rPr>
              <w:t xml:space="preserve">： </w:t>
            </w:r>
            <w:r>
              <w:rPr>
                <w:color w:val="000000"/>
                <w:sz w:val="32"/>
                <w:szCs w:val="32"/>
              </w:rPr>
              <w:t>垫江县信访投诉受理中心</w:t>
            </w:r>
          </w:p>
        </w:tc>
        <w:tc>
          <w:tcPr>
            <w:tcW w:w="3822"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jc w:val="center"/>
              <w:rPr>
                <w:rFonts w:cs="宋体" w:hint="default"/>
                <w:color w:val="000000"/>
                <w:sz w:val="32"/>
                <w:szCs w:val="32"/>
              </w:rPr>
            </w:pPr>
          </w:p>
        </w:tc>
        <w:tc>
          <w:tcPr>
            <w:tcW w:w="3281"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c>
          <w:tcPr>
            <w:tcW w:w="6581" w:type="dxa"/>
            <w:tcBorders>
              <w:top w:val="nil"/>
              <w:left w:val="nil"/>
              <w:bottom w:val="nil"/>
              <w:right w:val="nil"/>
            </w:tcBorders>
            <w:shd w:val="clear" w:color="auto" w:fill="auto"/>
            <w:tcMar>
              <w:top w:w="15" w:type="dxa"/>
              <w:left w:w="15" w:type="dxa"/>
              <w:right w:w="15" w:type="dxa"/>
            </w:tcMar>
            <w:vAlign w:val="bottom"/>
          </w:tcPr>
          <w:p w:rsidR="00832EE3" w:rsidRDefault="00832EE3">
            <w:pPr>
              <w:spacing w:line="594" w:lineRule="exact"/>
              <w:rPr>
                <w:rFonts w:ascii="Arial" w:hAnsi="Arial" w:cs="Arial" w:hint="default"/>
                <w:color w:val="000000"/>
                <w:sz w:val="32"/>
                <w:szCs w:val="32"/>
              </w:rPr>
            </w:pPr>
          </w:p>
        </w:tc>
        <w:tc>
          <w:tcPr>
            <w:tcW w:w="3325" w:type="dxa"/>
            <w:tcBorders>
              <w:top w:val="nil"/>
              <w:left w:val="nil"/>
              <w:bottom w:val="nil"/>
              <w:right w:val="nil"/>
            </w:tcBorders>
            <w:shd w:val="clear" w:color="auto" w:fill="auto"/>
            <w:tcMar>
              <w:top w:w="15" w:type="dxa"/>
              <w:left w:w="15" w:type="dxa"/>
              <w:right w:w="15" w:type="dxa"/>
            </w:tcMar>
            <w:vAlign w:val="bottom"/>
          </w:tcPr>
          <w:p w:rsidR="00832EE3" w:rsidRDefault="00771F38">
            <w:pPr>
              <w:spacing w:line="594" w:lineRule="exact"/>
              <w:jc w:val="right"/>
              <w:textAlignment w:val="bottom"/>
              <w:rPr>
                <w:rFonts w:cs="宋体" w:hint="default"/>
                <w:color w:val="000000"/>
                <w:sz w:val="32"/>
                <w:szCs w:val="32"/>
              </w:rPr>
            </w:pPr>
            <w:r>
              <w:rPr>
                <w:rFonts w:cs="宋体"/>
                <w:color w:val="000000"/>
                <w:sz w:val="32"/>
                <w:szCs w:val="32"/>
              </w:rPr>
              <w:t>单位：</w:t>
            </w:r>
            <w:r>
              <w:rPr>
                <w:rFonts w:cs="宋体"/>
                <w:sz w:val="32"/>
                <w:szCs w:val="32"/>
              </w:rPr>
              <w:t>万元</w:t>
            </w:r>
          </w:p>
        </w:tc>
      </w:tr>
      <w:tr w:rsidR="00832EE3">
        <w:trPr>
          <w:trHeight w:val="308"/>
        </w:trPr>
        <w:tc>
          <w:tcPr>
            <w:tcW w:w="5159" w:type="dxa"/>
            <w:tcBorders>
              <w:top w:val="single" w:sz="4" w:space="0" w:color="000000"/>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  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预算数</w:t>
            </w:r>
          </w:p>
        </w:tc>
        <w:tc>
          <w:tcPr>
            <w:tcW w:w="3281"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决算数</w:t>
            </w:r>
          </w:p>
        </w:tc>
        <w:tc>
          <w:tcPr>
            <w:tcW w:w="6581" w:type="dxa"/>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项  目</w:t>
            </w:r>
          </w:p>
        </w:tc>
        <w:tc>
          <w:tcPr>
            <w:tcW w:w="3325"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832EE3" w:rsidRDefault="00771F38">
            <w:pPr>
              <w:spacing w:line="594" w:lineRule="exact"/>
              <w:jc w:val="center"/>
              <w:textAlignment w:val="center"/>
              <w:rPr>
                <w:rFonts w:cs="宋体" w:hint="default"/>
                <w:b/>
                <w:color w:val="000000"/>
                <w:sz w:val="32"/>
                <w:szCs w:val="32"/>
              </w:rPr>
            </w:pPr>
            <w:r>
              <w:rPr>
                <w:rFonts w:cs="宋体"/>
                <w:b/>
                <w:color w:val="000000"/>
                <w:sz w:val="32"/>
                <w:szCs w:val="32"/>
              </w:rPr>
              <w:t>决算数</w:t>
            </w: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一、“三公”经费支出</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四、机关运行经费</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（一）支出合计</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0.97</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0.97</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（一）行政单位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1．因公出国（境）费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2．公务用车购置及运行维护费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五、资产信息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（1）公务用车购置费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（一）车辆数合计（辆）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（2）公务用车运行维护费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1．副部（省）级及以上领导用车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3．公务接待费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0.97</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0.97</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2．主要领导干部用车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（1）国内接待费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0.97</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3．机要通信用车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其中：外事接待费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4．应急保障用车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（2）国（境）外接待费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5．执法执勤用车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（二）相关统计数</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6．特种专业技术用车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1．因公出国（境）团组数（个）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7．离退休干部用车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2．因公出国（境）人次数（人）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8．其他用车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3．公务用车购置数（辆）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（二）单价100万元（含）以上设备（不含车辆）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4．公务用车保有量（辆）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六、政府采购支出信息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5．国内公务接待批次（个）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14</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（一）政府采购支出合计</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其中：外事接待批次（个）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1．政府采购货物支出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6．国内公务接待人次（人）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98</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2．政府采购工程支出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其中：外事接待人次（人）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3．政府采购服务支出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7．国（境）外公务接待批次（个）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lastRenderedPageBreak/>
              <w:t xml:space="preserve">     8．国（境）外公务接待人次（人）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 xml:space="preserve">        其中：授予小微企业合同金额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二、会议费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textAlignment w:val="bottom"/>
              <w:rPr>
                <w:rFonts w:ascii="Arial" w:hAnsi="Arial" w:cs="Arial" w:hint="default"/>
                <w:color w:val="000000"/>
                <w:sz w:val="32"/>
                <w:szCs w:val="32"/>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r>
      <w:tr w:rsidR="00832EE3">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832EE3" w:rsidRDefault="00771F38">
            <w:pPr>
              <w:spacing w:line="594" w:lineRule="exact"/>
              <w:textAlignment w:val="center"/>
              <w:rPr>
                <w:rFonts w:cs="宋体" w:hint="default"/>
                <w:color w:val="000000"/>
                <w:sz w:val="32"/>
                <w:szCs w:val="32"/>
              </w:rPr>
            </w:pPr>
            <w:r>
              <w:rPr>
                <w:rFonts w:cs="宋体"/>
                <w:color w:val="000000"/>
                <w:sz w:val="32"/>
                <w:szCs w:val="32"/>
              </w:rPr>
              <w:t>三、培训费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832EE3" w:rsidRDefault="00771F38">
            <w:pPr>
              <w:spacing w:line="594" w:lineRule="exact"/>
              <w:jc w:val="center"/>
              <w:textAlignment w:val="center"/>
              <w:rPr>
                <w:rFonts w:cs="宋体" w:hint="default"/>
                <w:color w:val="000000"/>
                <w:sz w:val="32"/>
                <w:szCs w:val="32"/>
              </w:rPr>
            </w:pPr>
            <w:r>
              <w:rPr>
                <w:rFonts w:cs="宋体"/>
                <w:color w:val="000000"/>
                <w:sz w:val="32"/>
                <w:szCs w:val="3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832EE3" w:rsidRDefault="00771F38">
            <w:pPr>
              <w:spacing w:line="594" w:lineRule="exact"/>
              <w:jc w:val="right"/>
              <w:textAlignment w:val="bottom"/>
              <w:rPr>
                <w:rFonts w:ascii="Arial" w:hAnsi="Arial" w:cs="Arial" w:hint="default"/>
                <w:color w:val="000000"/>
                <w:sz w:val="32"/>
                <w:szCs w:val="32"/>
              </w:rPr>
            </w:pPr>
            <w:r>
              <w:rPr>
                <w:rFonts w:cs="宋体"/>
                <w:color w:val="000000"/>
                <w:sz w:val="32"/>
                <w:szCs w:val="32"/>
              </w:rPr>
              <w:t>0.48</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832EE3" w:rsidRDefault="00832EE3">
            <w:pPr>
              <w:spacing w:line="594" w:lineRule="exact"/>
              <w:rPr>
                <w:rFonts w:cs="宋体" w:hint="default"/>
                <w:color w:val="000000"/>
                <w:sz w:val="32"/>
                <w:szCs w:val="3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832EE3" w:rsidRDefault="00832EE3">
            <w:pPr>
              <w:spacing w:line="594" w:lineRule="exact"/>
              <w:jc w:val="right"/>
              <w:rPr>
                <w:rFonts w:ascii="Arial" w:hAnsi="Arial" w:cs="Arial" w:hint="default"/>
                <w:color w:val="000000"/>
                <w:sz w:val="32"/>
                <w:szCs w:val="32"/>
              </w:rPr>
            </w:pPr>
          </w:p>
        </w:tc>
      </w:tr>
    </w:tbl>
    <w:p w:rsidR="00832EE3" w:rsidRDefault="00771F38">
      <w:pPr>
        <w:spacing w:line="594" w:lineRule="exact"/>
        <w:rPr>
          <w:rFonts w:cs="宋体" w:hint="default"/>
          <w:sz w:val="32"/>
          <w:szCs w:val="32"/>
        </w:rPr>
      </w:pPr>
      <w:r>
        <w:rPr>
          <w:rFonts w:cs="宋体"/>
          <w:sz w:val="32"/>
          <w:szCs w:val="32"/>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32"/>
          <w:szCs w:val="32"/>
        </w:rPr>
        <w:br/>
        <w:t xml:space="preserve">      2.本套报表金额单位转换时可能存在尾数误差。</w:t>
      </w:r>
      <w:r>
        <w:rPr>
          <w:rFonts w:cs="宋体"/>
          <w:sz w:val="32"/>
          <w:szCs w:val="32"/>
        </w:rPr>
        <w:br/>
      </w:r>
      <w:r>
        <w:rPr>
          <w:rFonts w:cs="宋体"/>
          <w:sz w:val="32"/>
          <w:szCs w:val="32"/>
        </w:rPr>
        <w:br/>
      </w: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spacing w:line="594" w:lineRule="exact"/>
        <w:rPr>
          <w:rFonts w:cs="宋体" w:hint="default"/>
          <w:color w:val="000000"/>
          <w:sz w:val="32"/>
          <w:szCs w:val="32"/>
        </w:rPr>
      </w:pPr>
    </w:p>
    <w:p w:rsidR="00832EE3" w:rsidRDefault="00832EE3">
      <w:pPr>
        <w:pStyle w:val="1"/>
        <w:autoSpaceDE w:val="0"/>
        <w:spacing w:line="594" w:lineRule="exact"/>
        <w:ind w:firstLineChars="0" w:firstLine="0"/>
        <w:rPr>
          <w:rFonts w:cs="宋体"/>
          <w:sz w:val="32"/>
          <w:szCs w:val="32"/>
        </w:rPr>
      </w:pPr>
    </w:p>
    <w:sectPr w:rsidR="00832EE3">
      <w:headerReference w:type="default" r:id="rId9"/>
      <w:footerReference w:type="default" r:id="rId10"/>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429F" w:rsidRDefault="0080429F">
      <w:pPr>
        <w:rPr>
          <w:rFonts w:hint="default"/>
        </w:rPr>
      </w:pPr>
      <w:r>
        <w:separator/>
      </w:r>
    </w:p>
  </w:endnote>
  <w:endnote w:type="continuationSeparator" w:id="0">
    <w:p w:rsidR="0080429F" w:rsidRDefault="0080429F">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1F38" w:rsidRDefault="00771F38">
    <w:pPr>
      <w:pStyle w:val="a3"/>
      <w:rPr>
        <w:rFonts w:hint="default"/>
      </w:rPr>
    </w:pPr>
    <w:r>
      <w:rPr>
        <w:rFonts w:hint="default"/>
      </w:rPr>
      <w:pict>
        <v:shapetype id="_x0000_t202" coordsize="21600,21600" o:spt="202" path="m,l,21600r21600,l21600,xe">
          <v:stroke joinstyle="miter"/>
          <v:path gradientshapeok="t" o:connecttype="rect"/>
        </v:shapetype>
        <v:shape id="_x0000_s2050" type="#_x0000_t202" style="position:absolute;margin-left:0;margin-top:0;width:2in;height:2in;z-index:251661312;mso-wrap-style:none;mso-position-horizontal:center;mso-position-horizontal-relative:margin;mso-width-relative:page;mso-height-relative:page" filled="f" stroked="f" strokeweight=".5pt">
          <v:textbox style="mso-fit-shape-to-text:t" inset="0,0,0,0">
            <w:txbxContent>
              <w:p w:rsidR="00771F38" w:rsidRDefault="00771F38">
                <w:pPr>
                  <w:pStyle w:val="a3"/>
                  <w:rPr>
                    <w:rFonts w:hint="default"/>
                  </w:rPr>
                </w:pPr>
                <w:r>
                  <w:rPr>
                    <w:rFonts w:hint="default"/>
                  </w:rPr>
                  <w:fldChar w:fldCharType="begin"/>
                </w:r>
                <w:r>
                  <w:instrText xml:space="preserve"> PAGE  \* MERGEFORMAT </w:instrText>
                </w:r>
                <w:r>
                  <w:rPr>
                    <w:rFonts w:hint="default"/>
                  </w:rPr>
                  <w:fldChar w:fldCharType="separate"/>
                </w:r>
                <w:r w:rsidR="00351FAB">
                  <w:rPr>
                    <w:rFonts w:hint="default"/>
                    <w:noProof/>
                  </w:rPr>
                  <w:t>- 8 -</w:t>
                </w:r>
                <w:r>
                  <w:rPr>
                    <w:rFonts w:hint="default"/>
                  </w:rPr>
                  <w:fldChar w:fldCharType="end"/>
                </w:r>
              </w:p>
            </w:txbxContent>
          </v:textbox>
          <w10:wrap anchorx="margin"/>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1F38" w:rsidRDefault="00771F38">
    <w:pPr>
      <w:pStyle w:val="a3"/>
      <w:jc w:val="both"/>
      <w:rPr>
        <w:rFonts w:hint="default"/>
      </w:rPr>
    </w:pPr>
    <w:r>
      <w:rPr>
        <w:rFonts w:hint="default"/>
      </w:rPr>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0288;mso-wrap-style:none;mso-position-horizontal:center;mso-position-horizontal-relative:margin;mso-width-relative:page;mso-height-relative:page" o:allowoverlap="f" filled="f" stroked="f" strokeweight=".5pt">
          <v:textbox style="mso-fit-shape-to-text:t" inset="0,0,0,0">
            <w:txbxContent>
              <w:p w:rsidR="00771F38" w:rsidRDefault="00771F38">
                <w:pPr>
                  <w:pStyle w:val="a3"/>
                  <w:rPr>
                    <w:rFonts w:hint="default"/>
                  </w:rPr>
                </w:pPr>
                <w:r>
                  <w:rPr>
                    <w:rFonts w:hint="default"/>
                  </w:rPr>
                  <w:fldChar w:fldCharType="begin"/>
                </w:r>
                <w:r>
                  <w:instrText>PAGE   \* MERGEFORMAT</w:instrText>
                </w:r>
                <w:r>
                  <w:rPr>
                    <w:rFonts w:hint="default"/>
                  </w:rPr>
                  <w:fldChar w:fldCharType="separate"/>
                </w:r>
                <w:r w:rsidR="00351FAB" w:rsidRPr="00351FAB">
                  <w:rPr>
                    <w:rFonts w:hint="default"/>
                    <w:noProof/>
                    <w:lang w:val="zh-CN"/>
                  </w:rPr>
                  <w:t>-</w:t>
                </w:r>
                <w:r w:rsidR="00351FAB">
                  <w:rPr>
                    <w:rFonts w:hint="default"/>
                    <w:noProof/>
                  </w:rPr>
                  <w:t xml:space="preserve"> 11 -</w:t>
                </w:r>
                <w:r>
                  <w:rPr>
                    <w:rFonts w:hint="default"/>
                  </w:rPr>
                  <w:fldChar w:fldCharType="end"/>
                </w:r>
              </w:p>
            </w:txbxContent>
          </v:textbox>
          <w10:wrap anchorx="margin"/>
        </v:shape>
      </w:pict>
    </w:r>
    <w:r>
      <w:rPr>
        <w:rFonts w:hint="default"/>
      </w:rPr>
      <w:pict>
        <v:shape id="_x0000_s2051" type="#_x0000_t202" style="position:absolute;left:0;text-align:left;margin-left:0;margin-top:1160.4pt;width:2in;height:17.4pt;z-index:251659264;mso-wrap-style:none;mso-position-horizontal:center;mso-position-horizontal-relative:margin;mso-position-vertical-relative:page;mso-width-relative:page;mso-height-relative:page" o:allowoverlap="f" filled="f" stroked="f" strokeweight=".5pt">
          <v:textbox inset="0,0,0,0">
            <w:txbxContent>
              <w:p w:rsidR="00771F38" w:rsidRDefault="00771F38">
                <w:pPr>
                  <w:pStyle w:val="a3"/>
                  <w:jc w:val="both"/>
                  <w:rPr>
                    <w:rFonts w:cs="宋体" w:hint="default"/>
                  </w:rPr>
                </w:pPr>
                <w:r>
                  <w:rPr>
                    <w:rFonts w:cs="宋体"/>
                  </w:rPr>
                  <w:t>— 27.1 —</w:t>
                </w:r>
              </w:p>
            </w:txbxContent>
          </v:textbox>
          <w10:wrap anchorx="margin" anchory="pag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429F" w:rsidRDefault="0080429F">
      <w:pPr>
        <w:rPr>
          <w:rFonts w:hint="default"/>
        </w:rPr>
      </w:pPr>
      <w:r>
        <w:separator/>
      </w:r>
    </w:p>
  </w:footnote>
  <w:footnote w:type="continuationSeparator" w:id="0">
    <w:p w:rsidR="0080429F" w:rsidRDefault="0080429F">
      <w:pPr>
        <w:rPr>
          <w:rFonts w:hint="default"/>
        </w:rP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1F38" w:rsidRDefault="00771F38">
    <w:pPr>
      <w:pStyle w:val="a4"/>
      <w:tabs>
        <w:tab w:val="clear" w:pos="4153"/>
        <w:tab w:val="clear" w:pos="8306"/>
        <w:tab w:val="left" w:pos="1758"/>
      </w:tabs>
      <w:rPr>
        <w:rFonts w:hint="default"/>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5339A02"/>
    <w:multiLevelType w:val="singleLevel"/>
    <w:tmpl w:val="C5339A02"/>
    <w:lvl w:ilvl="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bordersDoNotSurroundHeader/>
  <w:bordersDoNotSurroundFooter/>
  <w:defaultTabStop w:val="420"/>
  <w:drawingGridVerticalSpacing w:val="156"/>
  <w:noPunctuationKerning/>
  <w:characterSpacingControl w:val="compressPunctuation"/>
  <w:hdrShapeDefaults>
    <o:shapedefaults v:ext="edit" spidmax="2053"/>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GQwYWQ1YTE0ZDA0NjgxYzlhMjZlMDExNTFmMWI3MmEifQ=="/>
  </w:docVars>
  <w:rsids>
    <w:rsidRoot w:val="00B03CCD"/>
    <w:rsid w:val="000074D3"/>
    <w:rsid w:val="000C5EFB"/>
    <w:rsid w:val="000D4CEC"/>
    <w:rsid w:val="00182616"/>
    <w:rsid w:val="00183077"/>
    <w:rsid w:val="002A4B99"/>
    <w:rsid w:val="00351FAB"/>
    <w:rsid w:val="003F69E5"/>
    <w:rsid w:val="00550ABE"/>
    <w:rsid w:val="00771F38"/>
    <w:rsid w:val="007B419D"/>
    <w:rsid w:val="0080429F"/>
    <w:rsid w:val="00832EE3"/>
    <w:rsid w:val="009B67B8"/>
    <w:rsid w:val="00AB6465"/>
    <w:rsid w:val="00B03CCD"/>
    <w:rsid w:val="00C61DDB"/>
    <w:rsid w:val="00CB1DCE"/>
    <w:rsid w:val="00D82610"/>
    <w:rsid w:val="00E25AA9"/>
    <w:rsid w:val="00F5723A"/>
    <w:rsid w:val="00F73F90"/>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0D27FE"/>
    <w:rsid w:val="4DAC4ACA"/>
    <w:rsid w:val="4DBE01D2"/>
    <w:rsid w:val="4E3C7483"/>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79D3C2E"/>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14:docId w14:val="65AF8B01"/>
  <w15:docId w15:val="{564E7BC8-EED2-430B-AC09-356E15AEF0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nhideWhenUsed="1"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pPr>
    <w:rPr>
      <w:sz w:val="18"/>
      <w:szCs w:val="18"/>
    </w:rPr>
  </w:style>
  <w:style w:type="paragraph" w:styleId="a4">
    <w:name w:val="header"/>
    <w:basedOn w:val="a"/>
    <w:qFormat/>
    <w:pPr>
      <w:tabs>
        <w:tab w:val="center" w:pos="4153"/>
        <w:tab w:val="right" w:pos="8306"/>
      </w:tabs>
      <w:snapToGrid w:val="0"/>
      <w:jc w:val="center"/>
    </w:pPr>
    <w:rPr>
      <w:sz w:val="18"/>
      <w:szCs w:val="18"/>
    </w:r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5">
    <w:name w:val="Normal (Web)"/>
    <w:basedOn w:val="a"/>
    <w:unhideWhenUsed/>
    <w:qFormat/>
    <w:pPr>
      <w:spacing w:before="100" w:beforeAutospacing="1" w:after="100" w:afterAutospacing="1"/>
    </w:pPr>
  </w:style>
  <w:style w:type="character" w:styleId="a6">
    <w:name w:val="Strong"/>
    <w:qFormat/>
    <w:rPr>
      <w:b/>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列出段落1"/>
    <w:basedOn w:val="a"/>
    <w:uiPriority w:val="99"/>
    <w:qFormat/>
    <w:pPr>
      <w:ind w:firstLineChars="200" w:firstLine="420"/>
    </w:pPr>
    <w:rPr>
      <w:rFonts w:hint="default"/>
    </w:rPr>
  </w:style>
  <w:style w:type="paragraph" w:customStyle="1" w:styleId="Char">
    <w:name w:val="普通(网站) Char"/>
    <w:qFormat/>
    <w:pPr>
      <w:spacing w:before="100" w:beforeAutospacing="1" w:after="100" w:afterAutospacing="1"/>
    </w:pPr>
    <w:rPr>
      <w:rFonts w:ascii="宋体" w:hAnsi="宋体"/>
      <w:sz w:val="24"/>
      <w:szCs w:val="24"/>
    </w:rPr>
  </w:style>
  <w:style w:type="character" w:customStyle="1" w:styleId="21">
    <w:name w:val="21"/>
    <w:qFormat/>
    <w:rPr>
      <w:rFonts w:ascii="Wingdings" w:hAnsi="Wingdings" w:cs="Wingdings" w:hint="default"/>
      <w:b/>
      <w:bCs/>
    </w:rPr>
  </w:style>
  <w:style w:type="paragraph" w:customStyle="1" w:styleId="2">
    <w:name w:val="列出段落2"/>
    <w:uiPriority w:val="99"/>
    <w:qFormat/>
    <w:pPr>
      <w:ind w:firstLineChars="200" w:firstLine="420"/>
    </w:pPr>
    <w:rPr>
      <w:rFonts w:ascii="宋体" w:hAnsi="宋体"/>
      <w:sz w:val="24"/>
      <w:szCs w:val="24"/>
    </w:rPr>
  </w:style>
  <w:style w:type="paragraph" w:customStyle="1" w:styleId="3">
    <w:name w:val="列出段落3"/>
    <w:basedOn w:val="a"/>
    <w:uiPriority w:val="99"/>
    <w:unhideWhenUsed/>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1785</Words>
  <Characters>10180</Characters>
  <Application>Microsoft Office Word</Application>
  <DocSecurity>0</DocSecurity>
  <Lines>84</Lines>
  <Paragraphs>23</Paragraphs>
  <ScaleCrop>false</ScaleCrop>
  <Company>微软中国</Company>
  <LinksUpToDate>false</LinksUpToDate>
  <CharactersWithSpaces>11942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垫江县信访投诉受理中心2023年度决算</dc:title>
  <dc:creator>Administrator</dc:creator>
  <cp:lastModifiedBy>吴幽</cp:lastModifiedBy>
  <cp:revision>17</cp:revision>
  <dcterms:created xsi:type="dcterms:W3CDTF">2024-08-21T06:47:00Z</dcterms:created>
  <dcterms:modified xsi:type="dcterms:W3CDTF">2024-09-09T02:30:00Z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y fmtid="{D5CDD505-2E9C-101B-9397-08002B2CF9AE}" pid="3" name="ICV">
    <vt:lpwstr>BB46EABDBB2749749395447164B066B3_12</vt:lpwstr>
  </property>
</Properties>
</file>