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垫江县社会治安综合治理中心</w:t>
      </w:r>
      <w:r>
        <w:rPr>
          <w:rFonts w:hint="default" w:ascii="Times New Roman" w:hAnsi="Times New Roman" w:eastAsia="方正小标宋_GBK"/>
          <w:sz w:val="36"/>
          <w:szCs w:val="36"/>
          <w:shd w:val="clear" w:color="auto" w:fill="FFFFFF"/>
        </w:rPr>
        <w:t>2023年度决算公开说明</w:t>
      </w:r>
    </w:p>
    <w:p>
      <w:pPr>
        <w:pStyle w:val="5"/>
        <w:shd w:val="clear" w:color="auto" w:fill="FFFFFF"/>
        <w:rPr>
          <w:rFonts w:hint="default" w:ascii="Times New Roman" w:hAnsi="Times New Roman" w:eastAsia="黑体"/>
          <w:sz w:val="32"/>
          <w:szCs w:val="32"/>
        </w:rPr>
      </w:pPr>
      <w:r>
        <w:rPr>
          <w:rStyle w:val="9"/>
          <w:rFonts w:hint="default" w:ascii="Times New Roman" w:hAnsi="Times New Roman" w:eastAsia="黑体"/>
          <w:sz w:val="32"/>
          <w:szCs w:val="32"/>
          <w:shd w:val="clear" w:color="auto" w:fill="FFFFFF"/>
        </w:rPr>
        <w:t>一、</w:t>
      </w:r>
      <w:r>
        <w:rPr>
          <w:rStyle w:val="9"/>
          <w:rFonts w:ascii="Times New Roman" w:hAnsi="Times New Roman" w:eastAsia="黑体"/>
          <w:sz w:val="32"/>
          <w:szCs w:val="32"/>
          <w:shd w:val="clear" w:color="auto" w:fill="FFFFFF"/>
        </w:rPr>
        <w:t>单位</w:t>
      </w:r>
      <w:r>
        <w:rPr>
          <w:rStyle w:val="9"/>
          <w:rFonts w:hint="default" w:ascii="Times New Roman" w:hAnsi="Times New Roman" w:eastAsia="黑体"/>
          <w:sz w:val="32"/>
          <w:szCs w:val="32"/>
          <w:shd w:val="clear" w:color="auto" w:fill="FFFFFF"/>
        </w:rPr>
        <w:t>基本情况</w:t>
      </w:r>
    </w:p>
    <w:p>
      <w:pPr>
        <w:pStyle w:val="5"/>
        <w:shd w:val="clear" w:color="auto" w:fill="FFFFFF"/>
        <w:ind w:firstLine="420"/>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（一）职能职责</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在县委政法委指导下推动全县社会治理工作体系建设，承担推动全县各级社会治安综合治理中心规范化建设的具体事务性工作，并提供信息化、智能化支撑。</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1.负责组织开展社会治理、平安建设有关问题调查研究，提出对策建议；</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2.负责组织开展社会治理和平安稳定形势研判及风险预测预警预防；</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3.组织协调社会治安防控体系建设，负责平台、数据分析、信息报送等工作；</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4.协调矛盾纠纷排查化解工作；</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5.协调推动网络化管理服务工作；</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6.推动特殊人群管理服务工作；</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7.推动心理健康服务体系建设；</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8.推进乡镇（街道）、村（社区）综治中心标准化、规范化建设工作；</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9.完成县委政法委交办的其他任务。</w:t>
      </w:r>
    </w:p>
    <w:p>
      <w:pPr>
        <w:pStyle w:val="5"/>
        <w:shd w:val="clear" w:color="auto" w:fill="FFFFFF"/>
        <w:ind w:firstLine="42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垫江县社会治安综合治理中心为县委政法委所属，相当于行政副科级财政全额拨款公益一类事业单位。</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综合协调科。负责综合性文稿起草、信息宣传工作；负责档案资料管理、安全保密、应急调度、后勤服务保障工作；负责社会治理、平安建设有关问题调查研究，提出对策建议；组织开展社会治理和平安稳定形势研判及风险预测预警预防；完成领导交办的其他事项。</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2.风险防范科。协调矛盾纠纷排查化解工作；推动特殊人群管理服务工作；参与推动心理健康服务体系建设；完成领导交办的其他事项。</w:t>
      </w:r>
    </w:p>
    <w:p>
      <w:pPr>
        <w:pStyle w:val="5"/>
        <w:shd w:val="clear" w:color="auto" w:fill="FFFFFF"/>
        <w:spacing w:before="0" w:beforeAutospacing="0" w:after="0" w:afterAutospacing="0" w:line="588" w:lineRule="atLeas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3.网络信息科。组织协调社会治安防控体系建设，负责平台运行、数据分析、信息报送等工作；负责协调推动网络化管理服务具体工作；负责推进乡镇（街道）、村（社区）综治中心标准化、规范化建设具体工作；完成领导交办的其他事项。</w:t>
      </w:r>
    </w:p>
    <w:p>
      <w:pPr>
        <w:pStyle w:val="5"/>
        <w:shd w:val="clear" w:color="auto" w:fill="FFFFFF"/>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二、部门决算情况说明</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（一）收入支出决算总体情况说明。</w:t>
      </w:r>
    </w:p>
    <w:p>
      <w:pPr>
        <w:pStyle w:val="5"/>
        <w:shd w:val="clear" w:color="auto" w:fill="FFFFFF"/>
        <w:spacing w:line="594" w:lineRule="exac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2023年度收入总计63.18万元，支出总计</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万元。收支较上年决算数增加63.18万元，增长100.00%，主要原因是本单位为2023年新增预算单位，上年度无决算数据。</w:t>
      </w:r>
    </w:p>
    <w:p>
      <w:pPr>
        <w:pStyle w:val="5"/>
        <w:shd w:val="clear" w:color="auto" w:fill="FFFFFF"/>
        <w:spacing w:line="594" w:lineRule="exac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2023年度收入合计63.18万元，较上年决算数增加63.18万元，增长100.00%，主要原因是本单位为2023年新增预算单位，上年度无决算数据。其中：财政拨款收入</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万元，较上年决算数增加63.18万元，增长100.00%，主要原因是本单位为2023年新增预算单位，上年度无决算数据。其中：基本支出</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万元，较上年决算数无增减，主要原因是2023年度年末无结转和结余。</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2023年度财政拨款收、支总计63.18万元。与2022年相比，财政拨款收、支总计各增加63.18万元，增长100.00%。主要原因是2023年新增预算单位，上年度无决算数据。</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较上年决算数增加63.18万元，增长100.00%。主要原因是2023年新增预算单位，上年度无决算数据。较年初预算数增加6.90万元，增长12.26%。主要原因是2023年新增1人及正常增资、政策性调资等。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万元，较上年决算数增加63.18万元，增长100.00%。主要原因是2023年新增预算单位，上年度无决算数据。较年初预算数增加6.90万元，增长12.26%。主要原因是2023年新增1人及正常增资、政策性调资等。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万元，较上年决算数无增减，主要原因是2023年度年末无结转结余。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53.48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84.64</w:t>
      </w:r>
      <w:r>
        <w:rPr>
          <w:rFonts w:hint="default" w:ascii="Times New Roman" w:hAnsi="Times New Roman" w:eastAsia="方正仿宋_GBK"/>
          <w:sz w:val="32"/>
          <w:szCs w:val="32"/>
          <w:shd w:val="clear" w:color="auto" w:fill="FFFFFF"/>
        </w:rPr>
        <w:t>%，较年初预算数增加6.90万元，增长14.81%，主要原因是2023年新增1人及正常增资、政策性调资等。</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5.06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8.01</w:t>
      </w:r>
      <w:r>
        <w:rPr>
          <w:rFonts w:hint="default" w:ascii="Times New Roman" w:hAnsi="Times New Roman" w:eastAsia="方正仿宋_GBK"/>
          <w:sz w:val="32"/>
          <w:szCs w:val="32"/>
          <w:shd w:val="clear" w:color="auto" w:fill="FFFFFF"/>
        </w:rPr>
        <w:t>%，较年初预算数无增减，主要原因是社会保障与就业支出与预算一致。</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2.11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3.34</w:t>
      </w:r>
      <w:r>
        <w:rPr>
          <w:rFonts w:hint="default" w:ascii="Times New Roman" w:hAnsi="Times New Roman" w:eastAsia="方正仿宋_GBK"/>
          <w:sz w:val="32"/>
          <w:szCs w:val="32"/>
          <w:shd w:val="clear" w:color="auto" w:fill="FFFFFF"/>
        </w:rPr>
        <w:t>%，较年初预算数无增减，主要原因是卫生健康支出与预算一致。</w:t>
      </w:r>
    </w:p>
    <w:p>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住房保障支出2.53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4.01</w:t>
      </w:r>
      <w:r>
        <w:rPr>
          <w:rFonts w:hint="default" w:ascii="Times New Roman" w:hAnsi="Times New Roman" w:eastAsia="方正仿宋_GBK"/>
          <w:sz w:val="32"/>
          <w:szCs w:val="32"/>
          <w:shd w:val="clear" w:color="auto" w:fill="FFFFFF"/>
        </w:rPr>
        <w:t>%，较年初预算数无增减，主要原因是</w:t>
      </w:r>
      <w:r>
        <w:rPr>
          <w:rFonts w:hint="default" w:ascii="Times New Roman" w:hAnsi="Times New Roman" w:eastAsia="方正仿宋_GBK"/>
          <w:sz w:val="32"/>
          <w:szCs w:val="32"/>
        </w:rPr>
        <w:t>住房保障支出与预算一致。</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63.18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54.74</w:t>
      </w:r>
      <w:r>
        <w:rPr>
          <w:rFonts w:hint="default" w:ascii="Times New Roman" w:hAnsi="Times New Roman" w:eastAsia="方正仿宋_GBK"/>
          <w:sz w:val="32"/>
          <w:szCs w:val="32"/>
          <w:shd w:val="clear" w:color="auto" w:fill="FFFFFF"/>
        </w:rPr>
        <w:t>万元，较上年决算数增加54.74万元，增长100.00%，主要原因是为2023年新增预算单位，上年度无决算数据。人员经费用途主要包括基本工资、津贴补贴、绩效工资、社会保障缴费、住房公积金、医疗费。公用经费</w:t>
      </w:r>
      <w:r>
        <w:rPr>
          <w:rFonts w:hint="default" w:ascii="Times New Roman" w:hAnsi="Times New Roman" w:eastAsia="方正仿宋_GBK"/>
          <w:sz w:val="32"/>
          <w:szCs w:val="32"/>
        </w:rPr>
        <w:t>8.45</w:t>
      </w:r>
      <w:r>
        <w:rPr>
          <w:rFonts w:hint="default" w:ascii="Times New Roman" w:hAnsi="Times New Roman" w:eastAsia="方正仿宋_GBK"/>
          <w:sz w:val="32"/>
          <w:szCs w:val="32"/>
          <w:shd w:val="clear" w:color="auto" w:fill="FFFFFF"/>
        </w:rPr>
        <w:t>万元，较上年决算数增加8.45万元，增长100.00%，主要原因是</w:t>
      </w:r>
      <w:r>
        <w:rPr>
          <w:rFonts w:ascii="Times New Roman" w:hAnsi="Times New Roman" w:eastAsia="方正仿宋_GBK"/>
          <w:sz w:val="32"/>
          <w:szCs w:val="32"/>
          <w:shd w:val="clear" w:color="auto" w:fill="FFFFFF"/>
        </w:rPr>
        <w:t>为</w:t>
      </w:r>
      <w:r>
        <w:rPr>
          <w:rFonts w:hint="default" w:ascii="Times New Roman" w:hAnsi="Times New Roman" w:eastAsia="方正仿宋_GBK"/>
          <w:sz w:val="32"/>
          <w:szCs w:val="32"/>
          <w:shd w:val="clear" w:color="auto" w:fill="FFFFFF"/>
        </w:rPr>
        <w:t>2023年新增预算单位，上年度无决算数据。公用经费用途主要包括办公费、邮电费、差旅费、培训费、工会经费、福利费等。</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2023年度无国有资本经营预算财政拨款支出。</w:t>
      </w:r>
    </w:p>
    <w:p>
      <w:pPr>
        <w:pStyle w:val="5"/>
        <w:shd w:val="clear" w:color="auto" w:fill="FFFFFF"/>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三、“三公”经费情况说明</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万元，较年初预算数无增减，主要原因是 “三公”经费支出</w:t>
      </w:r>
      <w:r>
        <w:rPr>
          <w:rFonts w:ascii="Times New Roman" w:hAnsi="Times New Roman" w:eastAsia="方正仿宋_GBK"/>
          <w:sz w:val="32"/>
          <w:szCs w:val="32"/>
          <w:shd w:val="clear" w:color="auto" w:fill="FFFFFF"/>
        </w:rPr>
        <w:t>与预算一致</w:t>
      </w:r>
      <w:r>
        <w:rPr>
          <w:rFonts w:hint="default" w:ascii="Times New Roman" w:hAnsi="Times New Roman" w:eastAsia="方正仿宋_GBK"/>
          <w:sz w:val="32"/>
          <w:szCs w:val="32"/>
          <w:shd w:val="clear" w:color="auto" w:fill="FFFFFF"/>
        </w:rPr>
        <w:t>。较上年支出数增加1.00万元，增长100.00%，主要原因是</w:t>
      </w:r>
      <w:r>
        <w:rPr>
          <w:rFonts w:ascii="Times New Roman" w:hAnsi="Times New Roman" w:eastAsia="方正仿宋_GBK"/>
          <w:sz w:val="32"/>
          <w:szCs w:val="32"/>
          <w:shd w:val="clear" w:color="auto" w:fill="FFFFFF"/>
        </w:rPr>
        <w:t>为</w:t>
      </w:r>
      <w:r>
        <w:rPr>
          <w:rFonts w:hint="default" w:ascii="Times New Roman" w:hAnsi="Times New Roman" w:eastAsia="方正仿宋_GBK"/>
          <w:sz w:val="32"/>
          <w:szCs w:val="32"/>
          <w:shd w:val="clear" w:color="auto" w:fill="FFFFFF"/>
        </w:rPr>
        <w:t>2023年新增预算单位，上年度无决算数据</w:t>
      </w:r>
      <w:r>
        <w:rPr>
          <w:rFonts w:ascii="Times New Roman" w:hAnsi="Times New Roman" w:eastAsia="方正仿宋_GBK"/>
          <w:sz w:val="32"/>
          <w:szCs w:val="32"/>
          <w:shd w:val="clear" w:color="auto" w:fill="FFFFFF"/>
        </w:rPr>
        <w:t>。</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万元，主要用于</w:t>
      </w:r>
      <w:bookmarkStart w:id="0" w:name="_GoBack"/>
      <w:bookmarkEnd w:id="0"/>
      <w:r>
        <w:rPr>
          <w:rFonts w:hint="default" w:ascii="Times New Roman" w:hAnsi="Times New Roman" w:eastAsia="方正仿宋_GBK"/>
          <w:sz w:val="32"/>
          <w:szCs w:val="32"/>
          <w:shd w:val="clear" w:color="auto" w:fill="FFFFFF"/>
        </w:rPr>
        <w:t>接待</w:t>
      </w:r>
      <w:r>
        <w:rPr>
          <w:rFonts w:hint="default" w:ascii="Times New Roman" w:hAnsi="Times New Roman" w:eastAsia="方正仿宋_GBK"/>
          <w:color w:val="333333"/>
          <w:sz w:val="32"/>
          <w:szCs w:val="32"/>
          <w:shd w:val="clear" w:color="auto" w:fill="FFFFFF"/>
        </w:rPr>
        <w:t>同级单位到我单位学习调研，接受上级和其他部门检查指导工作发生的接待支出</w:t>
      </w:r>
      <w:r>
        <w:rPr>
          <w:rFonts w:ascii="Times New Roman" w:hAnsi="Times New Roman" w:eastAsia="方正仿宋_GBK"/>
          <w:color w:val="333333"/>
          <w:sz w:val="32"/>
          <w:szCs w:val="32"/>
          <w:shd w:val="clear" w:color="auto" w:fill="FFFFFF"/>
        </w:rPr>
        <w:t>。</w:t>
      </w:r>
      <w:r>
        <w:rPr>
          <w:rFonts w:hint="default" w:ascii="Times New Roman" w:hAnsi="Times New Roman" w:eastAsia="方正仿宋_GBK"/>
          <w:sz w:val="32"/>
          <w:szCs w:val="32"/>
          <w:shd w:val="clear" w:color="auto" w:fill="FFFFFF"/>
        </w:rPr>
        <w:t>费用支出较年初预算数无增减，主要原因是</w:t>
      </w:r>
      <w:r>
        <w:rPr>
          <w:rFonts w:ascii="Times New Roman" w:hAnsi="Times New Roman" w:eastAsia="方正仿宋_GBK"/>
          <w:sz w:val="32"/>
          <w:szCs w:val="32"/>
          <w:shd w:val="clear" w:color="auto" w:fill="FFFFFF"/>
        </w:rPr>
        <w:t>接待费与年初预算一致。</w:t>
      </w:r>
      <w:r>
        <w:rPr>
          <w:rFonts w:hint="default" w:ascii="Times New Roman" w:hAnsi="Times New Roman" w:eastAsia="方正仿宋_GBK"/>
          <w:sz w:val="32"/>
          <w:szCs w:val="32"/>
          <w:shd w:val="clear" w:color="auto" w:fill="FFFFFF"/>
        </w:rPr>
        <w:t>较上年支出数增加1.00万元，增长100.00%，主要原因是</w:t>
      </w:r>
      <w:r>
        <w:rPr>
          <w:rFonts w:ascii="Times New Roman" w:hAnsi="Times New Roman" w:eastAsia="方正仿宋_GBK"/>
          <w:sz w:val="32"/>
          <w:szCs w:val="32"/>
          <w:shd w:val="clear" w:color="auto" w:fill="FFFFFF"/>
        </w:rPr>
        <w:t>本单位为2023年新增预算单位，上年无决算数据。</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16</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110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90.91</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5"/>
        <w:shd w:val="clear" w:color="auto" w:fill="FFFFFF"/>
        <w:rPr>
          <w:rStyle w:val="9"/>
          <w:rFonts w:hint="default" w:ascii="Times New Roman" w:hAnsi="Times New Roman" w:eastAsia="方正仿宋_GBK"/>
          <w:sz w:val="32"/>
          <w:szCs w:val="32"/>
          <w:shd w:val="clear" w:color="auto" w:fill="FFFFFF"/>
        </w:rPr>
      </w:pPr>
      <w:r>
        <w:rPr>
          <w:rStyle w:val="9"/>
          <w:rFonts w:hint="default" w:ascii="Times New Roman" w:hAnsi="Times New Roman" w:eastAsia="黑体"/>
          <w:sz w:val="32"/>
          <w:szCs w:val="32"/>
          <w:shd w:val="clear" w:color="auto" w:fill="FFFFFF"/>
        </w:rPr>
        <w:t>四、其他需要说明的事项</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0.60</w:t>
      </w:r>
      <w:r>
        <w:rPr>
          <w:rFonts w:hint="default" w:ascii="Times New Roman" w:hAnsi="Times New Roman" w:eastAsia="方正仿宋_GBK"/>
          <w:sz w:val="32"/>
          <w:szCs w:val="32"/>
          <w:shd w:val="clear" w:color="auto" w:fill="FFFFFF"/>
        </w:rPr>
        <w:t>万元，较上年决算数增加0.60万元，增长100.00%，主要原因是</w:t>
      </w:r>
      <w:r>
        <w:rPr>
          <w:rFonts w:ascii="Times New Roman" w:hAnsi="Times New Roman" w:eastAsia="方正仿宋_GBK"/>
          <w:sz w:val="32"/>
          <w:szCs w:val="32"/>
          <w:shd w:val="clear" w:color="auto" w:fill="FFFFFF"/>
        </w:rPr>
        <w:t>本单位为2023年新增预算单位，上年无决算数据</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0.16</w:t>
      </w:r>
      <w:r>
        <w:rPr>
          <w:rFonts w:hint="default" w:ascii="Times New Roman" w:hAnsi="Times New Roman" w:eastAsia="方正仿宋_GBK"/>
          <w:sz w:val="32"/>
          <w:szCs w:val="32"/>
          <w:shd w:val="clear" w:color="auto" w:fill="FFFFFF"/>
        </w:rPr>
        <w:t>万元，较上年决算数增加0.16万元，增长100.00%，主要原因是</w:t>
      </w:r>
      <w:r>
        <w:rPr>
          <w:rFonts w:ascii="Times New Roman" w:hAnsi="Times New Roman" w:eastAsia="方正仿宋_GBK"/>
          <w:sz w:val="32"/>
          <w:szCs w:val="32"/>
          <w:shd w:val="clear" w:color="auto" w:fill="FFFFFF"/>
        </w:rPr>
        <w:t>本单位为2023年新增预算单位，上年无决算数据。</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（二）机关运行经费情况说明</w:t>
      </w:r>
    </w:p>
    <w:p>
      <w:pPr>
        <w:pStyle w:val="10"/>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2023年度本部门机关运行经费支出0.00万元，机关运行经费较上年支出数无增减，主要原因是按照部门决算列报口径，我单位不在机关运行经费统计范围之内。</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numPr>
          <w:ilvl w:val="0"/>
          <w:numId w:val="1"/>
        </w:numPr>
        <w:shd w:val="clear" w:color="auto" w:fill="FFFFFF"/>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预算绩效管理情况说明</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（一）单位自评情况</w:t>
      </w:r>
    </w:p>
    <w:p>
      <w:pPr>
        <w:pStyle w:val="11"/>
        <w:autoSpaceDE w:val="0"/>
        <w:spacing w:before="0" w:beforeAutospacing="0" w:line="600" w:lineRule="exact"/>
        <w:ind w:firstLine="640" w:firstLineChars="200"/>
        <w:rPr>
          <w:rFonts w:ascii="Times New Roman" w:hAnsi="Times New Roman" w:eastAsia="方正仿宋_GBK"/>
          <w:sz w:val="32"/>
          <w:szCs w:val="32"/>
          <w:highlight w:val="yellow"/>
          <w:shd w:val="clear" w:color="auto" w:fill="FFFFFF"/>
          <w:lang w:bidi="ar"/>
        </w:rPr>
      </w:pPr>
      <w:r>
        <w:rPr>
          <w:rFonts w:ascii="Times New Roman" w:hAnsi="Times New Roman" w:eastAsia="方正仿宋_GBK"/>
          <w:sz w:val="32"/>
          <w:szCs w:val="32"/>
          <w:shd w:val="clear" w:color="auto" w:fill="FFFFFF"/>
          <w:lang w:bidi="ar"/>
        </w:rPr>
        <w:t>根据预算绩效管理要求，我单位涉及项目支出资金</w:t>
      </w:r>
      <w:r>
        <w:rPr>
          <w:rFonts w:hint="eastAsia" w:ascii="Times New Roman" w:hAnsi="Times New Roman" w:eastAsia="方正仿宋_GBK"/>
          <w:sz w:val="32"/>
          <w:szCs w:val="32"/>
          <w:shd w:val="clear" w:color="auto" w:fill="FFFFFF"/>
          <w:lang w:bidi="ar"/>
        </w:rPr>
        <w:t>0</w:t>
      </w:r>
      <w:r>
        <w:rPr>
          <w:rFonts w:ascii="Times New Roman" w:hAnsi="Times New Roman" w:eastAsia="方正仿宋_GBK"/>
          <w:sz w:val="32"/>
          <w:szCs w:val="32"/>
          <w:shd w:val="clear" w:color="auto" w:fill="FFFFFF"/>
          <w:lang w:bidi="ar"/>
        </w:rPr>
        <w:t>万元</w:t>
      </w:r>
      <w:r>
        <w:rPr>
          <w:rFonts w:hint="eastAsia" w:ascii="Times New Roman" w:hAnsi="Times New Roman" w:eastAsia="方正仿宋_GBK"/>
          <w:sz w:val="32"/>
          <w:szCs w:val="32"/>
          <w:shd w:val="clear" w:color="auto" w:fill="FFFFFF"/>
          <w:lang w:bidi="ar"/>
        </w:rPr>
        <w:t>。</w:t>
      </w:r>
    </w:p>
    <w:p>
      <w:pPr>
        <w:pStyle w:val="10"/>
        <w:numPr>
          <w:ilvl w:val="0"/>
          <w:numId w:val="2"/>
        </w:numPr>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单位绩效评价情况</w:t>
      </w:r>
    </w:p>
    <w:p>
      <w:pPr>
        <w:pStyle w:val="10"/>
        <w:autoSpaceDE w:val="0"/>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我单位未组织开展绩效评价。</w:t>
      </w:r>
    </w:p>
    <w:p>
      <w:pPr>
        <w:pStyle w:val="10"/>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（三）财政绩效评价情况</w:t>
      </w:r>
    </w:p>
    <w:p>
      <w:pPr>
        <w:pStyle w:val="10"/>
        <w:autoSpaceDE w:val="0"/>
        <w:ind w:firstLine="640"/>
        <w:rPr>
          <w:rFonts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县</w:t>
      </w:r>
      <w:r>
        <w:rPr>
          <w:rFonts w:ascii="Times New Roman" w:hAnsi="Times New Roman" w:eastAsia="方正仿宋_GBK"/>
          <w:sz w:val="32"/>
          <w:szCs w:val="32"/>
          <w:shd w:val="clear" w:color="auto" w:fill="FFFFFF"/>
          <w:lang w:bidi="ar"/>
        </w:rPr>
        <w:t>财政局未委托第三方对我单位开展绩效评价。</w:t>
      </w:r>
    </w:p>
    <w:p>
      <w:pPr>
        <w:pStyle w:val="5"/>
        <w:shd w:val="clear" w:color="auto" w:fill="FFFFFF"/>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lang w:bidi="ar"/>
        </w:rPr>
        <w:t> </w:t>
      </w:r>
      <w:r>
        <w:rPr>
          <w:rFonts w:hint="default" w:ascii="Times New Roman" w:hAnsi="Times New Roman" w:eastAsia="楷体"/>
          <w:b/>
          <w:bCs/>
          <w:sz w:val="32"/>
          <w:szCs w:val="32"/>
          <w:shd w:val="clear" w:color="auto" w:fill="FFFFFF"/>
          <w:lang w:bidi="ar"/>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王老师，74511603</w:t>
      </w:r>
      <w:r>
        <w:rPr>
          <w:rFonts w:hint="default" w:ascii="Times New Roman" w:hAnsi="Times New Roman" w:eastAsia="方正仿宋_GBK"/>
          <w:sz w:val="32"/>
          <w:szCs w:val="32"/>
          <w:shd w:val="clear" w:color="auto" w:fill="FFFFFF"/>
        </w:rPr>
        <w:t>。</w:t>
      </w:r>
    </w:p>
    <w:p>
      <w:pPr>
        <w:pStyle w:val="10"/>
        <w:autoSpaceDE w:val="0"/>
        <w:ind w:firstLine="0" w:firstLineChars="0"/>
        <w:rPr>
          <w:rStyle w:val="9"/>
          <w:rFonts w:ascii="Times New Roman" w:hAnsi="Times New Roman" w:eastAsia="方正仿宋_GBK"/>
          <w:sz w:val="32"/>
          <w:szCs w:val="32"/>
          <w:shd w:val="clear" w:color="auto" w:fill="FFFF00"/>
        </w:rPr>
      </w:pPr>
    </w:p>
    <w:p>
      <w:pPr>
        <w:pStyle w:val="10"/>
        <w:autoSpaceDE w:val="0"/>
        <w:ind w:firstLine="0" w:firstLineChars="0"/>
        <w:rPr>
          <w:rStyle w:val="9"/>
          <w:rFonts w:ascii="Times New Roman" w:hAnsi="Times New Roman" w:eastAsia="方正仿宋_GBK"/>
          <w:sz w:val="32"/>
          <w:szCs w:val="32"/>
          <w:shd w:val="clear" w:color="auto" w:fill="FFFF00"/>
        </w:rPr>
      </w:pPr>
    </w:p>
    <w:p>
      <w:pPr>
        <w:pStyle w:val="10"/>
        <w:autoSpaceDE w:val="0"/>
        <w:ind w:firstLine="0" w:firstLineChars="0"/>
        <w:rPr>
          <w:rStyle w:val="9"/>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rPr>
            </w:pPr>
            <w:r>
              <w:rPr>
                <w:rFonts w:hint="default" w:ascii="Times New Roman" w:hAnsi="Times New Roman"/>
              </w:rPr>
              <w:t>公开单位：垫江县社会治安综合治理中心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53.48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2.11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63.18 </w:t>
            </w:r>
          </w:p>
        </w:tc>
      </w:tr>
    </w:tbl>
    <w:p>
      <w:pPr>
        <w:rPr>
          <w:rFonts w:hint="default" w:ascii="Times New Roman" w:hAnsi="Times New Roman"/>
          <w:sz w:val="21"/>
          <w:szCs w:val="21"/>
          <w:lang w:bidi="ar"/>
        </w:rPr>
      </w:pPr>
      <w:r>
        <w:rPr>
          <w:rFonts w:hint="default" w:ascii="Times New Roman" w:hAnsi="Times New Roman"/>
          <w:sz w:val="21"/>
          <w:szCs w:val="21"/>
          <w:lang w:bidi="ar"/>
        </w:rPr>
        <w:t>备注：1.本表反映单位本年度的总收支和年末结转结余情况。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rPr>
          <w:rFonts w:hint="default" w:ascii="Times New Roman" w:hAnsi="Times New Roman"/>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rPr>
              <w:t>公开单位：垫江县社会治安综合治理中心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63.18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63.18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2012950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53.48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53.48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ind w:left="630" w:hanging="630" w:hangingChars="300"/>
        <w:rPr>
          <w:rFonts w:hint="default" w:ascii="Times New Roman" w:hAnsi="Times New Roman"/>
          <w:sz w:val="21"/>
          <w:szCs w:val="21"/>
          <w:lang w:bidi="ar"/>
        </w:rPr>
      </w:pPr>
      <w:r>
        <w:rPr>
          <w:rFonts w:hint="default" w:ascii="Times New Roman" w:hAnsi="Times New Roman"/>
          <w:sz w:val="21"/>
          <w:szCs w:val="21"/>
          <w:lang w:bidi="ar"/>
        </w:rPr>
        <w:t>备注：1.本表反映单位本年度取得的各项收入情况。</w:t>
      </w:r>
      <w:r>
        <w:rPr>
          <w:rFonts w:hint="default" w:ascii="Times New Roman" w:hAnsi="Times New Roman"/>
          <w:sz w:val="21"/>
          <w:szCs w:val="21"/>
          <w:lang w:bidi="ar"/>
        </w:rPr>
        <w:br w:type="textWrapping"/>
      </w:r>
      <w:r>
        <w:rPr>
          <w:rFonts w:hint="default" w:ascii="Times New Roman" w:hAnsi="Times New Roman"/>
          <w:sz w:val="21"/>
          <w:szCs w:val="21"/>
          <w:lang w:bidi="ar"/>
        </w:rPr>
        <w:t>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lang w:bidi="ar"/>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ind w:left="630" w:hanging="630" w:hangingChars="300"/>
        <w:rPr>
          <w:rFonts w:hint="default" w:ascii="Times New Roman" w:hAnsi="Times New Roman"/>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 xml:space="preserve">垫江县社会治安综合治理中心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63.18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63.18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53.48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2012950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53.48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53.48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备注：1.本表反映单位本年度各项支出情况。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rPr>
          <w:rFonts w:hint="default" w:ascii="Times New Roman" w:hAnsi="Times New Roman"/>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垫江县社会治安综合治理中心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53.48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53.48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63.18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63.18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63.18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备注：1.本表反映单位本年度一般公共预算财政拨款、政府性基金预算财政拨款及国有资本经营预算财政拨款的总收支和年末结转结余情况。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垫江县社会治安综合治理中心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63.18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63.18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53.48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53.48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20129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群众团体事务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53.48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53.48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2012950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53.48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53.48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2.11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2.11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2.11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备注：1.本表反映单位本年度一般公共预算财政拨款支出情况。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垫江县社会治安综合治理中心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54.74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29.64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54.74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8.45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备注：1.本表反映单位本年度一般公共预算财政拨款基本支出明细情况。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垫江县社会治安综合治理中心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垫江县社会治安综合治理中心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rPr>
          <w:rFonts w:hint="default" w:ascii="Times New Roman" w:hAnsi="Times New Roman"/>
          <w:sz w:val="21"/>
          <w:szCs w:val="21"/>
          <w:lang w:bidi="ar"/>
        </w:rPr>
      </w:pPr>
      <w:r>
        <w:rPr>
          <w:rFonts w:hint="default" w:ascii="Times New Roman" w:hAnsi="Times New Roman"/>
          <w:sz w:val="21"/>
          <w:szCs w:val="21"/>
          <w:lang w:bidi="ar"/>
        </w:rPr>
        <w:t>备注：本表反映单位本年度国有资本经营预算财政拨款支出情况。本单位无国有资本经营收支，故本表无数据。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sz w:val="22"/>
                <w:szCs w:val="22"/>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垫江县社会治安综合治理中心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0.60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0.16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pStyle w:val="10"/>
        <w:autoSpaceDE w:val="0"/>
        <w:ind w:firstLine="0" w:firstLineChars="0"/>
        <w:rPr>
          <w:rFonts w:ascii="Times New Roman" w:hAnsi="Times New Roman"/>
          <w:sz w:val="21"/>
          <w:szCs w:val="21"/>
        </w:rPr>
      </w:pPr>
    </w:p>
    <w:sectPr>
      <w:headerReference r:id="rId4" w:type="default"/>
      <w:footerReference r:id="rId5" w:type="default"/>
      <w:pgSz w:w="23811" w:h="16838" w:orient="landscape"/>
      <w:pgMar w:top="1984" w:right="1446" w:bottom="1644" w:left="1446"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25EDDED"/>
    <w:multiLevelType w:val="singleLevel"/>
    <w:tmpl w:val="D25EDD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2U1NTUyMzhkZmU0YjNjNWJlZjY5ZWYyNjNjYjgifQ=="/>
  </w:docVars>
  <w:rsids>
    <w:rsidRoot w:val="00B03CCD"/>
    <w:rsid w:val="000F6E42"/>
    <w:rsid w:val="00550ABE"/>
    <w:rsid w:val="0077225B"/>
    <w:rsid w:val="007B419D"/>
    <w:rsid w:val="009251C3"/>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33971"/>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EF182E"/>
    <w:rsid w:val="36C9128A"/>
    <w:rsid w:val="371F403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2F5A62"/>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1903</Words>
  <Characters>10853</Characters>
  <Lines>90</Lines>
  <Paragraphs>25</Paragraphs>
  <TotalTime>2</TotalTime>
  <ScaleCrop>false</ScaleCrop>
  <LinksUpToDate>false</LinksUpToDate>
  <CharactersWithSpaces>12731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2024-09-11T07:17:00Z</dcterms:modified>
  <dc:title>垫江县社会治安综合治理中心2023年度决算公开说明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3C247D972B0E4F55BEBDBEF48B304150_13</vt:lpwstr>
  </property>
</Properties>
</file>