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line="594" w:lineRule="exact"/>
        <w:ind w:firstLine="720" w:firstLineChars="200"/>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中共垫江县委政法委员会</w:t>
      </w:r>
      <w:r>
        <w:rPr>
          <w:rFonts w:hint="default" w:ascii="Times New Roman" w:hAnsi="Times New Roman" w:eastAsia="方正小标宋_GBK"/>
          <w:sz w:val="36"/>
          <w:szCs w:val="36"/>
          <w:shd w:val="clear" w:color="auto" w:fill="FFFFFF"/>
        </w:rPr>
        <w:t>2023年度决算公开说明</w:t>
      </w:r>
    </w:p>
    <w:p>
      <w:pPr>
        <w:pStyle w:val="5"/>
        <w:shd w:val="clear" w:color="auto" w:fill="FFFFFF"/>
        <w:spacing w:beforeAutospacing="0" w:line="594" w:lineRule="exact"/>
        <w:ind w:firstLine="643" w:firstLineChars="200"/>
        <w:rPr>
          <w:rFonts w:hint="default" w:ascii="Times New Roman" w:hAnsi="Times New Roman" w:eastAsia="黑体"/>
          <w:sz w:val="32"/>
          <w:szCs w:val="32"/>
        </w:rPr>
      </w:pPr>
      <w:r>
        <w:rPr>
          <w:rStyle w:val="9"/>
          <w:rFonts w:hint="default" w:ascii="Times New Roman" w:hAnsi="Times New Roman" w:eastAsia="黑体"/>
          <w:sz w:val="32"/>
          <w:szCs w:val="32"/>
          <w:shd w:val="clear" w:color="auto" w:fill="FFFFFF"/>
        </w:rPr>
        <w:t>一、部门基本情况</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（一）职能职责</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方正仿宋_GBK"/>
          <w:color w:val="333333"/>
          <w:sz w:val="32"/>
          <w:szCs w:val="32"/>
          <w:shd w:val="clear" w:color="auto" w:fill="FFFFFF"/>
        </w:rPr>
        <w:t>中共垫江县委政法委员会是</w:t>
      </w:r>
      <w:r>
        <w:rPr>
          <w:rFonts w:hint="default" w:ascii="Times New Roman" w:hAnsi="Times New Roman" w:eastAsia="微软雅黑"/>
          <w:color w:val="333333"/>
          <w:sz w:val="32"/>
          <w:szCs w:val="32"/>
          <w:shd w:val="clear" w:color="auto" w:fill="FFFFFF"/>
        </w:rPr>
        <w:t>“</w:t>
      </w:r>
      <w:r>
        <w:rPr>
          <w:rFonts w:hint="default" w:ascii="Times New Roman" w:hAnsi="Times New Roman" w:eastAsia="方正仿宋_GBK"/>
          <w:color w:val="333333"/>
          <w:sz w:val="32"/>
          <w:szCs w:val="32"/>
          <w:shd w:val="clear" w:color="auto" w:fill="FFFFFF"/>
        </w:rPr>
        <w:t>领导、指导、监督、协调</w:t>
      </w:r>
      <w:r>
        <w:rPr>
          <w:rFonts w:hint="default" w:ascii="Times New Roman" w:hAnsi="Times New Roman" w:eastAsia="微软雅黑"/>
          <w:color w:val="333333"/>
          <w:sz w:val="32"/>
          <w:szCs w:val="32"/>
          <w:shd w:val="clear" w:color="auto" w:fill="FFFFFF"/>
        </w:rPr>
        <w:t>”</w:t>
      </w:r>
      <w:r>
        <w:rPr>
          <w:rFonts w:hint="default" w:ascii="Times New Roman" w:hAnsi="Times New Roman" w:eastAsia="方正仿宋_GBK"/>
          <w:color w:val="333333"/>
          <w:sz w:val="32"/>
          <w:szCs w:val="32"/>
          <w:shd w:val="clear" w:color="auto" w:fill="FFFFFF"/>
        </w:rPr>
        <w:t>全县政法工作的县委工作机构，根据县委、县政府关于印发《垫江县机构改革方案》的通知（垫江委发〔</w:t>
      </w:r>
      <w:r>
        <w:rPr>
          <w:rFonts w:hint="default" w:ascii="Times New Roman" w:hAnsi="Times New Roman" w:eastAsia="微软雅黑"/>
          <w:color w:val="333333"/>
          <w:sz w:val="32"/>
          <w:szCs w:val="32"/>
          <w:shd w:val="clear" w:color="auto" w:fill="FFFFFF"/>
        </w:rPr>
        <w:t>2019</w:t>
      </w:r>
      <w:r>
        <w:rPr>
          <w:rFonts w:hint="default" w:ascii="Times New Roman" w:hAnsi="Times New Roman" w:eastAsia="方正仿宋_GBK"/>
          <w:color w:val="333333"/>
          <w:sz w:val="32"/>
          <w:szCs w:val="32"/>
          <w:shd w:val="clear" w:color="auto" w:fill="FFFFFF"/>
        </w:rPr>
        <w:t>〕</w:t>
      </w:r>
      <w:r>
        <w:rPr>
          <w:rFonts w:hint="default" w:ascii="Times New Roman" w:hAnsi="Times New Roman" w:eastAsia="微软雅黑"/>
          <w:color w:val="333333"/>
          <w:sz w:val="32"/>
          <w:szCs w:val="32"/>
          <w:shd w:val="clear" w:color="auto" w:fill="FFFFFF"/>
        </w:rPr>
        <w:t>2</w:t>
      </w:r>
      <w:r>
        <w:rPr>
          <w:rFonts w:hint="default" w:ascii="Times New Roman" w:hAnsi="Times New Roman" w:eastAsia="方正仿宋_GBK"/>
          <w:color w:val="333333"/>
          <w:sz w:val="32"/>
          <w:szCs w:val="32"/>
          <w:shd w:val="clear" w:color="auto" w:fill="FFFFFF"/>
        </w:rPr>
        <w:t>号）要求，垫江县法学会由县委政法委员会代管，垫江县社会治安综合治理中心为政法委下属事业单位。</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1.</w:t>
      </w:r>
      <w:r>
        <w:rPr>
          <w:rFonts w:hint="default" w:ascii="Times New Roman" w:hAnsi="Times New Roman" w:eastAsia="方正仿宋_GBK"/>
          <w:color w:val="333333"/>
          <w:sz w:val="32"/>
          <w:szCs w:val="32"/>
          <w:shd w:val="clear" w:color="auto" w:fill="FFFFFF"/>
        </w:rPr>
        <w:t>深入贯彻习近平新时代中国特色社会主义思想，坚持党对政法工作的绝对领导，坚决维护党中央权威和集中统一领导，坚决执行党的路线方针政策和党中央以及市委、县委重大决策部署，推动完善和落实政治轮训和政治督察制度。</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2.</w:t>
      </w:r>
      <w:r>
        <w:rPr>
          <w:rFonts w:hint="default" w:ascii="Times New Roman" w:hAnsi="Times New Roman" w:eastAsia="方正仿宋_GBK"/>
          <w:color w:val="333333"/>
          <w:sz w:val="32"/>
          <w:szCs w:val="32"/>
          <w:shd w:val="clear" w:color="auto" w:fill="FFFFFF"/>
        </w:rPr>
        <w:t>深入贯彻党中央、市委决定和县委工作部署，推进平安建设、法治建设，加强过硬队伍建设，深化智能化建设，坚决维护国家政治安全、确保社会大局稳定，促进社会公平正义。研究协调政法单位之间、政法单位和有关部门、地方之间有关重大事项，统一政法单位思想和行动。</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3.</w:t>
      </w:r>
      <w:r>
        <w:rPr>
          <w:rFonts w:hint="default" w:ascii="Times New Roman" w:hAnsi="Times New Roman" w:eastAsia="方正仿宋_GBK"/>
          <w:color w:val="333333"/>
          <w:sz w:val="32"/>
          <w:szCs w:val="32"/>
          <w:shd w:val="clear" w:color="auto" w:fill="FFFFFF"/>
        </w:rPr>
        <w:t>加强对政法领域重大实践和理论问题调查研究，研究拟定政法工作的有关具体措施，及时向县委、市委政法委提出意见和建议，深化全县社会治理和政法改革。</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4.</w:t>
      </w:r>
      <w:r>
        <w:rPr>
          <w:rFonts w:hint="default" w:ascii="Times New Roman" w:hAnsi="Times New Roman" w:eastAsia="方正仿宋_GBK"/>
          <w:color w:val="333333"/>
          <w:sz w:val="32"/>
          <w:szCs w:val="32"/>
          <w:shd w:val="clear" w:color="auto" w:fill="FFFFFF"/>
        </w:rPr>
        <w:t>了解掌握和分析研判社会稳定形势、政法工作情况动态，创新完善多部门参与的平安建设、综治维稳工作协调机制，统筹指导推动县、乡镇（街道）、村级综治中心建设，指导乡镇街道政法委员开展工作，推进全县网格化社会治理，协调推动预防、化解影响稳定的社会矛盾和风险，协调应对和妥善处置重大突发涉稳事件。</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5.</w:t>
      </w:r>
      <w:r>
        <w:rPr>
          <w:rFonts w:hint="default" w:ascii="Times New Roman" w:hAnsi="Times New Roman" w:eastAsia="方正仿宋_GBK"/>
          <w:color w:val="333333"/>
          <w:sz w:val="32"/>
          <w:szCs w:val="32"/>
          <w:shd w:val="clear" w:color="auto" w:fill="FFFFFF"/>
        </w:rPr>
        <w:t>加强对政法工作的督查，统筹协调指导政法单位和相关部门做好社会治安综合治理、维护社会稳定、反邪教、反暴恐等有关国家法律法规和政策的实施工作。</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6.</w:t>
      </w:r>
      <w:r>
        <w:rPr>
          <w:rFonts w:hint="default" w:ascii="Times New Roman" w:hAnsi="Times New Roman" w:eastAsia="方正仿宋_GBK"/>
          <w:color w:val="333333"/>
          <w:sz w:val="32"/>
          <w:szCs w:val="32"/>
          <w:shd w:val="clear" w:color="auto" w:fill="FFFFFF"/>
        </w:rPr>
        <w:t>支持和监督政法单位依法行使职权，检查政法单位执行党的路线方针政策、党中央重大决策部署和国家法律法规的情况，指导和协调政法单位密切配合，研究和协调重大、疑难案件，完善与县纪委监委工作衔接和协作配合机制，推进严格执法、公正司法。</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7.</w:t>
      </w:r>
      <w:r>
        <w:rPr>
          <w:rFonts w:hint="default" w:ascii="Times New Roman" w:hAnsi="Times New Roman" w:eastAsia="方正仿宋_GBK"/>
          <w:color w:val="333333"/>
          <w:sz w:val="32"/>
          <w:szCs w:val="32"/>
          <w:shd w:val="clear" w:color="auto" w:fill="FFFFFF"/>
        </w:rPr>
        <w:t>指导和推动政法单位党的建设和政法队伍建设，协助县委及县委组织部管理政法单位领导班子和干部队伍建设，协助县委及县纪委监委做好监督检查、审查调查工作，派员列席同级政法单位党组（党委）民主生活会。代管垫江县法学会。</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8.</w:t>
      </w:r>
      <w:r>
        <w:rPr>
          <w:rFonts w:hint="default" w:ascii="Times New Roman" w:hAnsi="Times New Roman" w:eastAsia="方正仿宋_GBK"/>
          <w:color w:val="333333"/>
          <w:sz w:val="32"/>
          <w:szCs w:val="32"/>
          <w:shd w:val="clear" w:color="auto" w:fill="FFFFFF"/>
        </w:rPr>
        <w:t>落实县国家安全领导机构、全面依法治县领导机构的决策部署，支持配合其办事机构工作，指导和协调政法单位维护政治安全工作和执法司法相关工作。</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9.</w:t>
      </w:r>
      <w:r>
        <w:rPr>
          <w:rFonts w:hint="default" w:ascii="Times New Roman" w:hAnsi="Times New Roman" w:eastAsia="方正仿宋_GBK"/>
          <w:color w:val="333333"/>
          <w:sz w:val="32"/>
          <w:szCs w:val="32"/>
          <w:shd w:val="clear" w:color="auto" w:fill="FFFFFF"/>
        </w:rPr>
        <w:t>掌握分析政法舆情动态，指导和协调政法单位和有关部门做好依法办理、宣传报道和舆论引导等相关工作。</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微软雅黑"/>
          <w:color w:val="333333"/>
          <w:sz w:val="32"/>
          <w:szCs w:val="32"/>
          <w:shd w:val="clear" w:color="auto" w:fill="FFFFFF"/>
        </w:rPr>
        <w:t>10.</w:t>
      </w:r>
      <w:r>
        <w:rPr>
          <w:rFonts w:hint="default" w:ascii="Times New Roman" w:hAnsi="Times New Roman" w:eastAsia="方正仿宋_GBK"/>
          <w:color w:val="333333"/>
          <w:sz w:val="32"/>
          <w:szCs w:val="32"/>
          <w:shd w:val="clear" w:color="auto" w:fill="FFFFFF"/>
        </w:rPr>
        <w:t>完成县委、市委政法委交办的其他任务。</w:t>
      </w:r>
    </w:p>
    <w:p>
      <w:pPr>
        <w:pStyle w:val="5"/>
        <w:shd w:val="clear" w:color="auto" w:fill="FFFFFF"/>
        <w:spacing w:beforeAutospacing="0" w:line="594" w:lineRule="exact"/>
        <w:ind w:firstLine="643" w:firstLineChars="200"/>
        <w:rPr>
          <w:rFonts w:hint="default" w:ascii="Times New Roman" w:hAnsi="Times New Roman" w:eastAsia="楷体"/>
          <w:sz w:val="32"/>
          <w:szCs w:val="32"/>
        </w:rPr>
      </w:pPr>
      <w:r>
        <w:rPr>
          <w:rStyle w:val="9"/>
          <w:rFonts w:hint="default" w:ascii="Times New Roman" w:hAnsi="Times New Roman" w:eastAsia="楷体"/>
          <w:sz w:val="32"/>
          <w:szCs w:val="32"/>
          <w:shd w:val="clear" w:color="auto" w:fill="FFFFFF"/>
        </w:rPr>
        <w:t>（二）机构设置</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方正仿宋_GBK"/>
          <w:color w:val="333333"/>
          <w:sz w:val="32"/>
          <w:szCs w:val="32"/>
          <w:shd w:val="clear" w:color="auto" w:fill="FFFFFF"/>
        </w:rPr>
        <w:t>政法委内设机构：政治处、办公室、执法监督科、国安办秘书科、反邪教协调科、平安建设指导科（综治督导科）、维稳指导科。</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方正仿宋_GBK"/>
          <w:color w:val="333333"/>
          <w:sz w:val="32"/>
          <w:szCs w:val="32"/>
          <w:shd w:val="clear" w:color="auto" w:fill="FFFFFF"/>
        </w:rPr>
        <w:t>法学会内设机构：办公室、会员联络科。</w:t>
      </w:r>
    </w:p>
    <w:p>
      <w:pPr>
        <w:pStyle w:val="5"/>
        <w:shd w:val="clear" w:color="auto" w:fill="FFFFFF"/>
        <w:spacing w:before="0" w:beforeAutospacing="0" w:after="0" w:afterAutospacing="0" w:line="594" w:lineRule="exact"/>
        <w:ind w:firstLine="640" w:firstLineChars="200"/>
        <w:rPr>
          <w:rFonts w:hint="default" w:ascii="Times New Roman" w:hAnsi="Times New Roman" w:eastAsia="微软雅黑"/>
          <w:color w:val="333333"/>
        </w:rPr>
      </w:pPr>
      <w:r>
        <w:rPr>
          <w:rFonts w:hint="default" w:ascii="Times New Roman" w:hAnsi="Times New Roman" w:eastAsia="方正仿宋_GBK"/>
          <w:color w:val="333333"/>
          <w:sz w:val="32"/>
          <w:szCs w:val="32"/>
          <w:shd w:val="clear" w:color="auto" w:fill="FFFFFF"/>
        </w:rPr>
        <w:t>综治中心内设机构</w:t>
      </w:r>
      <w:r>
        <w:rPr>
          <w:rFonts w:hint="default" w:ascii="Times New Roman" w:hAnsi="Times New Roman" w:eastAsia="微软雅黑"/>
          <w:color w:val="333333"/>
          <w:sz w:val="32"/>
          <w:szCs w:val="32"/>
          <w:shd w:val="clear" w:color="auto" w:fill="FFFFFF"/>
        </w:rPr>
        <w:t>:</w:t>
      </w:r>
      <w:r>
        <w:rPr>
          <w:rFonts w:hint="default" w:ascii="Times New Roman" w:hAnsi="Times New Roman" w:eastAsia="方正仿宋_GBK"/>
          <w:color w:val="333333"/>
          <w:sz w:val="32"/>
          <w:szCs w:val="32"/>
          <w:shd w:val="clear" w:color="auto" w:fill="FFFFFF"/>
        </w:rPr>
        <w:t>综合协调科、风险防范科、网络信息科。</w:t>
      </w:r>
    </w:p>
    <w:p>
      <w:pPr>
        <w:pStyle w:val="5"/>
        <w:shd w:val="clear" w:color="auto" w:fill="FFFFFF"/>
        <w:spacing w:beforeAutospacing="0" w:line="594" w:lineRule="exact"/>
        <w:ind w:firstLine="643" w:firstLineChars="200"/>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二、部门决算情况说明</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（一）收入支出决算总体情况说明。</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2023年度收入总计904.99万元，支出总计</w:t>
      </w:r>
      <w:r>
        <w:rPr>
          <w:rFonts w:hint="default" w:ascii="Times New Roman" w:hAnsi="Times New Roman" w:eastAsia="方正仿宋_GBK"/>
          <w:sz w:val="32"/>
          <w:szCs w:val="32"/>
        </w:rPr>
        <w:t>904.99</w:t>
      </w:r>
      <w:r>
        <w:rPr>
          <w:rFonts w:hint="default" w:ascii="Times New Roman" w:hAnsi="Times New Roman" w:eastAsia="方正仿宋_GBK"/>
          <w:sz w:val="32"/>
          <w:szCs w:val="32"/>
          <w:shd w:val="clear" w:color="auto" w:fill="FFFFFF"/>
        </w:rPr>
        <w:t>万元。收支较上年决算数增加196.28万元，增长27.70%，主要原因是本年度新增一个下属单位，调入3人及正常增资、政策性调资等，人员经费增加；购买服务人员经费104万纳入项目经费以及新增市级铁路护路经费，项目经费增加。</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894.99万元，较上年决算数增加186.28万元，增长26.28%，主要原因是本年度新增一个下属单位，调入3人及正常增资、政策性调资等，人员经费增加；购买服务人员经费104万纳入项目经费以及新增市级铁路护路经费，项目经费增加。其中：财政拨款收入</w:t>
      </w:r>
      <w:r>
        <w:rPr>
          <w:rFonts w:hint="default" w:ascii="Times New Roman" w:hAnsi="Times New Roman" w:eastAsia="方正仿宋_GBK"/>
          <w:sz w:val="32"/>
          <w:szCs w:val="32"/>
        </w:rPr>
        <w:t>894.99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10.00</w:t>
      </w:r>
      <w:r>
        <w:rPr>
          <w:rFonts w:hint="default" w:ascii="Times New Roman" w:hAnsi="Times New Roman" w:eastAsia="方正仿宋_GBK"/>
          <w:sz w:val="32"/>
          <w:szCs w:val="32"/>
          <w:shd w:val="clear" w:color="auto" w:fill="FFFFFF"/>
        </w:rPr>
        <w:t>万元。</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904.99</w:t>
      </w:r>
      <w:r>
        <w:rPr>
          <w:rFonts w:hint="default" w:ascii="Times New Roman" w:hAnsi="Times New Roman" w:eastAsia="方正仿宋_GBK"/>
          <w:sz w:val="32"/>
          <w:szCs w:val="32"/>
          <w:shd w:val="clear" w:color="auto" w:fill="FFFFFF"/>
        </w:rPr>
        <w:t>万元，较上年决算数增加196.28万元，增长27.70%，主要原因是本年度新增一个下属单位，调入3人及正常增资、政策性调资等，人员经费增加；购买服务人员经费104万纳入项目经费以及新增市级铁路护路经费，项目经费增加。其中：基本支出</w:t>
      </w:r>
      <w:r>
        <w:rPr>
          <w:rFonts w:hint="default" w:ascii="Times New Roman" w:hAnsi="Times New Roman" w:eastAsia="方正仿宋_GBK"/>
          <w:sz w:val="32"/>
          <w:szCs w:val="32"/>
        </w:rPr>
        <w:t>529.53</w:t>
      </w:r>
      <w:r>
        <w:rPr>
          <w:rFonts w:hint="default" w:ascii="Times New Roman" w:hAnsi="Times New Roman" w:eastAsia="方正仿宋_GBK"/>
          <w:sz w:val="32"/>
          <w:szCs w:val="32"/>
          <w:shd w:val="clear" w:color="auto" w:fill="FFFFFF"/>
        </w:rPr>
        <w:t>万元，占58.51%；项目支出</w:t>
      </w:r>
      <w:r>
        <w:rPr>
          <w:rFonts w:hint="default" w:ascii="Times New Roman" w:hAnsi="Times New Roman" w:eastAsia="方正仿宋_GBK"/>
          <w:sz w:val="32"/>
          <w:szCs w:val="32"/>
        </w:rPr>
        <w:t>375.45</w:t>
      </w:r>
      <w:r>
        <w:rPr>
          <w:rFonts w:hint="default" w:ascii="Times New Roman" w:hAnsi="Times New Roman" w:eastAsia="方正仿宋_GBK"/>
          <w:sz w:val="32"/>
          <w:szCs w:val="32"/>
          <w:shd w:val="clear" w:color="auto" w:fill="FFFFFF"/>
        </w:rPr>
        <w:t>万元，占41.49%；经营支出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万元，主要原因是</w:t>
      </w:r>
      <w:r>
        <w:rPr>
          <w:rFonts w:ascii="Times New Roman" w:hAnsi="Times New Roman" w:eastAsia="方正仿宋_GBK"/>
          <w:sz w:val="32"/>
          <w:szCs w:val="32"/>
          <w:shd w:val="clear" w:color="auto" w:fill="FFFFFF"/>
        </w:rPr>
        <w:t>2023年度无结转和结余。</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（二）财政拨款收入支出决算总体情况说明</w:t>
      </w:r>
    </w:p>
    <w:p>
      <w:pPr>
        <w:pStyle w:val="5"/>
        <w:shd w:val="clear" w:color="auto" w:fill="FFFFFF"/>
        <w:spacing w:before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904.99万元。与2022年相比，财政拨款收、支总计各增加196.28万元，增长27.70%。主要原因是本年度新增一个下属单位，调入3人及正常增资、政策性调资等，人员经费增加；购买服务人员经费104万纳入项目经费以及新增市级铁路护路经费，项目经费增加。</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（三）一般公共预算财政拨款收入支出决算情况说明</w:t>
      </w:r>
    </w:p>
    <w:p>
      <w:pPr>
        <w:pStyle w:val="5"/>
        <w:shd w:val="clear" w:color="auto" w:fill="FFFFFF"/>
        <w:spacing w:before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894.99</w:t>
      </w:r>
      <w:r>
        <w:rPr>
          <w:rFonts w:hint="default" w:ascii="Times New Roman" w:hAnsi="Times New Roman" w:eastAsia="方正仿宋_GBK"/>
          <w:sz w:val="32"/>
          <w:szCs w:val="32"/>
          <w:shd w:val="clear" w:color="auto" w:fill="FFFFFF"/>
        </w:rPr>
        <w:t>万元，较上年决算数增加186.28万元，增长26.28%。主要原因是本年度新增一个下属单位，调入3人及正常增资、政策性调资等，人员经费增加；购买服务人员经费104万纳入项目经费以及新增市级铁路护路经费，项目经费增加。较年初预算数减少668.53万元，下降42.76%。主要原因是</w:t>
      </w:r>
      <w:r>
        <w:rPr>
          <w:rFonts w:ascii="Times New Roman" w:hAnsi="Times New Roman" w:eastAsia="方正仿宋_GBK"/>
          <w:sz w:val="32"/>
          <w:szCs w:val="32"/>
          <w:shd w:val="clear" w:color="auto" w:fill="FFFFFF"/>
        </w:rPr>
        <w:t>指标直接</w:t>
      </w:r>
      <w:r>
        <w:rPr>
          <w:rFonts w:hint="default" w:ascii="Times New Roman" w:hAnsi="Times New Roman" w:eastAsia="方正仿宋_GBK"/>
          <w:sz w:val="32"/>
          <w:szCs w:val="32"/>
          <w:shd w:val="clear" w:color="auto" w:fill="FFFFFF"/>
        </w:rPr>
        <w:t>调剂到各乡镇街道</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10.00</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904.99</w:t>
      </w:r>
      <w:r>
        <w:rPr>
          <w:rFonts w:hint="default" w:ascii="Times New Roman" w:hAnsi="Times New Roman" w:eastAsia="方正仿宋_GBK"/>
          <w:sz w:val="32"/>
          <w:szCs w:val="32"/>
          <w:shd w:val="clear" w:color="auto" w:fill="FFFFFF"/>
        </w:rPr>
        <w:t>万元，较上年决算数增加196.28万元，增长27.70%。主要原因是本年度新增一个下属单位，调入3人及正常增资、政策性调资等，人员经费增加；购买服务人员经费104万纳入项目经费以及新增市级铁路护路经费，项目经费增加。较年初预算数减少658.53万元，下降42.12%。主要原因</w:t>
      </w:r>
      <w:r>
        <w:rPr>
          <w:rFonts w:ascii="Times New Roman" w:hAnsi="Times New Roman" w:eastAsia="方正仿宋_GBK"/>
          <w:sz w:val="32"/>
          <w:szCs w:val="32"/>
          <w:shd w:val="clear" w:color="auto" w:fill="FFFFFF"/>
        </w:rPr>
        <w:t>是指标直接</w:t>
      </w:r>
      <w:r>
        <w:rPr>
          <w:rFonts w:hint="default" w:ascii="Times New Roman" w:hAnsi="Times New Roman" w:eastAsia="方正仿宋_GBK"/>
          <w:sz w:val="32"/>
          <w:szCs w:val="32"/>
          <w:shd w:val="clear" w:color="auto" w:fill="FFFFFF"/>
        </w:rPr>
        <w:t>调剂到各乡镇街道</w:t>
      </w:r>
      <w:r>
        <w:rPr>
          <w:rFonts w:ascii="Times New Roman" w:hAnsi="Times New Roman" w:eastAsia="方正仿宋_GBK"/>
          <w:sz w:val="32"/>
          <w:szCs w:val="32"/>
          <w:shd w:val="clear" w:color="auto" w:fill="FFFFFF"/>
        </w:rPr>
        <w:t>。</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万元，主要原因是</w:t>
      </w:r>
      <w:r>
        <w:rPr>
          <w:rFonts w:ascii="Times New Roman" w:hAnsi="Times New Roman" w:eastAsia="方正仿宋_GBK"/>
          <w:sz w:val="32"/>
          <w:szCs w:val="32"/>
          <w:shd w:val="clear" w:color="auto" w:fill="FFFFFF"/>
        </w:rPr>
        <w:t>2023年末无结转结余。</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9"/>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800.05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88.40</w:t>
      </w:r>
      <w:r>
        <w:rPr>
          <w:rFonts w:hint="default" w:ascii="Times New Roman" w:hAnsi="Times New Roman" w:eastAsia="方正仿宋_GBK"/>
          <w:sz w:val="32"/>
          <w:szCs w:val="32"/>
          <w:shd w:val="clear" w:color="auto" w:fill="FFFFFF"/>
        </w:rPr>
        <w:t>%，较年初预算数减少667.83万元，下降45.50%，主要原因是</w:t>
      </w:r>
      <w:r>
        <w:rPr>
          <w:rFonts w:ascii="Times New Roman" w:hAnsi="Times New Roman" w:eastAsia="方正仿宋_GBK"/>
          <w:sz w:val="32"/>
          <w:szCs w:val="32"/>
          <w:shd w:val="clear" w:color="auto" w:fill="FFFFFF"/>
        </w:rPr>
        <w:t>指标直接</w:t>
      </w:r>
      <w:r>
        <w:rPr>
          <w:rFonts w:hint="default" w:ascii="Times New Roman" w:hAnsi="Times New Roman" w:eastAsia="方正仿宋_GBK"/>
          <w:sz w:val="32"/>
          <w:szCs w:val="32"/>
          <w:shd w:val="clear" w:color="auto" w:fill="FFFFFF"/>
        </w:rPr>
        <w:t>调剂到各乡镇街道</w:t>
      </w:r>
      <w:r>
        <w:rPr>
          <w:rFonts w:ascii="Times New Roman" w:hAnsi="Times New Roman" w:eastAsia="方正仿宋_GBK"/>
          <w:sz w:val="32"/>
          <w:szCs w:val="32"/>
          <w:shd w:val="clear" w:color="auto" w:fill="FFFFFF"/>
        </w:rPr>
        <w:t>。</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）公共安全支出</w:t>
      </w:r>
      <w:r>
        <w:rPr>
          <w:rFonts w:hint="default" w:ascii="Times New Roman" w:hAnsi="Times New Roman" w:eastAsia="方正仿宋_GBK"/>
          <w:sz w:val="32"/>
          <w:szCs w:val="32"/>
        </w:rPr>
        <w:t>7.37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0.81</w:t>
      </w:r>
      <w:r>
        <w:rPr>
          <w:rFonts w:hint="default" w:ascii="Times New Roman" w:hAnsi="Times New Roman" w:eastAsia="方正仿宋_GBK"/>
          <w:sz w:val="32"/>
          <w:szCs w:val="32"/>
          <w:shd w:val="clear" w:color="auto" w:fill="FFFFFF"/>
        </w:rPr>
        <w:t>%，较年初预算数增加7.37万元，增长100.00%，主要原因是本年度新增市级铁路护路经费7.37万元。</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）教育支出</w:t>
      </w:r>
      <w:r>
        <w:rPr>
          <w:rFonts w:hint="default" w:ascii="Times New Roman" w:hAnsi="Times New Roman" w:eastAsia="方正仿宋_GBK"/>
          <w:sz w:val="32"/>
          <w:szCs w:val="32"/>
        </w:rPr>
        <w:t>0.95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0.10</w:t>
      </w:r>
      <w:r>
        <w:rPr>
          <w:rFonts w:hint="default" w:ascii="Times New Roman" w:hAnsi="Times New Roman" w:eastAsia="方正仿宋_GBK"/>
          <w:sz w:val="32"/>
          <w:szCs w:val="32"/>
          <w:shd w:val="clear" w:color="auto" w:fill="FFFFFF"/>
        </w:rPr>
        <w:t>%，较年初预算数无增减，主要原因是</w:t>
      </w:r>
      <w:r>
        <w:rPr>
          <w:rFonts w:ascii="Times New Roman" w:hAnsi="Times New Roman" w:eastAsia="方正仿宋_GBK"/>
          <w:sz w:val="32"/>
          <w:szCs w:val="32"/>
          <w:shd w:val="clear" w:color="auto" w:fill="FFFFFF"/>
        </w:rPr>
        <w:t>教育支出与预算一致。</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）社会保障与就业支出</w:t>
      </w:r>
      <w:r>
        <w:rPr>
          <w:rFonts w:hint="default" w:ascii="Times New Roman" w:hAnsi="Times New Roman" w:eastAsia="方正仿宋_GBK"/>
          <w:sz w:val="32"/>
          <w:szCs w:val="32"/>
        </w:rPr>
        <w:t>59.57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6.58</w:t>
      </w:r>
      <w:r>
        <w:rPr>
          <w:rFonts w:hint="default" w:ascii="Times New Roman" w:hAnsi="Times New Roman" w:eastAsia="方正仿宋_GBK"/>
          <w:sz w:val="32"/>
          <w:szCs w:val="32"/>
          <w:shd w:val="clear" w:color="auto" w:fill="FFFFFF"/>
        </w:rPr>
        <w:t>%，较年初预算数增加1.93万元，增长3.35%，主要原因是</w:t>
      </w:r>
      <w:r>
        <w:rPr>
          <w:rFonts w:ascii="Times New Roman" w:hAnsi="Times New Roman" w:eastAsia="方正仿宋_GBK"/>
          <w:sz w:val="32"/>
          <w:szCs w:val="32"/>
          <w:shd w:val="clear" w:color="auto" w:fill="FFFFFF"/>
        </w:rPr>
        <w:t>人员变动及基数调走，导致费用增加。</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5</w:t>
      </w:r>
      <w:r>
        <w:rPr>
          <w:rFonts w:hint="default"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rPr>
        <w:t>13.58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1.50</w:t>
      </w:r>
      <w:r>
        <w:rPr>
          <w:rFonts w:hint="default" w:ascii="Times New Roman" w:hAnsi="Times New Roman" w:eastAsia="方正仿宋_GBK"/>
          <w:sz w:val="32"/>
          <w:szCs w:val="32"/>
          <w:shd w:val="clear" w:color="auto" w:fill="FFFFFF"/>
        </w:rPr>
        <w:t>%，较年初预算数无增减，主要原因是卫生健康支出</w:t>
      </w:r>
      <w:r>
        <w:rPr>
          <w:rFonts w:ascii="Times New Roman" w:hAnsi="Times New Roman" w:eastAsia="方正仿宋_GBK"/>
          <w:sz w:val="32"/>
          <w:szCs w:val="32"/>
          <w:shd w:val="clear" w:color="auto" w:fill="FFFFFF"/>
        </w:rPr>
        <w:t>与预算一致。</w:t>
      </w:r>
    </w:p>
    <w:p>
      <w:pPr>
        <w:spacing w:line="594"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6</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住房保障支出23.47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2.59</w:t>
      </w:r>
      <w:r>
        <w:rPr>
          <w:rFonts w:hint="default" w:ascii="Times New Roman" w:hAnsi="Times New Roman" w:eastAsia="方正仿宋_GBK"/>
          <w:sz w:val="32"/>
          <w:szCs w:val="32"/>
          <w:shd w:val="clear" w:color="auto" w:fill="FFFFFF"/>
        </w:rPr>
        <w:t>%，较年初预算数无增减，主要原因是</w:t>
      </w:r>
      <w:r>
        <w:rPr>
          <w:rFonts w:hint="default" w:ascii="Times New Roman" w:hAnsi="Times New Roman" w:eastAsia="方正仿宋_GBK"/>
          <w:sz w:val="32"/>
          <w:szCs w:val="32"/>
        </w:rPr>
        <w:t>住房保障支出</w:t>
      </w:r>
      <w:r>
        <w:rPr>
          <w:rFonts w:ascii="Times New Roman" w:hAnsi="Times New Roman" w:eastAsia="方正仿宋_GBK"/>
          <w:sz w:val="32"/>
          <w:szCs w:val="32"/>
        </w:rPr>
        <w:t>与预算一致。</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529.53</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450.34</w:t>
      </w:r>
      <w:r>
        <w:rPr>
          <w:rFonts w:hint="default" w:ascii="Times New Roman" w:hAnsi="Times New Roman" w:eastAsia="方正仿宋_GBK"/>
          <w:sz w:val="32"/>
          <w:szCs w:val="32"/>
          <w:shd w:val="clear" w:color="auto" w:fill="FFFFFF"/>
        </w:rPr>
        <w:t>万元，较上年决算数增加105.29万元，增长30.51%，主要原因是本年度新增一个下属单位，调入3人及正常增资、政策性调资等，人员经费增加；购买服务人员经费104万纳入项目经费以及新增市级铁路护路经费，项目经费增加。人员经费用途主要包括基本工资、津贴补贴、奖金、社会保障缴费、公积金缴费等</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79.19</w:t>
      </w:r>
      <w:r>
        <w:rPr>
          <w:rFonts w:hint="default" w:ascii="Times New Roman" w:hAnsi="Times New Roman" w:eastAsia="方正仿宋_GBK"/>
          <w:sz w:val="32"/>
          <w:szCs w:val="32"/>
          <w:shd w:val="clear" w:color="auto" w:fill="FFFFFF"/>
        </w:rPr>
        <w:t>万元，较上年决算数减少226.04万元，下降74.06%，主要原因是购买服务人员经费本年度纳入项目经费及厉行节约等</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公用经费用途主要包括办公费、印刷费、咨询费、电话费、差旅费、会议费、培训费、公务用车运行维护费、其他交通费用等</w:t>
      </w:r>
      <w:r>
        <w:rPr>
          <w:rFonts w:ascii="Times New Roman" w:hAnsi="Times New Roman" w:eastAsia="方正仿宋_GBK"/>
          <w:sz w:val="32"/>
          <w:szCs w:val="32"/>
          <w:shd w:val="clear" w:color="auto" w:fill="FFFFFF"/>
        </w:rPr>
        <w:t>。</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（五）政府性基金预算收支决算情况说明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本部门2023年度无国有资本经营预算财政拨款支出。</w:t>
      </w:r>
    </w:p>
    <w:p>
      <w:pPr>
        <w:pStyle w:val="5"/>
        <w:shd w:val="clear" w:color="auto" w:fill="FFFFFF"/>
        <w:spacing w:beforeAutospacing="0" w:line="594" w:lineRule="exact"/>
        <w:ind w:firstLine="643" w:firstLineChars="200"/>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三、“三公”经费情况说明</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 xml:space="preserve"> （一）“三公”经费支出总体情况说明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5.21</w:t>
      </w:r>
      <w:r>
        <w:rPr>
          <w:rFonts w:hint="default" w:ascii="Times New Roman" w:hAnsi="Times New Roman" w:eastAsia="方正仿宋_GBK"/>
          <w:sz w:val="32"/>
          <w:szCs w:val="32"/>
          <w:shd w:val="clear" w:color="auto" w:fill="FFFFFF"/>
        </w:rPr>
        <w:t>万元，较年初预算数减少6.79万元，下降56.58%，主要原因是认真贯彻落实中央八项规定精神和厉行节约要求，加强管理，严禁公车私用</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较上年支出数增加1.79万元，增长52.34%，主要原因是本年度新增一个下属单位</w:t>
      </w:r>
      <w:r>
        <w:rPr>
          <w:rFonts w:ascii="Times New Roman" w:hAnsi="Times New Roman" w:eastAsia="方正仿宋_GBK"/>
          <w:sz w:val="32"/>
          <w:szCs w:val="32"/>
          <w:shd w:val="clear" w:color="auto" w:fill="FFFFFF"/>
        </w:rPr>
        <w:t>以及本年度维修了公务车。</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3.21</w:t>
      </w:r>
      <w:r>
        <w:rPr>
          <w:rFonts w:hint="default" w:ascii="Times New Roman" w:hAnsi="Times New Roman" w:eastAsia="方正仿宋_GBK"/>
          <w:sz w:val="32"/>
          <w:szCs w:val="32"/>
          <w:shd w:val="clear" w:color="auto" w:fill="FFFFFF"/>
        </w:rPr>
        <w:t>万元，主要用于机要文件交换、市内因公出行、下乡调研和检查督查等工作所需车辆的燃料费、维修费、过桥过路费、保险费等。费用支出较年初预算数减少6.79万元，下降67.90%，主要原因是认真贯彻落实中央八项规定精神和厉行节约要求，加强管理，严禁公车私用，公车运行维护成本大幅下降</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较上年支出数增加0.79万元，增长32.64%，主要原因是本年度车辆进行了维修导致车辆运行维护费较上年增加。</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2.00</w:t>
      </w:r>
      <w:r>
        <w:rPr>
          <w:rFonts w:hint="default" w:ascii="Times New Roman" w:hAnsi="Times New Roman" w:eastAsia="方正仿宋_GBK"/>
          <w:sz w:val="32"/>
          <w:szCs w:val="32"/>
          <w:shd w:val="clear" w:color="auto" w:fill="FFFFFF"/>
        </w:rPr>
        <w:t>万元，主要用于接待</w:t>
      </w:r>
      <w:r>
        <w:rPr>
          <w:rFonts w:hint="default" w:ascii="Times New Roman" w:hAnsi="Times New Roman" w:eastAsia="方正仿宋_GBK"/>
          <w:color w:val="333333"/>
          <w:sz w:val="32"/>
          <w:szCs w:val="32"/>
          <w:shd w:val="clear" w:color="auto" w:fill="FFFFFF"/>
        </w:rPr>
        <w:t>同级单位到我单位学习调研，接受上级和其他部门检查指导工作发生的接待支出</w:t>
      </w:r>
      <w:r>
        <w:rPr>
          <w:rFonts w:ascii="Times New Roman" w:hAnsi="Times New Roman" w:eastAsia="方正仿宋_GBK"/>
          <w:color w:val="333333"/>
          <w:sz w:val="32"/>
          <w:szCs w:val="32"/>
          <w:shd w:val="clear" w:color="auto" w:fill="FFFFFF"/>
        </w:rPr>
        <w:t>。</w:t>
      </w:r>
      <w:r>
        <w:rPr>
          <w:rFonts w:hint="default" w:ascii="Times New Roman" w:hAnsi="Times New Roman" w:eastAsia="方正仿宋_GBK"/>
          <w:sz w:val="32"/>
          <w:szCs w:val="32"/>
          <w:shd w:val="clear" w:color="auto" w:fill="FFFFFF"/>
        </w:rPr>
        <w:t>费用支出较年初预算数无增减，主要原因</w:t>
      </w:r>
      <w:bookmarkStart w:id="0" w:name="_GoBack"/>
      <w:bookmarkEnd w:id="0"/>
      <w:r>
        <w:rPr>
          <w:rFonts w:hint="default" w:ascii="Times New Roman" w:hAnsi="Times New Roman" w:eastAsia="方正仿宋_GBK"/>
          <w:sz w:val="32"/>
          <w:szCs w:val="32"/>
          <w:shd w:val="clear" w:color="auto" w:fill="FFFFFF"/>
        </w:rPr>
        <w:t>是严格遵守公务接待开支范围和开支标准，严格控制陪餐人数，对应由接待对象承担的费用一律由接待对象自行支付</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较上年支出数增加1.00万元，增长100.00%，主要原因是</w:t>
      </w:r>
      <w:r>
        <w:rPr>
          <w:rFonts w:ascii="Times New Roman" w:hAnsi="Times New Roman" w:eastAsia="方正仿宋_GBK"/>
          <w:sz w:val="32"/>
          <w:szCs w:val="32"/>
          <w:shd w:val="clear" w:color="auto" w:fill="FFFFFF"/>
        </w:rPr>
        <w:t>2023年新增一个下属单位，导致公务接待支出较上年增长较大。</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（三）“三公”经费实物量情况</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31</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210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95.24</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3.21</w:t>
      </w:r>
      <w:r>
        <w:rPr>
          <w:rFonts w:hint="default" w:ascii="Times New Roman" w:hAnsi="Times New Roman" w:eastAsia="方正仿宋_GBK"/>
          <w:sz w:val="32"/>
          <w:szCs w:val="32"/>
          <w:shd w:val="clear" w:color="auto" w:fill="FFFFFF"/>
        </w:rPr>
        <w:t>万元。</w:t>
      </w:r>
    </w:p>
    <w:p>
      <w:pPr>
        <w:pStyle w:val="5"/>
        <w:shd w:val="clear" w:color="auto" w:fill="FFFFFF"/>
        <w:spacing w:beforeAutospacing="0" w:line="594" w:lineRule="exact"/>
        <w:ind w:firstLine="643" w:firstLineChars="200"/>
        <w:rPr>
          <w:rStyle w:val="9"/>
          <w:rFonts w:hint="default" w:ascii="Times New Roman" w:hAnsi="Times New Roman" w:eastAsia="方正仿宋_GBK"/>
          <w:sz w:val="32"/>
          <w:szCs w:val="32"/>
          <w:shd w:val="clear" w:color="auto" w:fill="FFFFFF"/>
        </w:rPr>
      </w:pPr>
      <w:r>
        <w:rPr>
          <w:rStyle w:val="9"/>
          <w:rFonts w:hint="default" w:ascii="Times New Roman" w:hAnsi="Times New Roman" w:eastAsia="黑体"/>
          <w:sz w:val="32"/>
          <w:szCs w:val="32"/>
          <w:shd w:val="clear" w:color="auto" w:fill="FFFFFF"/>
        </w:rPr>
        <w:t>四、其他需要说明的事项</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  （一）财政拨款会议费和培训费情况说明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1.83</w:t>
      </w:r>
      <w:r>
        <w:rPr>
          <w:rFonts w:hint="default" w:ascii="Times New Roman" w:hAnsi="Times New Roman" w:eastAsia="方正仿宋_GBK"/>
          <w:sz w:val="32"/>
          <w:szCs w:val="32"/>
          <w:shd w:val="clear" w:color="auto" w:fill="FFFFFF"/>
        </w:rPr>
        <w:t>万元，较上年决算数减少1.49万元，下降44.88%，主要原因是认真贯彻落实中央八项规定精神和厉行节约要求，进一步加强了有关管理。本年度培训费支出</w:t>
      </w:r>
      <w:r>
        <w:rPr>
          <w:rFonts w:hint="default" w:ascii="Times New Roman" w:hAnsi="Times New Roman" w:eastAsia="方正仿宋_GBK"/>
          <w:sz w:val="32"/>
          <w:szCs w:val="32"/>
        </w:rPr>
        <w:t>19.63</w:t>
      </w:r>
      <w:r>
        <w:rPr>
          <w:rFonts w:hint="default" w:ascii="Times New Roman" w:hAnsi="Times New Roman" w:eastAsia="方正仿宋_GBK"/>
          <w:sz w:val="32"/>
          <w:szCs w:val="32"/>
          <w:shd w:val="clear" w:color="auto" w:fill="FFFFFF"/>
        </w:rPr>
        <w:t>万元，较上年决算数增加18.60万元，增长1805.83%，主要原因是本年度组织全县政法干部到西南政法大学开展为期一周共计70人的政治轮训</w:t>
      </w:r>
      <w:r>
        <w:rPr>
          <w:rFonts w:ascii="Times New Roman" w:hAnsi="Times New Roman" w:eastAsia="方正仿宋_GBK"/>
          <w:sz w:val="32"/>
          <w:szCs w:val="32"/>
          <w:shd w:val="clear" w:color="auto" w:fill="FFFFFF"/>
        </w:rPr>
        <w:t>，导致培训费较上年增长较大。</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（二）机关运行经费情况说明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59.36</w:t>
      </w:r>
      <w:r>
        <w:rPr>
          <w:rFonts w:hint="default" w:ascii="Times New Roman" w:hAnsi="Times New Roman" w:eastAsia="方正仿宋_GBK"/>
          <w:sz w:val="32"/>
          <w:szCs w:val="32"/>
          <w:shd w:val="clear" w:color="auto" w:fill="FFFFFF"/>
        </w:rPr>
        <w:t>万元，机关运行经费主要用于开支办公费、水电费、电话网络费、差旅费、维修维护费、培训费、公务接待费、其他交通费用、办公设备购置费等</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机关运行经费较上年支出数减少233.49万元，下降79.73%，主要原因是购买服务人员经费本年度纳入项目经费及厉行节约等</w:t>
      </w:r>
      <w:r>
        <w:rPr>
          <w:rFonts w:ascii="Times New Roman" w:hAnsi="Times New Roman" w:eastAsia="方正仿宋_GBK"/>
          <w:sz w:val="32"/>
          <w:szCs w:val="32"/>
          <w:shd w:val="clear" w:color="auto" w:fill="FFFFFF"/>
        </w:rPr>
        <w:t>。</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（三）国有资产占用情况说明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0"/>
        <w:numPr>
          <w:ilvl w:val="0"/>
          <w:numId w:val="1"/>
        </w:numPr>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政府采购支出情况说明</w:t>
      </w:r>
    </w:p>
    <w:p>
      <w:pPr>
        <w:pStyle w:val="10"/>
        <w:autoSpaceDE w:val="0"/>
        <w:spacing w:line="594" w:lineRule="exact"/>
        <w:ind w:firstLine="640"/>
        <w:rPr>
          <w:rFonts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Times New Roman" w:hAnsi="Times New Roman" w:eastAsia="方正仿宋_GBK"/>
          <w:sz w:val="32"/>
          <w:szCs w:val="32"/>
          <w:shd w:val="clear" w:color="auto" w:fill="FFFFFF"/>
        </w:rPr>
        <w:t>2023年度我单位未发生政府采购事项，无相关经费支出。</w:t>
      </w:r>
    </w:p>
    <w:p>
      <w:pPr>
        <w:pStyle w:val="5"/>
        <w:numPr>
          <w:ilvl w:val="0"/>
          <w:numId w:val="2"/>
        </w:numPr>
        <w:shd w:val="clear" w:color="auto" w:fill="FFFFFF"/>
        <w:spacing w:beforeAutospacing="0" w:line="594" w:lineRule="exact"/>
        <w:ind w:firstLine="643" w:firstLineChars="200"/>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预算绩效管理情况说明</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（一）部门自评情况</w:t>
      </w:r>
    </w:p>
    <w:p>
      <w:pPr>
        <w:pStyle w:val="11"/>
        <w:autoSpaceDE w:val="0"/>
        <w:spacing w:before="0" w:beforeAutospacing="0" w:line="594" w:lineRule="exact"/>
        <w:ind w:firstLine="480" w:firstLineChars="200"/>
        <w:rPr>
          <w:rFonts w:ascii="Times New Roman" w:hAnsi="Times New Roman" w:eastAsia="方正仿宋_GBK"/>
          <w:sz w:val="32"/>
          <w:szCs w:val="32"/>
          <w:shd w:val="clear" w:color="auto" w:fill="FFFFFF"/>
        </w:rPr>
      </w:pPr>
      <w:r>
        <w:drawing>
          <wp:anchor distT="0" distB="0" distL="114300" distR="114300" simplePos="0" relativeHeight="251659264" behindDoc="0" locked="0" layoutInCell="1" allowOverlap="1">
            <wp:simplePos x="0" y="0"/>
            <wp:positionH relativeFrom="column">
              <wp:posOffset>83185</wp:posOffset>
            </wp:positionH>
            <wp:positionV relativeFrom="paragraph">
              <wp:posOffset>1261745</wp:posOffset>
            </wp:positionV>
            <wp:extent cx="5728970" cy="3876675"/>
            <wp:effectExtent l="0" t="0" r="508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728970" cy="3876675"/>
                    </a:xfrm>
                    <a:prstGeom prst="rect">
                      <a:avLst/>
                    </a:prstGeom>
                    <a:noFill/>
                    <a:ln>
                      <a:noFill/>
                    </a:ln>
                  </pic:spPr>
                </pic:pic>
              </a:graphicData>
            </a:graphic>
          </wp:anchor>
        </w:drawing>
      </w:r>
      <w:r>
        <w:rPr>
          <w:rFonts w:ascii="Times New Roman" w:hAnsi="Times New Roman" w:eastAsia="方正仿宋_GBK"/>
          <w:sz w:val="32"/>
          <w:szCs w:val="32"/>
          <w:shd w:val="clear" w:color="auto" w:fill="FFFFFF"/>
          <w:lang w:bidi="ar"/>
        </w:rPr>
        <w:t>根据预算绩效管理要求，我部门对</w:t>
      </w:r>
      <w:r>
        <w:rPr>
          <w:rFonts w:ascii="Times New Roman" w:hAnsi="Times New Roman" w:eastAsia="方正仿宋_GBK"/>
          <w:sz w:val="32"/>
          <w:szCs w:val="32"/>
          <w:shd w:val="clear" w:color="auto" w:fill="FFFFFF"/>
        </w:rPr>
        <w:t>部门整体和</w:t>
      </w:r>
      <w:r>
        <w:rPr>
          <w:rFonts w:hint="eastAsia" w:ascii="Times New Roman" w:hAnsi="Times New Roman" w:eastAsia="方正仿宋_GBK"/>
          <w:sz w:val="32"/>
          <w:szCs w:val="32"/>
          <w:shd w:val="clear" w:color="auto" w:fill="FFFFFF"/>
        </w:rPr>
        <w:t>11</w:t>
      </w:r>
      <w:r>
        <w:rPr>
          <w:rFonts w:ascii="Times New Roman" w:hAnsi="Times New Roman" w:eastAsia="方正仿宋_GBK"/>
          <w:sz w:val="32"/>
          <w:szCs w:val="32"/>
          <w:shd w:val="clear" w:color="auto" w:fill="FFFFFF"/>
        </w:rPr>
        <w:t>个二级项目开展了绩效自评，涉及财政拨款项目支出资金</w:t>
      </w:r>
      <w:r>
        <w:rPr>
          <w:rFonts w:hint="eastAsia" w:ascii="Times New Roman" w:hAnsi="Times New Roman" w:eastAsia="方正仿宋_GBK"/>
          <w:sz w:val="32"/>
          <w:szCs w:val="32"/>
          <w:shd w:val="clear" w:color="auto" w:fill="FFFFFF"/>
        </w:rPr>
        <w:t>375.46</w:t>
      </w:r>
      <w:r>
        <w:rPr>
          <w:rFonts w:ascii="Times New Roman" w:hAnsi="Times New Roman" w:eastAsia="方正仿宋_GBK"/>
          <w:sz w:val="32"/>
          <w:szCs w:val="32"/>
          <w:shd w:val="clear" w:color="auto" w:fill="FFFFFF"/>
        </w:rPr>
        <w:t>万元</w:t>
      </w:r>
      <w:r>
        <w:rPr>
          <w:rFonts w:hint="eastAsia" w:ascii="Times New Roman" w:hAnsi="Times New Roman" w:eastAsia="方正仿宋_GBK"/>
          <w:sz w:val="32"/>
          <w:szCs w:val="32"/>
          <w:shd w:val="clear" w:color="auto" w:fill="FFFFFF"/>
        </w:rPr>
        <w:t>。</w:t>
      </w:r>
    </w:p>
    <w:p>
      <w:pPr>
        <w:pStyle w:val="11"/>
        <w:spacing w:before="0" w:beforeAutospacing="0" w:line="594" w:lineRule="exact"/>
        <w:ind w:firstLine="640" w:firstLineChars="200"/>
        <w:rPr>
          <w:rFonts w:ascii="Times New Roman" w:hAnsi="Times New Roman" w:eastAsia="方正仿宋_GBK"/>
          <w:sz w:val="32"/>
          <w:szCs w:val="32"/>
          <w:shd w:val="clear" w:color="auto" w:fill="FFFFFF"/>
        </w:rPr>
      </w:pPr>
    </w:p>
    <w:p>
      <w:pPr>
        <w:pStyle w:val="11"/>
        <w:spacing w:before="0" w:beforeAutospacing="0" w:line="594"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w:t>
      </w:r>
    </w:p>
    <w:p>
      <w:pPr>
        <w:pStyle w:val="11"/>
        <w:spacing w:before="0" w:beforeAutospacing="0" w:line="594" w:lineRule="exact"/>
        <w:ind w:firstLine="640" w:firstLineChars="200"/>
        <w:rPr>
          <w:rFonts w:ascii="Times New Roman" w:hAnsi="Times New Roman" w:eastAsia="方正仿宋_GBK"/>
          <w:sz w:val="32"/>
          <w:szCs w:val="32"/>
          <w:shd w:val="clear" w:color="auto" w:fill="FFFFFF"/>
        </w:rPr>
      </w:pPr>
    </w:p>
    <w:p>
      <w:pPr>
        <w:pStyle w:val="11"/>
        <w:spacing w:before="0" w:beforeAutospacing="0" w:line="594" w:lineRule="exact"/>
        <w:ind w:firstLine="480" w:firstLineChars="200"/>
        <w:rPr>
          <w:rFonts w:ascii="Times New Roman" w:hAnsi="Times New Roman" w:eastAsia="方正仿宋_GBK"/>
          <w:sz w:val="32"/>
          <w:szCs w:val="32"/>
        </w:rPr>
      </w:pPr>
      <w:r>
        <w:drawing>
          <wp:anchor distT="0" distB="0" distL="114300" distR="114300" simplePos="0" relativeHeight="251660288" behindDoc="1" locked="0" layoutInCell="1" allowOverlap="1">
            <wp:simplePos x="0" y="0"/>
            <wp:positionH relativeFrom="column">
              <wp:posOffset>121920</wp:posOffset>
            </wp:positionH>
            <wp:positionV relativeFrom="paragraph">
              <wp:posOffset>796290</wp:posOffset>
            </wp:positionV>
            <wp:extent cx="5728970" cy="3196590"/>
            <wp:effectExtent l="0" t="0" r="5080" b="3810"/>
            <wp:wrapTight wrapText="bothSides">
              <wp:wrapPolygon>
                <wp:start x="0" y="0"/>
                <wp:lineTo x="0" y="21497"/>
                <wp:lineTo x="21547" y="21497"/>
                <wp:lineTo x="21547" y="0"/>
                <wp:lineTo x="0" y="0"/>
              </wp:wrapPolygon>
            </wp:wrapTight>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728970" cy="3196590"/>
                    </a:xfrm>
                    <a:prstGeom prst="rect">
                      <a:avLst/>
                    </a:prstGeom>
                    <a:noFill/>
                    <a:ln>
                      <a:noFill/>
                    </a:ln>
                  </pic:spPr>
                </pic:pic>
              </a:graphicData>
            </a:graphic>
          </wp:anchor>
        </w:drawing>
      </w:r>
      <w:r>
        <w:rPr>
          <w:rFonts w:ascii="Times New Roman" w:hAnsi="Times New Roman" w:eastAsia="方正仿宋_GBK"/>
          <w:sz w:val="28"/>
          <w:szCs w:val="28"/>
          <w:shd w:val="clear" w:color="auto" w:fill="FFFFFF"/>
          <w:lang w:bidi="ar"/>
        </w:rPr>
        <w:t>项目支出绩效自评表（</w:t>
      </w:r>
      <w:r>
        <w:rPr>
          <w:rFonts w:hint="eastAsia" w:ascii="Times New Roman" w:hAnsi="Times New Roman" w:eastAsia="方正仿宋_GBK"/>
          <w:sz w:val="28"/>
          <w:szCs w:val="28"/>
          <w:shd w:val="clear" w:color="auto" w:fill="FFFFFF"/>
          <w:lang w:bidi="ar"/>
        </w:rPr>
        <w:t>二</w:t>
      </w:r>
      <w:r>
        <w:rPr>
          <w:rFonts w:ascii="Times New Roman" w:hAnsi="Times New Roman" w:eastAsia="方正仿宋_GBK"/>
          <w:sz w:val="28"/>
          <w:szCs w:val="28"/>
          <w:shd w:val="clear" w:color="auto" w:fill="FFFFFF"/>
          <w:lang w:bidi="ar"/>
        </w:rPr>
        <w:t>级项目）</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（二）部门绩效评价情况</w:t>
      </w:r>
    </w:p>
    <w:p>
      <w:pPr>
        <w:pStyle w:val="10"/>
        <w:autoSpaceDE w:val="0"/>
        <w:spacing w:line="594" w:lineRule="exact"/>
        <w:ind w:firstLine="640"/>
        <w:rPr>
          <w:rFonts w:ascii="Times New Roman"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我部门未组织开展绩效评价</w:t>
      </w:r>
      <w:r>
        <w:rPr>
          <w:rFonts w:hint="eastAsia" w:ascii="Times New Roman" w:hAnsi="Times New Roman" w:eastAsia="方正仿宋_GBK"/>
          <w:sz w:val="32"/>
          <w:szCs w:val="32"/>
          <w:shd w:val="clear" w:color="auto" w:fill="FFFFFF"/>
          <w:lang w:bidi="ar"/>
        </w:rPr>
        <w:t>。</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（三）财政绩效评价情况</w:t>
      </w:r>
    </w:p>
    <w:p>
      <w:pPr>
        <w:pStyle w:val="10"/>
        <w:autoSpaceDE w:val="0"/>
        <w:spacing w:line="594" w:lineRule="exact"/>
        <w:ind w:firstLine="640"/>
        <w:rPr>
          <w:rFonts w:ascii="Times New Roman" w:hAnsi="Times New Roman" w:eastAsia="方正仿宋_GBK"/>
          <w:sz w:val="32"/>
          <w:szCs w:val="32"/>
          <w:shd w:val="clear" w:color="auto" w:fill="FFFFFF"/>
          <w:lang w:bidi="ar"/>
        </w:rPr>
      </w:pPr>
      <w:r>
        <w:rPr>
          <w:rFonts w:hint="eastAsia" w:ascii="Times New Roman" w:hAnsi="Times New Roman" w:eastAsia="方正仿宋_GBK"/>
          <w:sz w:val="32"/>
          <w:szCs w:val="32"/>
          <w:shd w:val="clear" w:color="auto" w:fill="FFFFFF"/>
          <w:lang w:bidi="ar"/>
        </w:rPr>
        <w:t>县</w:t>
      </w:r>
      <w:r>
        <w:rPr>
          <w:rFonts w:ascii="Times New Roman" w:hAnsi="Times New Roman" w:eastAsia="方正仿宋_GBK"/>
          <w:sz w:val="32"/>
          <w:szCs w:val="32"/>
          <w:shd w:val="clear" w:color="auto" w:fill="FFFFFF"/>
          <w:lang w:bidi="ar"/>
        </w:rPr>
        <w:t>财政局未委托第三方对我部门开展绩效评价。</w:t>
      </w:r>
    </w:p>
    <w:p>
      <w:pPr>
        <w:pStyle w:val="5"/>
        <w:shd w:val="clear" w:color="auto" w:fill="FFFFFF"/>
        <w:spacing w:beforeAutospacing="0" w:line="594" w:lineRule="exact"/>
        <w:ind w:firstLine="643" w:firstLineChars="200"/>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xml:space="preserve">  </w:t>
      </w:r>
      <w:r>
        <w:rPr>
          <w:rStyle w:val="9"/>
          <w:rFonts w:hint="default" w:ascii="Times New Roman" w:hAnsi="Times New Roman" w:eastAsia="黑体"/>
          <w:sz w:val="32"/>
          <w:szCs w:val="32"/>
          <w:shd w:val="clear" w:color="auto" w:fill="FFFFFF"/>
        </w:rPr>
        <w:t>六、专业名词解释</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lang w:bidi="ar"/>
        </w:rPr>
        <w:t> </w:t>
      </w:r>
      <w:r>
        <w:rPr>
          <w:rFonts w:hint="default" w:ascii="Times New Roman" w:hAnsi="Times New Roman" w:eastAsia="楷体"/>
          <w:b/>
          <w:bCs/>
          <w:sz w:val="32"/>
          <w:szCs w:val="32"/>
          <w:shd w:val="clear" w:color="auto" w:fill="FFFFFF"/>
          <w:lang w:bidi="ar"/>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 （十六）对个人和家庭的补助（支出经济分类科目类级）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Autospacing="0" w:line="594" w:lineRule="exact"/>
        <w:ind w:firstLine="643" w:firstLineChars="200"/>
        <w:rPr>
          <w:rStyle w:val="9"/>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xml:space="preserve">  </w:t>
      </w:r>
      <w:r>
        <w:rPr>
          <w:rStyle w:val="9"/>
          <w:rFonts w:hint="default" w:ascii="Times New Roman" w:hAnsi="Times New Roman" w:eastAsia="黑体"/>
          <w:sz w:val="32"/>
          <w:szCs w:val="32"/>
          <w:shd w:val="clear" w:color="auto" w:fill="FFFFFF"/>
        </w:rPr>
        <w:t>七、决算公开联系方式及信息反馈渠道</w:t>
      </w:r>
    </w:p>
    <w:p>
      <w:pPr>
        <w:pStyle w:val="10"/>
        <w:autoSpaceDE w:val="0"/>
        <w:spacing w:line="594" w:lineRule="exact"/>
        <w:ind w:firstLine="640"/>
        <w:rPr>
          <w:rStyle w:val="9"/>
          <w:rFonts w:ascii="Times New Roman" w:hAnsi="Times New Roman" w:eastAsia="方正仿宋_GBK"/>
          <w:sz w:val="32"/>
          <w:szCs w:val="32"/>
          <w:shd w:val="clear" w:color="auto" w:fill="FFFF00"/>
        </w:rPr>
      </w:pPr>
      <w:r>
        <w:rPr>
          <w:rFonts w:ascii="Times New Roman" w:hAnsi="Times New Roman" w:eastAsia="方正仿宋_GBK"/>
          <w:sz w:val="32"/>
          <w:szCs w:val="32"/>
          <w:shd w:val="clear" w:color="auto" w:fill="FFFFFF"/>
        </w:rPr>
        <w:t>本单位决算公开信息反馈和联系方式：</w:t>
      </w:r>
      <w:r>
        <w:rPr>
          <w:rFonts w:hint="eastAsia" w:ascii="Times New Roman" w:hAnsi="Times New Roman" w:eastAsia="方正仿宋_GBK"/>
          <w:sz w:val="32"/>
          <w:szCs w:val="32"/>
          <w:shd w:val="clear" w:color="auto" w:fill="FFFFFF"/>
        </w:rPr>
        <w:t>王老师，74511603。</w:t>
      </w:r>
    </w:p>
    <w:p>
      <w:pPr>
        <w:pStyle w:val="10"/>
        <w:autoSpaceDE w:val="0"/>
        <w:spacing w:line="594" w:lineRule="exact"/>
        <w:ind w:firstLine="643"/>
        <w:rPr>
          <w:rStyle w:val="9"/>
          <w:rFonts w:ascii="Times New Roman" w:hAnsi="Times New Roman" w:eastAsia="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spacing w:line="594" w:lineRule="exact"/>
        <w:ind w:firstLine="420" w:firstLineChars="200"/>
        <w:rPr>
          <w:rFonts w:hint="default" w:ascii="Times New Roman" w:hAnsi="Times New Roman"/>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jc w:val="right"/>
              <w:rPr>
                <w:rFonts w:hint="default" w:ascii="Times New Roman" w:hAnsi="Times New Roman"/>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textAlignment w:val="bottom"/>
              <w:rPr>
                <w:rFonts w:hint="default" w:ascii="Times New Roman" w:hAnsi="Times New Roman"/>
                <w:color w:val="000000"/>
              </w:rPr>
            </w:pPr>
            <w:r>
              <w:rPr>
                <w:rFonts w:hint="default" w:ascii="Times New Roman" w:hAnsi="Times New Roman"/>
              </w:rPr>
              <w:t>公开部门：中共垫江县委政法委员会</w:t>
            </w: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894.99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800.05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7.37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0.95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59.57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13.58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23.47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894.99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904.99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10.00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904.99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904.99 </w:t>
            </w:r>
          </w:p>
        </w:tc>
      </w:tr>
    </w:tbl>
    <w:p>
      <w:pPr>
        <w:spacing w:line="594" w:lineRule="exact"/>
        <w:ind w:firstLine="420" w:firstLineChars="200"/>
        <w:rPr>
          <w:rFonts w:hint="default" w:ascii="Times New Roman" w:hAnsi="Times New Roman"/>
          <w:sz w:val="21"/>
          <w:szCs w:val="21"/>
          <w:lang w:bidi="ar"/>
        </w:rPr>
      </w:pPr>
      <w:r>
        <w:rPr>
          <w:rFonts w:hint="default" w:ascii="Times New Roman" w:hAnsi="Times New Roman"/>
          <w:sz w:val="21"/>
          <w:szCs w:val="21"/>
          <w:lang w:bidi="ar"/>
        </w:rPr>
        <w:t>备注：1.本表反映部门本年度的总收支和年末结转结余情况。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spacing w:line="594" w:lineRule="exact"/>
        <w:ind w:firstLine="420" w:firstLineChars="200"/>
        <w:rPr>
          <w:rFonts w:hint="default" w:ascii="Times New Roman" w:hAnsi="Times New Roman"/>
          <w:sz w:val="21"/>
          <w:szCs w:val="21"/>
          <w:lang w:bidi="ar"/>
        </w:rPr>
      </w:pPr>
      <w:r>
        <w:rPr>
          <w:rFonts w:hint="default" w:ascii="Times New Roman" w:hAnsi="Times New Roman"/>
          <w:sz w:val="21"/>
          <w:szCs w:val="21"/>
          <w:lang w:bidi="ar"/>
        </w:rPr>
        <w:br w:type="page"/>
      </w:r>
    </w:p>
    <w:p>
      <w:pPr>
        <w:spacing w:line="594" w:lineRule="exact"/>
        <w:ind w:firstLine="420" w:firstLineChars="200"/>
        <w:rPr>
          <w:rFonts w:hint="default" w:ascii="Times New Roman" w:hAnsi="Times New Roman"/>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Times New Roman" w:hAnsi="Times New Roman"/>
                <w:color w:val="000000"/>
                <w:sz w:val="22"/>
                <w:szCs w:val="22"/>
              </w:rPr>
            </w:pPr>
            <w:r>
              <w:rPr>
                <w:rFonts w:hint="default" w:ascii="Times New Roman" w:hAnsi="Times New Roman"/>
              </w:rPr>
              <w:t>公开部门：中共垫江县委政法委员会</w:t>
            </w: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594" w:lineRule="exact"/>
              <w:ind w:firstLine="442" w:firstLineChars="200"/>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其他收入</w:t>
            </w:r>
          </w:p>
        </w:tc>
      </w:tr>
      <w:tr>
        <w:tblPrEx>
          <w:tblCellMar>
            <w:top w:w="0" w:type="dxa"/>
            <w:left w:w="0" w:type="dxa"/>
            <w:bottom w:w="0" w:type="dxa"/>
            <w:right w:w="0" w:type="dxa"/>
          </w:tblCellMar>
        </w:tblPrEx>
        <w:trPr>
          <w:trHeight w:val="59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894.99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894.99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790.05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790.05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群众团体事务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132.49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132.49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2012950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132.49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132.49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657.56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657.56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2013101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299.49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299.49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358.07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358.07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7.37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7.37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0.95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0.95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59.57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59.57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59.55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59.55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28.89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28.89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16.21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16.21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8.67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8.67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4.91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4.91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23.47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23.47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23.47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bl>
    <w:p>
      <w:pPr>
        <w:spacing w:line="594" w:lineRule="exact"/>
        <w:ind w:left="630" w:firstLine="420" w:firstLineChars="200"/>
        <w:rPr>
          <w:rFonts w:hint="default" w:ascii="Times New Roman" w:hAnsi="Times New Roman"/>
          <w:sz w:val="21"/>
          <w:szCs w:val="21"/>
          <w:lang w:bidi="ar"/>
        </w:rPr>
      </w:pPr>
      <w:r>
        <w:rPr>
          <w:rFonts w:hint="default" w:ascii="Times New Roman" w:hAnsi="Times New Roman"/>
          <w:sz w:val="21"/>
          <w:szCs w:val="21"/>
          <w:lang w:bidi="ar"/>
        </w:rPr>
        <w:t>备注：1.本表反映部门本年度取得的各项收入情况。</w:t>
      </w:r>
      <w:r>
        <w:rPr>
          <w:rFonts w:hint="default" w:ascii="Times New Roman" w:hAnsi="Times New Roman"/>
          <w:sz w:val="21"/>
          <w:szCs w:val="21"/>
          <w:lang w:bidi="ar"/>
        </w:rPr>
        <w:br w:type="textWrapping"/>
      </w:r>
      <w:r>
        <w:rPr>
          <w:rFonts w:hint="default" w:ascii="Times New Roman" w:hAnsi="Times New Roman"/>
          <w:sz w:val="21"/>
          <w:szCs w:val="21"/>
          <w:lang w:bidi="ar"/>
        </w:rPr>
        <w:t>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lang w:bidi="ar"/>
        </w:rPr>
        <w:br w:type="textWrapping"/>
      </w:r>
    </w:p>
    <w:p>
      <w:pPr>
        <w:spacing w:line="594" w:lineRule="exact"/>
        <w:ind w:firstLine="420" w:firstLineChars="200"/>
        <w:rPr>
          <w:rFonts w:hint="default" w:ascii="Times New Roman" w:hAnsi="Times New Roman"/>
          <w:sz w:val="21"/>
          <w:szCs w:val="21"/>
          <w:lang w:bidi="ar"/>
        </w:rPr>
      </w:pPr>
      <w:r>
        <w:rPr>
          <w:rFonts w:hint="default" w:ascii="Times New Roman" w:hAnsi="Times New Roman"/>
          <w:sz w:val="21"/>
          <w:szCs w:val="21"/>
          <w:lang w:bidi="ar"/>
        </w:rPr>
        <w:br w:type="page"/>
      </w:r>
    </w:p>
    <w:p>
      <w:pPr>
        <w:spacing w:line="594" w:lineRule="exact"/>
        <w:ind w:left="630" w:firstLine="420" w:firstLineChars="200"/>
        <w:rPr>
          <w:rFonts w:hint="default" w:ascii="Times New Roman" w:hAnsi="Times New Roman"/>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Times New Roman" w:hAnsi="Times New Roman"/>
                <w:color w:val="000000"/>
                <w:sz w:val="20"/>
                <w:szCs w:val="20"/>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 xml:space="preserve">中共垫江县委政法委员会 </w:t>
            </w: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对附属单位补助支出</w:t>
            </w:r>
          </w:p>
        </w:tc>
      </w:tr>
      <w:tr>
        <w:tblPrEx>
          <w:tblCellMar>
            <w:top w:w="0" w:type="dxa"/>
            <w:left w:w="0" w:type="dxa"/>
            <w:bottom w:w="0" w:type="dxa"/>
            <w:right w:w="0" w:type="dxa"/>
          </w:tblCellMar>
        </w:tblPrEx>
        <w:trPr>
          <w:trHeight w:val="594"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904.99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529.53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375.45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800.05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431.98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368.07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群众团体事务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132.49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132.49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2012950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132.49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132.49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667.56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299.49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368.07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2013101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299.49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299.49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368.07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368.07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7.37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0.95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0.95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59.57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59.55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59.55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59.55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16.21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16.21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13.58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8.67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4.91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bl>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lang w:bidi="ar"/>
        </w:rPr>
        <w:t>备注：1.本表反映部门本年度各项支出情况。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spacing w:line="594" w:lineRule="exact"/>
        <w:ind w:firstLine="420" w:firstLineChars="200"/>
        <w:rPr>
          <w:rFonts w:hint="default" w:ascii="Times New Roman" w:hAnsi="Times New Roman"/>
          <w:sz w:val="21"/>
          <w:szCs w:val="21"/>
          <w:lang w:bidi="ar"/>
        </w:rPr>
      </w:pPr>
      <w:r>
        <w:rPr>
          <w:rFonts w:hint="default" w:ascii="Times New Roman" w:hAnsi="Times New Roman"/>
          <w:sz w:val="21"/>
          <w:szCs w:val="21"/>
          <w:lang w:bidi="ar"/>
        </w:rPr>
        <w:br w:type="page"/>
      </w:r>
    </w:p>
    <w:p>
      <w:pPr>
        <w:spacing w:line="594" w:lineRule="exact"/>
        <w:ind w:firstLine="420" w:firstLineChars="200"/>
        <w:rPr>
          <w:rFonts w:hint="default" w:ascii="Times New Roman" w:hAnsi="Times New Roman"/>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Times New Roman" w:hAnsi="Times New Roman"/>
                <w:color w:val="000000"/>
                <w:sz w:val="22"/>
                <w:szCs w:val="22"/>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中共垫江县委政法委员会</w:t>
            </w: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894.99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800.05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800.05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0.95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0.95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59.57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59.57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13.58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13.58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23.47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23.47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894.99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904.99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904.99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10.00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10.00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904.99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904.99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904.99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bl>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lang w:bidi="ar"/>
        </w:rPr>
        <w:t>备注：1.本表反映部门本年度一般公共预算财政拨款、政府性基金预算财政拨款及国有资本经营预算财政拨款的总收支和年末结转结余情况。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Times New Roman" w:hAnsi="Times New Roman"/>
                <w:color w:val="000000"/>
                <w:sz w:val="20"/>
                <w:szCs w:val="20"/>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中共垫江县委政法委员会</w:t>
            </w: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r>
      <w:tr>
        <w:tblPrEx>
          <w:tblCellMar>
            <w:top w:w="0" w:type="dxa"/>
            <w:left w:w="0" w:type="dxa"/>
            <w:bottom w:w="0" w:type="dxa"/>
            <w:right w:w="0" w:type="dxa"/>
          </w:tblCellMar>
        </w:tblPrEx>
        <w:trPr>
          <w:trHeight w:val="594"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r>
      <w:tr>
        <w:tblPrEx>
          <w:tblCellMar>
            <w:top w:w="0" w:type="dxa"/>
            <w:left w:w="0" w:type="dxa"/>
            <w:bottom w:w="0" w:type="dxa"/>
            <w:right w:w="0" w:type="dxa"/>
          </w:tblCellMar>
        </w:tblPrEx>
        <w:trPr>
          <w:trHeight w:val="594"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904.99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529.53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375.45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800.05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431.98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368.07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20129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群众团体事务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132.49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132.49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2012950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132.49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132.49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667.56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299.49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368.07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2013101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299.49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299.49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368.07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368.07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7.37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7.37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7.37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7.37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7.37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7.37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0.95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0.95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0.95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0.95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0.95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0.95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59.57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59.55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59.55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59.55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28.89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28.89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14.45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14.45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16.21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16.21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13.58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13.58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13.58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13.58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8.67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8.67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4.91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4.91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23.47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23.47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23.47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23.47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23.47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23.47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bl>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lang w:bidi="ar"/>
        </w:rPr>
        <w:t>备注：1.本表反映部门本年度一般公共预算财政拨款支出情况。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Times New Roman" w:hAnsi="Times New Roman"/>
                <w:color w:val="000000"/>
                <w:sz w:val="22"/>
                <w:szCs w:val="22"/>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中共垫江县委政法委员会</w:t>
            </w: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公用经费</w:t>
            </w:r>
          </w:p>
        </w:tc>
      </w:tr>
      <w:tr>
        <w:tblPrEx>
          <w:tblCellMar>
            <w:top w:w="0" w:type="dxa"/>
            <w:left w:w="0" w:type="dxa"/>
            <w:bottom w:w="0" w:type="dxa"/>
            <w:right w:w="0" w:type="dxa"/>
          </w:tblCellMar>
        </w:tblPrEx>
        <w:trPr>
          <w:trHeight w:val="594"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434.13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79.19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82.20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17.79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57.32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85.61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80.39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36.53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18.27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17.79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19.72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32.44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3.68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19.35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16.21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13.30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10.40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10.20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450.34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79.19 </w:t>
            </w:r>
          </w:p>
        </w:tc>
      </w:tr>
    </w:tbl>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lang w:bidi="ar"/>
        </w:rPr>
        <w:t>备注：1.本表反映部门本年度一般公共预算财政拨款基本支出明细情况。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Times New Roman" w:hAnsi="Times New Roman"/>
                <w:color w:val="000000"/>
                <w:sz w:val="20"/>
                <w:szCs w:val="20"/>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中共垫江县委政法委员会</w:t>
            </w: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年末结转和结余</w:t>
            </w:r>
          </w:p>
        </w:tc>
      </w:tr>
      <w:tr>
        <w:tblPrEx>
          <w:tblCellMar>
            <w:top w:w="0" w:type="dxa"/>
            <w:left w:w="0" w:type="dxa"/>
            <w:bottom w:w="0" w:type="dxa"/>
            <w:right w:w="0" w:type="dxa"/>
          </w:tblCellMar>
        </w:tblPrEx>
        <w:trPr>
          <w:trHeight w:val="594"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bl>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lang w:bidi="ar"/>
        </w:rPr>
        <w:t>备注：本表反映部门本年度政府性基金预算财政拨款收入支出及结转和结余情况。本部门无政府性基金收支，故本表无数据。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Times New Roman" w:hAnsi="Times New Roman"/>
                <w:color w:val="000000"/>
                <w:sz w:val="20"/>
                <w:szCs w:val="20"/>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中共垫江县委政法委员会</w:t>
            </w: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r>
      <w:tr>
        <w:tblPrEx>
          <w:tblCellMar>
            <w:top w:w="0" w:type="dxa"/>
            <w:left w:w="0" w:type="dxa"/>
            <w:bottom w:w="0" w:type="dxa"/>
            <w:right w:w="0" w:type="dxa"/>
          </w:tblCellMar>
        </w:tblPrEx>
        <w:trPr>
          <w:trHeight w:val="594"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2" w:firstLineChars="200"/>
              <w:jc w:val="right"/>
              <w:rPr>
                <w:rFonts w:hint="default" w:ascii="Times New Roman" w:hAnsi="Times New Roman"/>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bl>
    <w:p>
      <w:pPr>
        <w:spacing w:line="594" w:lineRule="exact"/>
        <w:ind w:firstLine="420" w:firstLineChars="200"/>
        <w:rPr>
          <w:rFonts w:hint="default" w:ascii="Times New Roman" w:hAnsi="Times New Roman"/>
          <w:sz w:val="21"/>
          <w:szCs w:val="21"/>
          <w:lang w:bidi="ar"/>
        </w:rPr>
      </w:pPr>
      <w:r>
        <w:rPr>
          <w:rFonts w:hint="default" w:ascii="Times New Roman" w:hAnsi="Times New Roman"/>
          <w:sz w:val="21"/>
          <w:szCs w:val="21"/>
          <w:lang w:bidi="ar"/>
        </w:rPr>
        <w:t>备注：本表反映部门本年度国有资本经营预算财政拨款支出情况。本部门无国有资本经营收支，故本表无数据。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jc w:val="center"/>
              <w:rPr>
                <w:rFonts w:hint="default" w:ascii="Times New Roman" w:hAnsi="Times New Roman"/>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jc w:val="right"/>
              <w:rPr>
                <w:rFonts w:hint="default" w:ascii="Times New Roman" w:hAnsi="Times New Roman"/>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Times New Roman" w:hAnsi="Times New Roman"/>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textAlignment w:val="bottom"/>
              <w:rPr>
                <w:rFonts w:hint="default" w:ascii="Times New Roman" w:hAnsi="Times New Roman"/>
                <w:color w:val="000000"/>
                <w:sz w:val="22"/>
                <w:szCs w:val="22"/>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中共垫江县委政法委员会</w:t>
            </w: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jc w:val="center"/>
              <w:rPr>
                <w:rFonts w:hint="default" w:ascii="Times New Roman" w:hAnsi="Times New Roman"/>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jc w:val="right"/>
              <w:rPr>
                <w:rFonts w:hint="default" w:ascii="Times New Roman" w:hAnsi="Times New Roman"/>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Times New Roman" w:hAnsi="Times New Roman"/>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59.36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5.21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5.21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59.36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3.21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3.21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3.21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3.21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2.00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2.00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2.00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31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210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1.83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Times New Roman" w:hAnsi="Times New Roman"/>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19.63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ascii="Times New Roman" w:hAnsi="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Times New Roman" w:hAnsi="Times New Roman"/>
                <w:color w:val="000000"/>
                <w:sz w:val="20"/>
                <w:szCs w:val="20"/>
              </w:rPr>
            </w:pPr>
          </w:p>
        </w:tc>
      </w:tr>
    </w:tbl>
    <w:p>
      <w:pPr>
        <w:spacing w:line="594" w:lineRule="exact"/>
        <w:ind w:firstLine="420" w:firstLineChars="200"/>
        <w:rPr>
          <w:rFonts w:hint="default" w:ascii="Times New Roman" w:hAnsi="Times New Roman"/>
          <w:sz w:val="21"/>
          <w:szCs w:val="21"/>
        </w:rPr>
      </w:pPr>
      <w:r>
        <w:rPr>
          <w:rFonts w:hint="default" w:ascii="Times New Roman" w:hAnsi="Times New Roman"/>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spacing w:line="594" w:lineRule="exact"/>
        <w:ind w:firstLine="420" w:firstLineChars="200"/>
        <w:rPr>
          <w:rFonts w:hint="default" w:ascii="Times New Roman" w:hAnsi="Times New Roman"/>
          <w:color w:val="000000"/>
          <w:sz w:val="21"/>
          <w:szCs w:val="21"/>
          <w:lang w:bidi="ar"/>
        </w:rPr>
      </w:pPr>
    </w:p>
    <w:p>
      <w:pPr>
        <w:spacing w:line="594" w:lineRule="exact"/>
        <w:ind w:firstLine="420" w:firstLineChars="200"/>
        <w:rPr>
          <w:rFonts w:hint="default" w:ascii="Times New Roman" w:hAnsi="Times New Roman"/>
          <w:color w:val="000000"/>
          <w:sz w:val="21"/>
          <w:szCs w:val="21"/>
          <w:lang w:bidi="ar"/>
        </w:rPr>
      </w:pPr>
    </w:p>
    <w:p>
      <w:pPr>
        <w:spacing w:line="594" w:lineRule="exact"/>
        <w:ind w:firstLine="420" w:firstLineChars="200"/>
        <w:rPr>
          <w:rFonts w:hint="default" w:ascii="Times New Roman" w:hAnsi="Times New Roman"/>
          <w:color w:val="000000"/>
          <w:sz w:val="21"/>
          <w:szCs w:val="21"/>
          <w:lang w:bidi="ar"/>
        </w:rPr>
      </w:pPr>
    </w:p>
    <w:p>
      <w:pPr>
        <w:spacing w:line="594" w:lineRule="exact"/>
        <w:ind w:firstLine="420" w:firstLineChars="200"/>
        <w:rPr>
          <w:rFonts w:hint="default" w:ascii="Times New Roman" w:hAnsi="Times New Roman"/>
          <w:color w:val="000000"/>
          <w:sz w:val="21"/>
          <w:szCs w:val="21"/>
          <w:lang w:bidi="ar"/>
        </w:rPr>
      </w:pPr>
    </w:p>
    <w:p>
      <w:pPr>
        <w:spacing w:line="594" w:lineRule="exact"/>
        <w:ind w:firstLine="420" w:firstLineChars="200"/>
        <w:rPr>
          <w:rFonts w:hint="default" w:ascii="Times New Roman" w:hAnsi="Times New Roman"/>
          <w:color w:val="000000"/>
          <w:sz w:val="21"/>
          <w:szCs w:val="21"/>
          <w:lang w:bidi="ar"/>
        </w:rPr>
      </w:pPr>
    </w:p>
    <w:p>
      <w:pPr>
        <w:spacing w:line="594" w:lineRule="exact"/>
        <w:ind w:firstLine="420" w:firstLineChars="200"/>
        <w:rPr>
          <w:rFonts w:hint="default" w:ascii="Times New Roman" w:hAnsi="Times New Roman"/>
          <w:color w:val="000000"/>
          <w:sz w:val="21"/>
          <w:szCs w:val="21"/>
          <w:lang w:bidi="ar"/>
        </w:rPr>
      </w:pPr>
    </w:p>
    <w:p>
      <w:pPr>
        <w:spacing w:line="594" w:lineRule="exact"/>
        <w:ind w:firstLine="420" w:firstLineChars="200"/>
        <w:rPr>
          <w:rFonts w:hint="default" w:ascii="Times New Roman" w:hAnsi="Times New Roman"/>
          <w:color w:val="000000"/>
          <w:sz w:val="21"/>
          <w:szCs w:val="21"/>
          <w:lang w:bidi="ar"/>
        </w:rPr>
      </w:pPr>
    </w:p>
    <w:p>
      <w:pPr>
        <w:spacing w:line="594" w:lineRule="exact"/>
        <w:ind w:firstLine="420" w:firstLineChars="200"/>
        <w:rPr>
          <w:rFonts w:hint="default" w:ascii="Times New Roman" w:hAnsi="Times New Roman"/>
          <w:color w:val="000000"/>
          <w:sz w:val="21"/>
          <w:szCs w:val="21"/>
          <w:lang w:bidi="ar"/>
        </w:rPr>
      </w:pPr>
    </w:p>
    <w:p>
      <w:pPr>
        <w:spacing w:line="594" w:lineRule="exact"/>
        <w:ind w:firstLine="420" w:firstLineChars="200"/>
        <w:rPr>
          <w:rFonts w:hint="default" w:ascii="Times New Roman" w:hAnsi="Times New Roman"/>
          <w:color w:val="000000"/>
          <w:sz w:val="21"/>
          <w:szCs w:val="21"/>
          <w:lang w:bidi="ar"/>
        </w:rPr>
      </w:pPr>
    </w:p>
    <w:p>
      <w:pPr>
        <w:pStyle w:val="10"/>
        <w:autoSpaceDE w:val="0"/>
        <w:spacing w:line="594" w:lineRule="exact"/>
        <w:rPr>
          <w:rFonts w:ascii="Times New Roman" w:hAnsi="Times New Roman"/>
          <w:sz w:val="21"/>
          <w:szCs w:val="21"/>
        </w:rPr>
      </w:pPr>
    </w:p>
    <w:sectPr>
      <w:headerReference r:id="rId4" w:type="default"/>
      <w:footerReference r:id="rId5" w:type="default"/>
      <w:pgSz w:w="23811" w:h="16838" w:orient="landscape"/>
      <w:pgMar w:top="1984" w:right="1446" w:bottom="1644" w:left="1446"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32 -</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F393D"/>
    <w:multiLevelType w:val="singleLevel"/>
    <w:tmpl w:val="860F393D"/>
    <w:lvl w:ilvl="0" w:tentative="0">
      <w:start w:val="4"/>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MzI2NjU4ODI2OGI4OGNmZWRjNGZhNjU5MGE5YTgifQ=="/>
  </w:docVars>
  <w:rsids>
    <w:rsidRoot w:val="00B03CCD"/>
    <w:rsid w:val="002E5443"/>
    <w:rsid w:val="00550ABE"/>
    <w:rsid w:val="00764BFD"/>
    <w:rsid w:val="007B419D"/>
    <w:rsid w:val="008051A7"/>
    <w:rsid w:val="009B67B8"/>
    <w:rsid w:val="00B03CCD"/>
    <w:rsid w:val="00B90F98"/>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3030A6"/>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056F38"/>
    <w:rsid w:val="383C3F15"/>
    <w:rsid w:val="38BE4696"/>
    <w:rsid w:val="3939115E"/>
    <w:rsid w:val="39B82A39"/>
    <w:rsid w:val="39C42CA8"/>
    <w:rsid w:val="39DC4FD6"/>
    <w:rsid w:val="39F03D7A"/>
    <w:rsid w:val="39F33306"/>
    <w:rsid w:val="3A2C1C67"/>
    <w:rsid w:val="3B1705E5"/>
    <w:rsid w:val="3B18334B"/>
    <w:rsid w:val="3B36794F"/>
    <w:rsid w:val="3C1E0B4E"/>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3F72A5"/>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7F20B1"/>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D40893"/>
    <w:rsid w:val="6EFD1324"/>
    <w:rsid w:val="6F5A53AC"/>
    <w:rsid w:val="6FAC003D"/>
    <w:rsid w:val="6FE55E12"/>
    <w:rsid w:val="6FFB2E76"/>
    <w:rsid w:val="708F6F7F"/>
    <w:rsid w:val="70D94BD3"/>
    <w:rsid w:val="71C34D91"/>
    <w:rsid w:val="72DB435C"/>
    <w:rsid w:val="72E2613A"/>
    <w:rsid w:val="72F771F4"/>
    <w:rsid w:val="736650B0"/>
    <w:rsid w:val="73934AD2"/>
    <w:rsid w:val="748768F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2354</Words>
  <Characters>13418</Characters>
  <Lines>111</Lines>
  <Paragraphs>31</Paragraphs>
  <TotalTime>2</TotalTime>
  <ScaleCrop>false</ScaleCrop>
  <LinksUpToDate>false</LinksUpToDate>
  <CharactersWithSpaces>15741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2024-09-11T07:13:51Z</dcterms:modified>
  <dc:title>中共垫江县委政法委员会2023年度决算公开说明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365D9F8A363B4DD2857B3D78E52B10CF_13</vt:lpwstr>
  </property>
</Properties>
</file>