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0" w:beforeAutospacing="0" w:after="0" w:afterAutospacing="0" w:line="240" w:lineRule="atLeast"/>
        <w:jc w:val="center"/>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中国共产党垫江县纪律检查委员会（本级）</w:t>
      </w:r>
      <w:r>
        <w:rPr>
          <w:rFonts w:ascii="方正小标宋_GBK" w:hAnsi="方正小标宋_GBK" w:eastAsia="方正小标宋_GBK" w:cs="方正小标宋_GBK"/>
          <w:sz w:val="44"/>
          <w:szCs w:val="44"/>
          <w:shd w:val="clear" w:color="auto" w:fill="FFFFFF"/>
        </w:rPr>
        <w:t>2023年度决算公开说明</w:t>
      </w:r>
    </w:p>
    <w:p>
      <w:pPr>
        <w:pStyle w:val="6"/>
        <w:widowControl w:val="0"/>
        <w:shd w:val="clear" w:color="auto" w:fill="FFFFFF"/>
        <w:snapToGrid w:val="0"/>
        <w:spacing w:before="0" w:beforeAutospacing="0" w:after="0" w:afterAutospacing="0" w:line="600" w:lineRule="atLeast"/>
        <w:rPr>
          <w:rStyle w:val="10"/>
          <w:rFonts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　　</w:t>
      </w:r>
    </w:p>
    <w:p>
      <w:pPr>
        <w:pStyle w:val="6"/>
        <w:widowControl w:val="0"/>
        <w:shd w:val="clear" w:color="auto" w:fill="FFFFFF"/>
        <w:snapToGrid w:val="0"/>
        <w:spacing w:before="0" w:beforeAutospacing="0" w:after="0" w:afterAutospacing="0" w:line="600" w:lineRule="atLeast"/>
        <w:rPr>
          <w:rFonts w:ascii="方正黑体_GBK" w:hAnsi="Times New Roman" w:eastAsia="方正黑体_GBK"/>
          <w:b/>
          <w:sz w:val="32"/>
          <w:szCs w:val="32"/>
        </w:rPr>
      </w:pPr>
      <w:r>
        <w:rPr>
          <w:rStyle w:val="10"/>
          <w:rFonts w:ascii="方正黑体_GBK" w:hAnsi="Times New Roman" w:eastAsia="方正黑体_GBK"/>
          <w:b w:val="0"/>
          <w:sz w:val="32"/>
          <w:szCs w:val="32"/>
          <w:shd w:val="clear" w:color="auto" w:fill="FFFFFF"/>
        </w:rPr>
        <w:t>　　一、部门基本情况</w:t>
      </w:r>
    </w:p>
    <w:p>
      <w:pPr>
        <w:pStyle w:val="6"/>
        <w:widowControl w:val="0"/>
        <w:shd w:val="clear" w:color="auto" w:fill="FFFFFF"/>
        <w:snapToGrid w:val="0"/>
        <w:spacing w:before="0" w:beforeAutospacing="0" w:after="0" w:afterAutospacing="0" w:line="600" w:lineRule="atLeast"/>
        <w:ind w:firstLine="420"/>
        <w:rPr>
          <w:rFonts w:ascii="方正楷体_GBK" w:hAnsi="Times New Roman" w:eastAsia="方正楷体_GBK"/>
          <w:b/>
          <w:sz w:val="32"/>
          <w:szCs w:val="32"/>
        </w:rPr>
      </w:pPr>
      <w:r>
        <w:rPr>
          <w:rStyle w:val="10"/>
          <w:rFonts w:ascii="方正楷体_GBK" w:hAnsi="Times New Roman" w:eastAsia="方正楷体_GBK"/>
          <w:b w:val="0"/>
          <w:sz w:val="32"/>
          <w:szCs w:val="32"/>
          <w:shd w:val="clear" w:color="auto" w:fill="FFFFFF"/>
        </w:rPr>
        <w:t>（一）职能职责</w:t>
      </w:r>
    </w:p>
    <w:p>
      <w:pPr>
        <w:pStyle w:val="6"/>
        <w:widowControl w:val="0"/>
        <w:shd w:val="clear" w:color="auto" w:fill="FFFFFF"/>
        <w:snapToGrid w:val="0"/>
        <w:spacing w:before="0" w:beforeAutospacing="0" w:after="0" w:afterAutospacing="0" w:line="600" w:lineRule="atLeas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中国共产党垫江县纪律检查委员会(简称县纪委），与垫江县监察委员会（简称县监委）合署办公。</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纪委主要职责：维护党的章程和其他党内法规，检查党的路线、方针、政策和决议的执行情况，协助县委推进全面从严治党、加强党风建设和组织协调反腐败工作；履行监督、执纪、问责职责；对党员进行遵守纪律的教育，作出关于维护党纪的决定；对党的组织和党员领导干部履行职责、行使权力进行监督，受理处置党员群众检举举报，开展提醒谈话、约谈函询；检查和处理党的组织和党员违反党的章程和其他党内法规的比较重要或复杂的案件，决定或取消对这些案件中的党员的处分；进行问责或提出责任追究的建议；受理党员的控告和申诉；保障党员的权利；履行其他法律法规赋予的其他职责。</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监委主要职责：维护宪法和法律法规权威；依法监察公职人员行使公权力情况，调查职务违法和职务犯罪；开展廉政建设和反腐败工作；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检察机关依法提起公诉；对在行使职权中存在的问题提出监察建议；履行其他法律法规赋予的其他职责。</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纪委监委派驻纪检监察组主要职责：履行对驻在部门党风廉政建设的监督责任，负责本派驻机构干部日常管理和监督，发现重要问题向县纪委及时报告；经县纪委批准，初步核实反映驻在部门领导班子及县管干部的问题线索；参与调查驻在部门领导班子及县管党员干部违犯党纪的案件；承办县纪委交办的其他事项。</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县监委派出监察室主要职责：根据县监委授权，按照管理权限依法对公职人员进行监督，提出监察建议；依法对公职人员进行调查、处置。</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委巡察办主要职责：向市委巡视工作领导小组办公室和县委巡察工作领导小组报告巡察工作情况，传达贯彻市委巡视工作领导小组的决策和部署，办理市委巡视办交办的事项；传达贯彻县委、县委巡察工作领导小组的决策和部署，对县委和县委巡察工作领导小组决定的事项进行督办；统筹、协调、指导巡察组开展工作；承担政策研究、制度建设等工作；会同县纪委、县委组织部等有关机关和部门对巡察工作人员进行培训、考核、监督和管理；为县委巡察组开展工作提供服务保障；办理县委、巡察工作领导小组交办的其他事项。</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委巡察组主要职责：承担巡察任务，负责发现问题、反映问题、推动问题解决，依纪依法地了解有关情况；按规定向县委、县委巡察工作领导小组报告巡察中发现的重要情况和重大事项；收集整理巡察材料，分析综合情况，形成巡察报告、专题报告、反馈意见等巡察工作材料；审核巡察整改情况报告，督促检查被巡察党组织整改落实、办理移交问题线索的情况、开展巡察移交共性问题整治的情况进行了解和督促；办理县委、县委巡察工作领导小组交办的其他事项。</w:t>
      </w:r>
    </w:p>
    <w:p>
      <w:pPr>
        <w:pStyle w:val="6"/>
        <w:widowControl w:val="0"/>
        <w:shd w:val="clear" w:color="auto" w:fill="FFFFFF"/>
        <w:snapToGrid w:val="0"/>
        <w:spacing w:before="0" w:beforeAutospacing="0" w:after="0" w:afterAutospacing="0" w:line="600" w:lineRule="atLeast"/>
        <w:rPr>
          <w:rStyle w:val="10"/>
          <w:rFonts w:hint="default" w:ascii="方正楷体_GBK" w:eastAsia="方正楷体_GBK"/>
          <w:shd w:val="clear" w:color="auto" w:fill="FFFFFF"/>
        </w:rPr>
      </w:pPr>
      <w:r>
        <w:rPr>
          <w:rStyle w:val="10"/>
          <w:rFonts w:ascii="方正楷体_GBK" w:hAnsi="Times New Roman" w:eastAsia="方正楷体_GBK"/>
          <w:b w:val="0"/>
          <w:sz w:val="32"/>
          <w:szCs w:val="32"/>
          <w:shd w:val="clear" w:color="auto" w:fill="FFFFFF"/>
        </w:rPr>
        <w:t>　　</w:t>
      </w:r>
      <w:r>
        <w:rPr>
          <w:rStyle w:val="10"/>
          <w:rFonts w:hint="default" w:ascii="方正楷体_GBK" w:hAnsi="Times New Roman" w:eastAsia="方正楷体_GBK"/>
          <w:b w:val="0"/>
          <w:sz w:val="32"/>
          <w:szCs w:val="32"/>
          <w:shd w:val="clear" w:color="auto" w:fill="FFFFFF"/>
        </w:rPr>
        <w:t>（二）机构设置</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县纪委监委机关设18个部室，核定人员编制50名。县纪委监委向县级部门派驻13个纪检监察组，核定行政人员编制54名。县监委采取归口方式向乡镇（街道）派出6个监察室，核定行政人员编制28名。</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设立中共垫江县委巡察工作领导小组办公室。县委巡察办设2个内设机构（综合业务科、联络督查科），核定县委巡察办行政编制5名、县委巡察组行政编制12名。</w:t>
      </w:r>
    </w:p>
    <w:p>
      <w:pPr>
        <w:pStyle w:val="6"/>
        <w:widowControl w:val="0"/>
        <w:shd w:val="clear" w:color="auto" w:fill="FFFFFF"/>
        <w:snapToGrid w:val="0"/>
        <w:spacing w:before="0" w:beforeAutospacing="0" w:after="0" w:afterAutospacing="0" w:line="600" w:lineRule="atLeast"/>
        <w:rPr>
          <w:rStyle w:val="10"/>
          <w:rFonts w:ascii="方正黑体_GBK" w:hAnsi="Times New Roman" w:eastAsia="方正黑体_GBK"/>
          <w:b w:val="0"/>
          <w:sz w:val="32"/>
          <w:szCs w:val="32"/>
          <w:shd w:val="clear" w:color="auto" w:fill="FFFFFF"/>
        </w:rPr>
      </w:pPr>
      <w:r>
        <w:rPr>
          <w:rStyle w:val="10"/>
          <w:rFonts w:hint="default" w:ascii="Times New Roman" w:hAnsi="Times New Roman" w:eastAsia="黑体"/>
          <w:sz w:val="32"/>
          <w:szCs w:val="32"/>
          <w:shd w:val="clear" w:color="auto" w:fill="FFFFFF"/>
        </w:rPr>
        <w:t>　　</w:t>
      </w:r>
      <w:r>
        <w:rPr>
          <w:rStyle w:val="10"/>
          <w:rFonts w:ascii="方正黑体_GBK" w:hAnsi="Times New Roman" w:eastAsia="方正黑体_GBK"/>
          <w:b w:val="0"/>
          <w:sz w:val="32"/>
          <w:szCs w:val="32"/>
          <w:shd w:val="clear" w:color="auto" w:fill="FFFFFF"/>
        </w:rPr>
        <w:t>二、部门决算情况说明</w:t>
      </w:r>
    </w:p>
    <w:p>
      <w:pPr>
        <w:pStyle w:val="6"/>
        <w:widowControl w:val="0"/>
        <w:shd w:val="clear" w:color="auto" w:fill="FFFFFF"/>
        <w:snapToGrid w:val="0"/>
        <w:spacing w:before="0" w:beforeAutospacing="0" w:after="0" w:afterAutospacing="0" w:line="600" w:lineRule="atLeast"/>
        <w:ind w:firstLine="42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（一）收入支出决算总体情况说明。</w:t>
      </w:r>
    </w:p>
    <w:p>
      <w:pPr>
        <w:pStyle w:val="6"/>
        <w:widowControl w:val="0"/>
        <w:shd w:val="clear" w:color="auto" w:fill="FFFFFF"/>
        <w:snapToGrid w:val="0"/>
        <w:spacing w:before="0" w:beforeAutospacing="0" w:after="0" w:afterAutospacing="0" w:line="600" w:lineRule="atLeas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2023年度收入总计4502.93万元，支出总计</w:t>
      </w:r>
      <w:r>
        <w:rPr>
          <w:rFonts w:hint="default" w:ascii="Times New Roman" w:hAnsi="Times New Roman" w:eastAsia="方正仿宋_GBK"/>
          <w:sz w:val="32"/>
          <w:szCs w:val="32"/>
        </w:rPr>
        <w:t>4502.93</w:t>
      </w:r>
      <w:r>
        <w:rPr>
          <w:rFonts w:hint="default" w:ascii="Times New Roman" w:hAnsi="Times New Roman" w:eastAsia="方正仿宋_GBK"/>
          <w:sz w:val="32"/>
          <w:szCs w:val="32"/>
          <w:shd w:val="clear" w:color="auto" w:fill="FFFFFF"/>
        </w:rPr>
        <w:t>万元。收支较上年决算数增加295.65万元，增长7.03%，主要原因是机关人员增加导致公用经费增加和人员工资、人员考核奖等增加。</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2023年度收入合计4202.93万元，较上年决算数增加255.65万元，增长6.48%，主要原因是机关人员增加导致公用经费增加和人员工资、人员考核奖等增加。其中：财政拨款收入</w:t>
      </w:r>
      <w:r>
        <w:rPr>
          <w:rFonts w:hint="default" w:ascii="Times New Roman" w:hAnsi="Times New Roman" w:eastAsia="方正仿宋_GBK"/>
          <w:sz w:val="32"/>
          <w:szCs w:val="32"/>
        </w:rPr>
        <w:t>4202.93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300.00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4502.93</w:t>
      </w:r>
      <w:r>
        <w:rPr>
          <w:rFonts w:hint="default" w:ascii="Times New Roman" w:hAnsi="Times New Roman" w:eastAsia="方正仿宋_GBK"/>
          <w:sz w:val="32"/>
          <w:szCs w:val="32"/>
          <w:shd w:val="clear" w:color="auto" w:fill="FFFFFF"/>
        </w:rPr>
        <w:t>万元，较上年决算数增加295.65万元，增长7.03%，主要原因是机关人员增加导致公用经费增加和人员工资、人员考核奖等增加；留置点全年运转经费增加。其中：基本支出</w:t>
      </w:r>
      <w:r>
        <w:rPr>
          <w:rFonts w:hint="default" w:ascii="Times New Roman" w:hAnsi="Times New Roman" w:eastAsia="方正仿宋_GBK"/>
          <w:sz w:val="32"/>
          <w:szCs w:val="32"/>
        </w:rPr>
        <w:t>3926.88</w:t>
      </w:r>
      <w:r>
        <w:rPr>
          <w:rFonts w:hint="default" w:ascii="Times New Roman" w:hAnsi="Times New Roman" w:eastAsia="方正仿宋_GBK"/>
          <w:sz w:val="32"/>
          <w:szCs w:val="32"/>
          <w:shd w:val="clear" w:color="auto" w:fill="FFFFFF"/>
        </w:rPr>
        <w:t>万元，占87.21%；项目支出</w:t>
      </w:r>
      <w:r>
        <w:rPr>
          <w:rFonts w:hint="default" w:ascii="Times New Roman" w:hAnsi="Times New Roman" w:eastAsia="方正仿宋_GBK"/>
          <w:sz w:val="32"/>
          <w:szCs w:val="32"/>
        </w:rPr>
        <w:t>576.05</w:t>
      </w:r>
      <w:r>
        <w:rPr>
          <w:rFonts w:hint="default" w:ascii="Times New Roman" w:hAnsi="Times New Roman" w:eastAsia="方正仿宋_GBK"/>
          <w:sz w:val="32"/>
          <w:szCs w:val="32"/>
          <w:shd w:val="clear" w:color="auto" w:fill="FFFFFF"/>
        </w:rPr>
        <w:t>万元，占12.79%；经营支出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widowControl w:val="0"/>
        <w:shd w:val="clear" w:color="auto" w:fill="FFFFFF"/>
        <w:snapToGrid w:val="0"/>
        <w:spacing w:before="0" w:beforeAutospacing="0" w:after="0" w:afterAutospacing="0" w:line="600" w:lineRule="atLeas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万元，较上年决算数无增减，主要原因是为保障纪委本级机关以及留置点正常运转，经费采用足额预算，足额支出。</w:t>
      </w:r>
    </w:p>
    <w:p>
      <w:pPr>
        <w:pStyle w:val="6"/>
        <w:widowControl w:val="0"/>
        <w:shd w:val="clear" w:color="auto" w:fill="FFFFFF"/>
        <w:snapToGrid w:val="0"/>
        <w:spacing w:before="0" w:beforeAutospacing="0" w:after="0" w:afterAutospacing="0" w:line="600" w:lineRule="atLeast"/>
        <w:ind w:firstLine="42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（二）财政拨款收入支出决算总体情况说明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2023年度财政拨款收、支总计4502.93万元。与2022年相比，财政拨款收、支总计各增加295.65万元，增长7.03%。主要原因是机关人员增加导致公用经费增加和人员工资、人员考核奖等增加；留置点使用经费增加。</w:t>
      </w:r>
    </w:p>
    <w:p>
      <w:pPr>
        <w:pStyle w:val="6"/>
        <w:widowControl w:val="0"/>
        <w:shd w:val="clear" w:color="auto" w:fill="FFFFFF"/>
        <w:snapToGrid w:val="0"/>
        <w:spacing w:before="0" w:beforeAutospacing="0" w:after="0" w:afterAutospacing="0" w:line="600" w:lineRule="atLeast"/>
        <w:ind w:firstLine="420"/>
        <w:rPr>
          <w:rStyle w:val="10"/>
          <w:rFonts w:ascii="方正楷体_GBK" w:eastAsia="方正楷体_GBK"/>
        </w:rPr>
      </w:pPr>
      <w:r>
        <w:rPr>
          <w:rStyle w:val="10"/>
          <w:rFonts w:ascii="方正楷体_GBK" w:hAnsi="Times New Roman" w:eastAsia="方正楷体_GBK"/>
          <w:b w:val="0"/>
          <w:sz w:val="32"/>
          <w:szCs w:val="32"/>
          <w:shd w:val="clear" w:color="auto" w:fill="FFFFFF"/>
        </w:rPr>
        <w:t>（三）一般公共预算财政拨款收入支出决算情况说明</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4202.93</w:t>
      </w:r>
      <w:r>
        <w:rPr>
          <w:rFonts w:hint="default" w:ascii="Times New Roman" w:hAnsi="Times New Roman" w:eastAsia="方正仿宋_GBK"/>
          <w:sz w:val="32"/>
          <w:szCs w:val="32"/>
          <w:shd w:val="clear" w:color="auto" w:fill="FFFFFF"/>
        </w:rPr>
        <w:t>万元，较上年决算数增加255.65万元，增长6.48%。主要原因是机关人员增加导致公用经费增加和人员工资、人员考核奖等增加。较年初预算数增加462.71万元，增长12.37%。主要原因是机关人员增加导致公用经费增加和人员考核奖提高；留置点全年运转经费增加。此外，年初财政拨款结转和结余</w:t>
      </w:r>
      <w:r>
        <w:rPr>
          <w:rFonts w:hint="default" w:ascii="Times New Roman" w:hAnsi="Times New Roman" w:eastAsia="方正仿宋_GBK"/>
          <w:sz w:val="32"/>
          <w:szCs w:val="32"/>
        </w:rPr>
        <w:t>300.00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4502.93</w:t>
      </w:r>
      <w:r>
        <w:rPr>
          <w:rFonts w:hint="default" w:ascii="Times New Roman" w:hAnsi="Times New Roman" w:eastAsia="方正仿宋_GBK"/>
          <w:sz w:val="32"/>
          <w:szCs w:val="32"/>
          <w:shd w:val="clear" w:color="auto" w:fill="FFFFFF"/>
        </w:rPr>
        <w:t>万元，较上年决算数增加295.65万元，增长7.03%。主要原因是机关人员增加导致公用经费增加和人员工资、人员考核奖等增加。较年初预算数增加762.71万元，增长20.39%。主要原因是机关人员增加导致公用经费增加和人员工资、人员考核奖等增加；留置点全年运转经费增加。</w:t>
      </w:r>
    </w:p>
    <w:p>
      <w:pPr>
        <w:pStyle w:val="6"/>
        <w:widowControl w:val="0"/>
        <w:shd w:val="clear" w:color="auto" w:fill="FFFFFF"/>
        <w:snapToGrid w:val="0"/>
        <w:spacing w:before="0" w:beforeAutospacing="0" w:after="0" w:afterAutospacing="0" w:line="600" w:lineRule="atLeas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万元，较上年决算数无增减，主要原因是为保障纪委本级机关以及留置点正常运转，经费采用足额预算，足额支出。</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3518.15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78.13</w:t>
      </w:r>
      <w:r>
        <w:rPr>
          <w:rFonts w:hint="default" w:ascii="Times New Roman" w:hAnsi="Times New Roman" w:eastAsia="方正仿宋_GBK"/>
          <w:sz w:val="32"/>
          <w:szCs w:val="32"/>
          <w:shd w:val="clear" w:color="auto" w:fill="FFFFFF"/>
        </w:rPr>
        <w:t>%，较年初预算数增加545.37万元，增长18.35%，主要原因是机关人员增加导致公用经费增加和人员工资、人员考核奖等增加。</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（2）公共安全支出</w:t>
      </w:r>
      <w:r>
        <w:rPr>
          <w:rFonts w:hint="default" w:ascii="Times New Roman" w:hAnsi="Times New Roman" w:eastAsia="方正仿宋_GBK"/>
          <w:sz w:val="32"/>
          <w:szCs w:val="32"/>
        </w:rPr>
        <w:t>141.81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3.15</w:t>
      </w:r>
      <w:r>
        <w:rPr>
          <w:rFonts w:hint="default" w:ascii="Times New Roman" w:hAnsi="Times New Roman" w:eastAsia="方正仿宋_GBK"/>
          <w:sz w:val="32"/>
          <w:szCs w:val="32"/>
          <w:shd w:val="clear" w:color="auto" w:fill="FFFFFF"/>
        </w:rPr>
        <w:t>%，较年初预算数增加141.81万元，增长100.00%，主要</w:t>
      </w:r>
      <w:r>
        <w:rPr>
          <w:rFonts w:hint="default" w:ascii="Times New Roman" w:hAnsi="Times New Roman" w:eastAsia="方正仿宋_GBK"/>
          <w:sz w:val="32"/>
          <w:szCs w:val="32"/>
        </w:rPr>
        <w:t>原因是市纪委转移支付资金用于支持纪检监察工作。</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（3）教育支出</w:t>
      </w:r>
      <w:r>
        <w:rPr>
          <w:rFonts w:hint="default" w:ascii="Times New Roman" w:hAnsi="Times New Roman" w:eastAsia="方正仿宋_GBK"/>
          <w:sz w:val="32"/>
          <w:szCs w:val="32"/>
        </w:rPr>
        <w:t>8.76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0.19</w:t>
      </w:r>
      <w:r>
        <w:rPr>
          <w:rFonts w:hint="default" w:ascii="Times New Roman" w:hAnsi="Times New Roman" w:eastAsia="方正仿宋_GBK"/>
          <w:sz w:val="32"/>
          <w:szCs w:val="32"/>
          <w:shd w:val="clear" w:color="auto" w:fill="FFFFFF"/>
        </w:rPr>
        <w:t>%，较年初预算数无增减，主要</w:t>
      </w:r>
      <w:r>
        <w:rPr>
          <w:rFonts w:hint="default" w:ascii="Times New Roman" w:hAnsi="Times New Roman" w:eastAsia="方正仿宋_GBK"/>
          <w:sz w:val="32"/>
          <w:szCs w:val="32"/>
        </w:rPr>
        <w:t>原因是严格按照年初预算开展纪检监察干部教育培训工作。</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（4）社会保障与就业支出</w:t>
      </w:r>
      <w:r>
        <w:rPr>
          <w:rFonts w:hint="default" w:ascii="Times New Roman" w:hAnsi="Times New Roman" w:eastAsia="方正仿宋_GBK"/>
          <w:sz w:val="32"/>
          <w:szCs w:val="32"/>
        </w:rPr>
        <w:t>486.59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10.81</w:t>
      </w:r>
      <w:r>
        <w:rPr>
          <w:rFonts w:hint="default" w:ascii="Times New Roman" w:hAnsi="Times New Roman" w:eastAsia="方正仿宋_GBK"/>
          <w:sz w:val="32"/>
          <w:szCs w:val="32"/>
          <w:shd w:val="clear" w:color="auto" w:fill="FFFFFF"/>
        </w:rPr>
        <w:t>%，较年初预算数增加63.0</w:t>
      </w:r>
      <w:r>
        <w:rPr>
          <w:rFonts w:hint="default" w:ascii="Times New Roman" w:hAnsi="Times New Roman" w:eastAsia="方正仿宋_GBK"/>
          <w:sz w:val="32"/>
          <w:szCs w:val="32"/>
        </w:rPr>
        <w:t>4万元，增长14.88%，主要原因是职工社会保险基数增加。</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（5）卫生健康支出</w:t>
      </w:r>
      <w:r>
        <w:rPr>
          <w:rFonts w:hint="default" w:ascii="Times New Roman" w:hAnsi="Times New Roman" w:eastAsia="方正仿宋_GBK"/>
          <w:sz w:val="32"/>
          <w:szCs w:val="32"/>
        </w:rPr>
        <w:t>197.65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4.39</w:t>
      </w:r>
      <w:r>
        <w:rPr>
          <w:rFonts w:hint="default" w:ascii="Times New Roman" w:hAnsi="Times New Roman" w:eastAsia="方正仿宋_GBK"/>
          <w:sz w:val="32"/>
          <w:szCs w:val="32"/>
          <w:shd w:val="clear" w:color="auto" w:fill="FFFFFF"/>
        </w:rPr>
        <w:t>%，较年初预算数增加86.08万元，增长77.15%，</w:t>
      </w:r>
      <w:r>
        <w:rPr>
          <w:rFonts w:hint="default" w:ascii="Times New Roman" w:hAnsi="Times New Roman" w:eastAsia="方正仿宋_GBK"/>
          <w:sz w:val="32"/>
          <w:szCs w:val="32"/>
        </w:rPr>
        <w:t>主要原因是职工医疗保障缴费基数增加。</w:t>
      </w:r>
    </w:p>
    <w:p>
      <w:pPr>
        <w:widowControl w:val="0"/>
        <w:snapToGrid w:val="0"/>
        <w:spacing w:line="600" w:lineRule="atLeas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（6）</w:t>
      </w:r>
      <w:r>
        <w:rPr>
          <w:rFonts w:hint="default" w:ascii="Times New Roman" w:hAnsi="Times New Roman" w:eastAsia="方正仿宋_GBK"/>
          <w:sz w:val="32"/>
          <w:szCs w:val="32"/>
        </w:rPr>
        <w:t>住房保障支出149.97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3.33</w:t>
      </w:r>
      <w:r>
        <w:rPr>
          <w:rFonts w:hint="default" w:ascii="Times New Roman" w:hAnsi="Times New Roman" w:eastAsia="方正仿宋_GBK"/>
          <w:sz w:val="32"/>
          <w:szCs w:val="32"/>
          <w:shd w:val="clear" w:color="auto" w:fill="FFFFFF"/>
        </w:rPr>
        <w:t>%，较年初预算数减少73.59万元，下降32.92%，主要</w:t>
      </w:r>
      <w:r>
        <w:rPr>
          <w:rFonts w:hint="default" w:ascii="Times New Roman" w:hAnsi="Times New Roman" w:eastAsia="方正仿宋_GBK"/>
          <w:sz w:val="32"/>
          <w:szCs w:val="32"/>
        </w:rPr>
        <w:t>原因是严格执行市县公积金清理相关政策，严控超范围计算公积金基数。</w:t>
      </w:r>
    </w:p>
    <w:p>
      <w:pPr>
        <w:pStyle w:val="6"/>
        <w:widowControl w:val="0"/>
        <w:shd w:val="clear" w:color="auto" w:fill="FFFFFF"/>
        <w:snapToGrid w:val="0"/>
        <w:spacing w:before="0" w:beforeAutospacing="0" w:after="0" w:afterAutospacing="0" w:line="600" w:lineRule="atLeast"/>
        <w:ind w:firstLine="42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（四）一般公共预算财政拨款基本支出决算情况说明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3926.88</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3147.06</w:t>
      </w:r>
      <w:r>
        <w:rPr>
          <w:rFonts w:hint="default" w:ascii="Times New Roman" w:hAnsi="Times New Roman" w:eastAsia="方正仿宋_GBK"/>
          <w:sz w:val="32"/>
          <w:szCs w:val="32"/>
          <w:shd w:val="clear" w:color="auto" w:fill="FFFFFF"/>
        </w:rPr>
        <w:t>万元，较上年决算数增加121.59万元，增长4.02%，主要原因是机关人员增加行政人员工资福利和人员考核奖等增加。人员经费用途主要包括基本工资、津贴补贴、奖金、社会保障缴费、伙食补助费、住房公积金、其他工资福利等。公用经费</w:t>
      </w:r>
      <w:r>
        <w:rPr>
          <w:rFonts w:hint="default" w:ascii="Times New Roman" w:hAnsi="Times New Roman" w:eastAsia="方正仿宋_GBK"/>
          <w:sz w:val="32"/>
          <w:szCs w:val="32"/>
        </w:rPr>
        <w:t>779.82万元，较上年决算数增加31.52万元，增长4.21%，主要原因是人员增加导致公用经费增加；纪检监察干部教育培训基地建设、县作风建设办办公设备购置等费用支出加大。公用经费用途主要包括办公费、印刷费、差旅费、邮电费、工会经费、公车运行</w:t>
      </w:r>
      <w:r>
        <w:rPr>
          <w:rFonts w:hint="default" w:ascii="Times New Roman" w:hAnsi="Times New Roman" w:eastAsia="方正仿宋_GBK"/>
          <w:sz w:val="32"/>
          <w:szCs w:val="32"/>
          <w:shd w:val="clear" w:color="auto" w:fill="FFFFFF"/>
        </w:rPr>
        <w:t>维护费、留置场所租赁费。</w:t>
      </w:r>
    </w:p>
    <w:p>
      <w:pPr>
        <w:pStyle w:val="6"/>
        <w:widowControl w:val="0"/>
        <w:shd w:val="clear" w:color="auto" w:fill="FFFFFF"/>
        <w:snapToGrid w:val="0"/>
        <w:spacing w:before="0" w:beforeAutospacing="0" w:after="0" w:afterAutospacing="0" w:line="600" w:lineRule="atLeast"/>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　　（五）政府性基金预算收支决算情况说明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本部门2023年度无政府性基金预算财政拨款收支。</w:t>
      </w:r>
    </w:p>
    <w:p>
      <w:pPr>
        <w:pStyle w:val="6"/>
        <w:widowControl w:val="0"/>
        <w:shd w:val="clear" w:color="auto" w:fill="FFFFFF"/>
        <w:snapToGrid w:val="0"/>
        <w:spacing w:before="0" w:beforeAutospacing="0" w:after="0" w:afterAutospacing="0" w:line="600" w:lineRule="atLeast"/>
        <w:ind w:firstLine="42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（六）国有资本经营预算财政拨款支出决算情况说明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本部门2023年度无国有资本经营预算财政拨款支出。</w:t>
      </w:r>
    </w:p>
    <w:p>
      <w:pPr>
        <w:pStyle w:val="6"/>
        <w:widowControl w:val="0"/>
        <w:shd w:val="clear" w:color="auto" w:fill="FFFFFF"/>
        <w:snapToGrid w:val="0"/>
        <w:spacing w:before="0" w:beforeAutospacing="0" w:after="0" w:afterAutospacing="0" w:line="600" w:lineRule="atLeast"/>
        <w:rPr>
          <w:rStyle w:val="10"/>
          <w:rFonts w:ascii="方正黑体_GBK" w:hAnsi="Times New Roman" w:eastAsia="方正黑体_GBK"/>
          <w:b w:val="0"/>
          <w:sz w:val="32"/>
          <w:szCs w:val="32"/>
          <w:shd w:val="clear" w:color="auto" w:fill="FFFFFF"/>
        </w:rPr>
      </w:pPr>
      <w:r>
        <w:rPr>
          <w:rStyle w:val="10"/>
          <w:rFonts w:hint="default" w:ascii="Times New Roman" w:hAnsi="Times New Roman" w:eastAsia="黑体"/>
          <w:sz w:val="32"/>
          <w:szCs w:val="32"/>
          <w:shd w:val="clear" w:color="auto" w:fill="FFFFFF"/>
        </w:rPr>
        <w:t>　</w:t>
      </w:r>
      <w:r>
        <w:rPr>
          <w:rStyle w:val="10"/>
          <w:rFonts w:ascii="方正黑体_GBK" w:hAnsi="Times New Roman" w:eastAsia="方正黑体_GBK"/>
          <w:b w:val="0"/>
          <w:sz w:val="32"/>
          <w:szCs w:val="32"/>
          <w:shd w:val="clear" w:color="auto" w:fill="FFFFFF"/>
        </w:rPr>
        <w:t>　三、“三公”经费情况说明</w:t>
      </w:r>
    </w:p>
    <w:p>
      <w:pPr>
        <w:pStyle w:val="6"/>
        <w:widowControl w:val="0"/>
        <w:shd w:val="clear" w:color="auto" w:fill="FFFFFF"/>
        <w:snapToGrid w:val="0"/>
        <w:spacing w:before="0" w:beforeAutospacing="0" w:after="0" w:afterAutospacing="0" w:line="600" w:lineRule="atLeast"/>
        <w:ind w:firstLine="420"/>
        <w:rPr>
          <w:rStyle w:val="10"/>
          <w:rFonts w:ascii="方正楷体_GBK" w:eastAsia="方正楷体_GBK"/>
        </w:rPr>
      </w:pPr>
      <w:r>
        <w:rPr>
          <w:rStyle w:val="10"/>
          <w:rFonts w:ascii="方正楷体_GBK" w:eastAsia="方正楷体_GBK"/>
        </w:rPr>
        <w:t xml:space="preserve"> </w:t>
      </w:r>
      <w:r>
        <w:rPr>
          <w:rStyle w:val="10"/>
          <w:rFonts w:ascii="方正楷体_GBK" w:hAnsi="Times New Roman" w:eastAsia="方正楷体_GBK"/>
          <w:b w:val="0"/>
          <w:sz w:val="32"/>
          <w:szCs w:val="32"/>
          <w:shd w:val="clear" w:color="auto" w:fill="FFFFFF"/>
        </w:rPr>
        <w:t>（一）“三公”经费支出总体情况说明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54.22</w:t>
      </w:r>
      <w:r>
        <w:rPr>
          <w:rFonts w:hint="default" w:ascii="Times New Roman" w:hAnsi="Times New Roman" w:eastAsia="方正仿宋_GBK"/>
          <w:sz w:val="32"/>
          <w:szCs w:val="32"/>
          <w:shd w:val="clear" w:color="auto" w:fill="FFFFFF"/>
        </w:rPr>
        <w:t>万元，较年初预算数增加44.22万元，增长442.20%，主要原</w:t>
      </w:r>
      <w:r>
        <w:rPr>
          <w:rFonts w:hint="default" w:ascii="Times New Roman" w:hAnsi="Times New Roman" w:eastAsia="方正仿宋_GBK"/>
          <w:sz w:val="32"/>
          <w:szCs w:val="32"/>
        </w:rPr>
        <w:t>因是受疫情放开，本年度执纪审查力度增大，留置案件数增加，案件外查使用公务用车费用大幅增加。较上年支出数增加</w:t>
      </w:r>
      <w:r>
        <w:rPr>
          <w:rFonts w:hint="default" w:ascii="Times New Roman" w:hAnsi="Times New Roman" w:eastAsia="方正仿宋_GBK"/>
          <w:sz w:val="32"/>
          <w:szCs w:val="32"/>
          <w:shd w:val="clear" w:color="auto" w:fill="FFFFFF"/>
        </w:rPr>
        <w:t>9.25</w:t>
      </w:r>
      <w:r>
        <w:rPr>
          <w:rFonts w:hint="default" w:ascii="Times New Roman" w:hAnsi="Times New Roman" w:eastAsia="方正仿宋_GBK"/>
          <w:sz w:val="32"/>
          <w:szCs w:val="32"/>
        </w:rPr>
        <w:t>万元，增长</w:t>
      </w:r>
      <w:r>
        <w:rPr>
          <w:rFonts w:hint="default" w:ascii="Times New Roman" w:hAnsi="Times New Roman" w:eastAsia="方正仿宋_GBK"/>
          <w:sz w:val="32"/>
          <w:szCs w:val="32"/>
          <w:shd w:val="clear" w:color="auto" w:fill="FFFFFF"/>
        </w:rPr>
        <w:t>20.57%，</w:t>
      </w:r>
      <w:r>
        <w:rPr>
          <w:rFonts w:hint="default" w:ascii="Times New Roman" w:hAnsi="Times New Roman" w:eastAsia="方正仿宋_GBK"/>
          <w:sz w:val="32"/>
          <w:szCs w:val="32"/>
        </w:rPr>
        <w:t>主要原因是受疫情放开，本年度执纪审查力度增大，留置案件数增加，案件外查使用公务用车费用大幅增加。</w:t>
      </w:r>
    </w:p>
    <w:p>
      <w:pPr>
        <w:pStyle w:val="6"/>
        <w:widowControl w:val="0"/>
        <w:shd w:val="clear" w:color="auto" w:fill="FFFFFF"/>
        <w:snapToGrid w:val="0"/>
        <w:spacing w:before="0" w:beforeAutospacing="0" w:after="0" w:afterAutospacing="0" w:line="600" w:lineRule="atLeast"/>
        <w:ind w:firstLine="42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（二）“三公”经费分项支出情况</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2023年度本部门因公出国（境）费用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万元，主要是本单位2023年度无因公出国（境）事项。费用支出较年初预算数无增减，主要原因是本单位2023年度无因公出国（境）事项。较上年支出数无增减，主要原因是本单位2023年度无因公出国（境）事项。</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万元，主要本单位2023年度无公务车购置开支。费用支出较年初预算数无增减，主要原因是本单位2023年度无公务车购置开支。较上年支出数无增减，主要原因是本单位2023年度无公务车购置开支。</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48.04</w:t>
      </w:r>
      <w:r>
        <w:rPr>
          <w:rFonts w:hint="default" w:ascii="Times New Roman" w:hAnsi="Times New Roman" w:eastAsia="方正仿宋_GBK"/>
          <w:sz w:val="32"/>
          <w:szCs w:val="32"/>
          <w:shd w:val="clear" w:color="auto" w:fill="FFFFFF"/>
        </w:rPr>
        <w:t>万元，主要</w:t>
      </w:r>
      <w:bookmarkStart w:id="0" w:name="_GoBack"/>
      <w:bookmarkEnd w:id="0"/>
      <w:r>
        <w:rPr>
          <w:rFonts w:hint="default" w:ascii="Times New Roman" w:hAnsi="Times New Roman" w:eastAsia="方正仿宋_GBK"/>
          <w:sz w:val="32"/>
          <w:szCs w:val="32"/>
          <w:shd w:val="clear" w:color="auto" w:fill="FFFFFF"/>
        </w:rPr>
        <w:t>用于机要文件交换、市内因公出行、审查调查、执纪监督检查等工作所需车辆的燃料费、维修费、过桥过路费、保险费等</w:t>
      </w:r>
      <w:r>
        <w:rPr>
          <w:rFonts w:hint="default" w:ascii="Times New Roman" w:hAnsi="Times New Roman" w:eastAsia="方正仿宋_GBK"/>
          <w:color w:val="FF0000"/>
          <w:sz w:val="32"/>
          <w:szCs w:val="32"/>
          <w:shd w:val="clear" w:color="auto" w:fill="FFFFFF"/>
        </w:rPr>
        <w:t>。</w:t>
      </w:r>
      <w:r>
        <w:rPr>
          <w:rFonts w:hint="default" w:ascii="Times New Roman" w:hAnsi="Times New Roman" w:eastAsia="方正仿宋_GBK"/>
          <w:sz w:val="32"/>
          <w:szCs w:val="32"/>
          <w:shd w:val="clear" w:color="auto" w:fill="FFFFFF"/>
        </w:rPr>
        <w:t>费用支出较年初预算数增加48.04万元，增长100.00%，主要原因是受疫情放开，本年度执纪审查力度增大，留置案件数增加，案件外查使用公务用车频次增加，导致公务用车维修维护费、油费、过路费等大幅增加。较上年支出数增加9.86万元，增长25.83%，主要原因是受疫情放开，本年度执纪审查力度增大，留置案件数增加，案件外查使用公务用车频次增加，导致公务用车维修维护费、油费、过路费等大幅增加。</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6.18</w:t>
      </w:r>
      <w:r>
        <w:rPr>
          <w:rFonts w:hint="default" w:ascii="Times New Roman" w:hAnsi="Times New Roman" w:eastAsia="方正仿宋_GBK"/>
          <w:sz w:val="32"/>
          <w:szCs w:val="32"/>
          <w:shd w:val="clear" w:color="auto" w:fill="FFFFFF"/>
        </w:rPr>
        <w:t>万元，主要用于接待市内其他纪检监察单位到我单位学习调研执纪监督工作和到我县办理审查调查相关案件，接受相关部门检查指导工作发生的接待支出。费用支出较年初预算数减少3.82万元，下降38.20%，主要原因是严格按照公务接待文件规定，减少不必要接待开支和降低接待标准。较上年支出数减少0.62万元，下降9.12%，主要原因是严格按照公务接待文件规定，减少不必要接待开支和降低接待标准。</w:t>
      </w:r>
    </w:p>
    <w:p>
      <w:pPr>
        <w:pStyle w:val="6"/>
        <w:widowControl w:val="0"/>
        <w:shd w:val="clear" w:color="auto" w:fill="FFFFFF"/>
        <w:snapToGrid w:val="0"/>
        <w:spacing w:before="0" w:beforeAutospacing="0" w:after="0" w:afterAutospacing="0" w:line="600" w:lineRule="atLeast"/>
        <w:ind w:firstLine="42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　（三）“三公”经费实物量情况</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71</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784</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78.80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4.80</w:t>
      </w:r>
      <w:r>
        <w:rPr>
          <w:rFonts w:hint="default" w:ascii="Times New Roman" w:hAnsi="Times New Roman" w:eastAsia="方正仿宋_GBK"/>
          <w:sz w:val="32"/>
          <w:szCs w:val="32"/>
          <w:shd w:val="clear" w:color="auto" w:fill="FFFFFF"/>
        </w:rPr>
        <w:t>万元。</w:t>
      </w:r>
    </w:p>
    <w:p>
      <w:pPr>
        <w:pStyle w:val="6"/>
        <w:widowControl w:val="0"/>
        <w:shd w:val="clear" w:color="auto" w:fill="FFFFFF"/>
        <w:snapToGrid w:val="0"/>
        <w:spacing w:before="0" w:beforeAutospacing="0" w:after="0" w:afterAutospacing="0" w:line="600" w:lineRule="atLeast"/>
        <w:rPr>
          <w:rStyle w:val="10"/>
          <w:rFonts w:ascii="方正黑体_GBK" w:hAnsi="Times New Roman" w:eastAsia="方正黑体_GBK"/>
          <w:b w:val="0"/>
          <w:sz w:val="32"/>
          <w:szCs w:val="32"/>
          <w:shd w:val="clear" w:color="auto" w:fill="FFFFFF"/>
        </w:rPr>
      </w:pPr>
      <w:r>
        <w:rPr>
          <w:rStyle w:val="10"/>
          <w:rFonts w:hint="default" w:ascii="Times New Roman" w:hAnsi="Times New Roman" w:eastAsia="黑体"/>
          <w:sz w:val="32"/>
          <w:szCs w:val="32"/>
          <w:shd w:val="clear" w:color="auto" w:fill="FFFFFF"/>
        </w:rPr>
        <w:t>　</w:t>
      </w:r>
      <w:r>
        <w:rPr>
          <w:rStyle w:val="10"/>
          <w:rFonts w:ascii="方正黑体_GBK" w:hAnsi="Times New Roman" w:eastAsia="方正黑体_GBK"/>
          <w:b w:val="0"/>
          <w:sz w:val="32"/>
          <w:szCs w:val="32"/>
          <w:shd w:val="clear" w:color="auto" w:fill="FFFFFF"/>
        </w:rPr>
        <w:t>　四、其他需要说明的事项</w:t>
      </w:r>
    </w:p>
    <w:p>
      <w:pPr>
        <w:pStyle w:val="6"/>
        <w:widowControl w:val="0"/>
        <w:shd w:val="clear" w:color="auto" w:fill="FFFFFF"/>
        <w:snapToGrid w:val="0"/>
        <w:spacing w:before="0" w:beforeAutospacing="0" w:after="0" w:afterAutospacing="0" w:line="600" w:lineRule="atLeast"/>
        <w:ind w:firstLine="420"/>
        <w:rPr>
          <w:rStyle w:val="10"/>
          <w:rFonts w:ascii="方正楷体_GBK" w:eastAsia="方正楷体_GBK"/>
        </w:rPr>
      </w:pPr>
      <w:r>
        <w:rPr>
          <w:rStyle w:val="10"/>
          <w:rFonts w:ascii="方正楷体_GBK" w:eastAsia="方正楷体_GBK"/>
        </w:rPr>
        <w:t xml:space="preserve">  </w:t>
      </w:r>
      <w:r>
        <w:rPr>
          <w:rStyle w:val="10"/>
          <w:rFonts w:ascii="方正楷体_GBK" w:hAnsi="Times New Roman" w:eastAsia="方正楷体_GBK"/>
          <w:b w:val="0"/>
          <w:sz w:val="32"/>
          <w:szCs w:val="32"/>
          <w:shd w:val="clear" w:color="auto" w:fill="FFFFFF"/>
        </w:rPr>
        <w:t>（一）财政拨款会议费和培训费情况说明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1.70</w:t>
      </w:r>
      <w:r>
        <w:rPr>
          <w:rFonts w:hint="default" w:ascii="Times New Roman" w:hAnsi="Times New Roman" w:eastAsia="方正仿宋_GBK"/>
          <w:sz w:val="32"/>
          <w:szCs w:val="32"/>
          <w:shd w:val="clear" w:color="auto" w:fill="FFFFFF"/>
        </w:rPr>
        <w:t>万元，较上年决算数增加1.70万元，增长100.00%，主要原因是疫情放开，纪检监察工作线下会议增加。本年度培训费支出</w:t>
      </w:r>
      <w:r>
        <w:rPr>
          <w:rFonts w:hint="default" w:ascii="Times New Roman" w:hAnsi="Times New Roman" w:eastAsia="方正仿宋_GBK"/>
          <w:sz w:val="32"/>
          <w:szCs w:val="32"/>
        </w:rPr>
        <w:t>46.71</w:t>
      </w:r>
      <w:r>
        <w:rPr>
          <w:rFonts w:hint="default" w:ascii="Times New Roman" w:hAnsi="Times New Roman" w:eastAsia="方正仿宋_GBK"/>
          <w:sz w:val="32"/>
          <w:szCs w:val="32"/>
          <w:shd w:val="clear" w:color="auto" w:fill="FFFFFF"/>
        </w:rPr>
        <w:t>万元，较上年决算数增加40.82万元，增长693.04%，主要原因是疫情放开，纪检监察干部教育培训增加。</w:t>
      </w:r>
    </w:p>
    <w:p>
      <w:pPr>
        <w:pStyle w:val="6"/>
        <w:widowControl w:val="0"/>
        <w:shd w:val="clear" w:color="auto" w:fill="FFFFFF"/>
        <w:snapToGrid w:val="0"/>
        <w:spacing w:before="0" w:beforeAutospacing="0" w:after="0" w:afterAutospacing="0" w:line="600" w:lineRule="atLeast"/>
        <w:ind w:firstLine="640" w:firstLineChars="20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（二）机关运行经费情况说明</w:t>
      </w:r>
    </w:p>
    <w:p>
      <w:pPr>
        <w:pStyle w:val="11"/>
        <w:widowControl w:val="0"/>
        <w:autoSpaceDE w:val="0"/>
        <w:snapToGrid w:val="0"/>
        <w:spacing w:line="600" w:lineRule="atLeas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2023年度本部门机关运行经费支出</w:t>
      </w:r>
      <w:r>
        <w:rPr>
          <w:rFonts w:ascii="Times New Roman" w:hAnsi="Times New Roman" w:eastAsia="方正仿宋_GBK"/>
          <w:sz w:val="32"/>
          <w:szCs w:val="32"/>
        </w:rPr>
        <w:t>779.82</w:t>
      </w:r>
      <w:r>
        <w:rPr>
          <w:rFonts w:ascii="Times New Roman" w:hAnsi="Times New Roman" w:eastAsia="方正仿宋_GBK"/>
          <w:sz w:val="32"/>
          <w:szCs w:val="32"/>
          <w:shd w:val="clear" w:color="auto" w:fill="FFFFFF"/>
        </w:rPr>
        <w:t>万元，机关运行经费主要用于开支办公费、印刷费、差旅费、邮电费、工会经费、公车运行维护费。机关运行经费较上年支出数增加31.52万元，增长4.21%，主要原因是人员增加导致公用经费增加；纪检监察干部教育培训基地建设、县作风建设办办公设备购置等费用支出加大。</w:t>
      </w:r>
    </w:p>
    <w:p>
      <w:pPr>
        <w:pStyle w:val="6"/>
        <w:widowControl w:val="0"/>
        <w:shd w:val="clear" w:color="auto" w:fill="FFFFFF"/>
        <w:snapToGrid w:val="0"/>
        <w:spacing w:before="0" w:beforeAutospacing="0" w:after="0" w:afterAutospacing="0" w:line="600" w:lineRule="atLeast"/>
        <w:ind w:firstLine="579" w:firstLineChars="181"/>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（三）国有资产占用情况说明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6"/>
        <w:widowControl w:val="0"/>
        <w:shd w:val="clear" w:color="auto" w:fill="FFFFFF"/>
        <w:snapToGrid w:val="0"/>
        <w:spacing w:before="0" w:beforeAutospacing="0" w:after="0" w:afterAutospacing="0" w:line="600" w:lineRule="atLeast"/>
        <w:ind w:firstLine="42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（四）政府采购支出情况说明</w:t>
      </w:r>
    </w:p>
    <w:p>
      <w:pPr>
        <w:pStyle w:val="6"/>
        <w:widowControl w:val="0"/>
        <w:shd w:val="clear" w:color="auto" w:fill="FFFFFF"/>
        <w:snapToGrid w:val="0"/>
        <w:spacing w:before="0" w:beforeAutospacing="0" w:after="0" w:afterAutospacing="0" w:line="600" w:lineRule="atLeast"/>
        <w:ind w:firstLine="420"/>
        <w:rPr>
          <w:rFonts w:hint="default" w:ascii="方正楷体_GBK" w:hAnsi="Times New Roman" w:eastAsia="方正楷体_GBK"/>
          <w:sz w:val="32"/>
          <w:szCs w:val="32"/>
          <w:shd w:val="clear" w:color="auto" w:fill="FFFFFF"/>
        </w:rPr>
      </w:pPr>
      <w:r>
        <w:rPr>
          <w:rFonts w:hint="default" w:ascii="Times New Roman" w:hAnsi="Times New Roman" w:eastAsia="方正仿宋_GBK"/>
          <w:sz w:val="32"/>
          <w:szCs w:val="32"/>
          <w:shd w:val="clear" w:color="auto" w:fill="FFFFFF"/>
        </w:rPr>
        <w:t xml:space="preserve"> 2023年度本部门政府采购支出总额</w:t>
      </w:r>
      <w:r>
        <w:rPr>
          <w:rFonts w:hint="default" w:ascii="Times New Roman" w:hAnsi="Times New Roman" w:eastAsia="方正仿宋_GBK"/>
          <w:sz w:val="32"/>
          <w:szCs w:val="32"/>
        </w:rPr>
        <w:t>199.59</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150.83</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28.81</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19.95</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199.59万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114.03</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57.13</w:t>
      </w:r>
      <w:r>
        <w:rPr>
          <w:rFonts w:hint="default" w:ascii="Times New Roman" w:hAnsi="Times New Roman" w:eastAsia="方正仿宋_GBK"/>
          <w:sz w:val="32"/>
          <w:szCs w:val="32"/>
          <w:shd w:val="clear" w:color="auto" w:fill="FFFFFF"/>
        </w:rPr>
        <w:t xml:space="preserve"> %。主要用于采购单位日常办公所需电脑、打印机等</w:t>
      </w:r>
      <w:r>
        <w:rPr>
          <w:rFonts w:hint="default" w:ascii="Times New Roman" w:hAnsi="Times New Roman" w:eastAsia="方正仿宋_GBK"/>
          <w:color w:val="FF0000"/>
          <w:sz w:val="32"/>
          <w:szCs w:val="32"/>
          <w:shd w:val="clear" w:color="auto" w:fill="FFFFFF"/>
        </w:rPr>
        <w:t>。</w:t>
      </w:r>
    </w:p>
    <w:p>
      <w:pPr>
        <w:pStyle w:val="6"/>
        <w:widowControl w:val="0"/>
        <w:shd w:val="clear" w:color="auto" w:fill="FFFFFF"/>
        <w:snapToGrid w:val="0"/>
        <w:spacing w:before="0" w:beforeAutospacing="0" w:after="0" w:afterAutospacing="0" w:line="600" w:lineRule="atLeast"/>
        <w:ind w:firstLine="627" w:firstLineChars="196"/>
        <w:rPr>
          <w:rStyle w:val="10"/>
          <w:rFonts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（五）预算绩效管理情况说明</w:t>
      </w:r>
    </w:p>
    <w:p>
      <w:pPr>
        <w:pStyle w:val="6"/>
        <w:widowControl w:val="0"/>
        <w:shd w:val="clear" w:color="auto" w:fill="FFFFFF"/>
        <w:snapToGrid w:val="0"/>
        <w:spacing w:before="0" w:beforeAutospacing="0" w:after="0" w:afterAutospacing="0" w:line="600" w:lineRule="atLeast"/>
        <w:ind w:firstLine="579" w:firstLineChars="181"/>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（一）单位自评情况</w:t>
      </w:r>
    </w:p>
    <w:p>
      <w:pPr>
        <w:pStyle w:val="12"/>
        <w:widowControl w:val="0"/>
        <w:autoSpaceDE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lang w:bidi="ar"/>
        </w:rPr>
        <w:t>根据预算绩效管理要求，我单位对7个二级项目开展了绩效自评，涉及财政拨款项目支出资金</w:t>
      </w:r>
      <w:r>
        <w:rPr>
          <w:rFonts w:ascii="Times New Roman" w:hAnsi="Times New Roman" w:eastAsia="方正仿宋_GBK"/>
          <w:sz w:val="32"/>
          <w:szCs w:val="32"/>
        </w:rPr>
        <w:t>576.05万元。</w:t>
      </w:r>
    </w:p>
    <w:p>
      <w:pPr>
        <w:pStyle w:val="12"/>
        <w:autoSpaceDE w:val="0"/>
        <w:spacing w:before="0" w:beforeAutospacing="0"/>
        <w:rPr>
          <w:rFonts w:eastAsia="方正仿宋_GBK"/>
          <w:sz w:val="32"/>
          <w:szCs w:val="32"/>
        </w:rPr>
      </w:pPr>
      <w:r>
        <w:rPr>
          <w:rFonts w:hint="eastAsia" w:eastAsia="方正仿宋_GBK"/>
          <w:sz w:val="32"/>
          <w:szCs w:val="32"/>
        </w:rPr>
        <w:drawing>
          <wp:inline distT="0" distB="0" distL="114300" distR="114300">
            <wp:extent cx="5876925" cy="3120390"/>
            <wp:effectExtent l="0" t="0" r="0" b="381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2"/>
                    <a:stretch>
                      <a:fillRect/>
                    </a:stretch>
                  </pic:blipFill>
                  <pic:spPr>
                    <a:xfrm>
                      <a:off x="0" y="0"/>
                      <a:ext cx="5880297" cy="3122221"/>
                    </a:xfrm>
                    <a:prstGeom prst="rect">
                      <a:avLst/>
                    </a:prstGeom>
                  </pic:spPr>
                </pic:pic>
              </a:graphicData>
            </a:graphic>
          </wp:inline>
        </w:drawing>
      </w:r>
    </w:p>
    <w:p>
      <w:pPr>
        <w:pStyle w:val="12"/>
        <w:autoSpaceDE w:val="0"/>
        <w:spacing w:before="0" w:beforeAutospacing="0"/>
        <w:rPr>
          <w:rFonts w:eastAsia="方正仿宋_GBK"/>
          <w:sz w:val="32"/>
          <w:szCs w:val="32"/>
        </w:rPr>
      </w:pPr>
      <w:r>
        <w:rPr>
          <w:rFonts w:hint="eastAsia" w:eastAsia="方正仿宋_GBK"/>
          <w:sz w:val="32"/>
          <w:szCs w:val="32"/>
        </w:rPr>
        <w:drawing>
          <wp:inline distT="0" distB="0" distL="114300" distR="114300">
            <wp:extent cx="5791200" cy="3397250"/>
            <wp:effectExtent l="0" t="0" r="0" b="0"/>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13"/>
                    <a:stretch>
                      <a:fillRect/>
                    </a:stretch>
                  </pic:blipFill>
                  <pic:spPr>
                    <a:xfrm>
                      <a:off x="0" y="0"/>
                      <a:ext cx="5794607" cy="3399618"/>
                    </a:xfrm>
                    <a:prstGeom prst="rect">
                      <a:avLst/>
                    </a:prstGeom>
                  </pic:spPr>
                </pic:pic>
              </a:graphicData>
            </a:graphic>
          </wp:inline>
        </w:drawing>
      </w:r>
    </w:p>
    <w:p>
      <w:pPr>
        <w:pStyle w:val="12"/>
        <w:autoSpaceDE w:val="0"/>
        <w:spacing w:before="0" w:beforeAutospacing="0"/>
        <w:rPr>
          <w:rFonts w:eastAsia="方正仿宋_GBK"/>
          <w:sz w:val="32"/>
          <w:szCs w:val="32"/>
        </w:rPr>
      </w:pPr>
      <w:r>
        <w:rPr>
          <w:rFonts w:hint="eastAsia" w:eastAsia="方正仿宋_GBK"/>
          <w:sz w:val="32"/>
          <w:szCs w:val="32"/>
        </w:rPr>
        <w:drawing>
          <wp:inline distT="0" distB="0" distL="114300" distR="114300">
            <wp:extent cx="5810250" cy="3059430"/>
            <wp:effectExtent l="0" t="0" r="0" b="7620"/>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14"/>
                    <a:stretch>
                      <a:fillRect/>
                    </a:stretch>
                  </pic:blipFill>
                  <pic:spPr>
                    <a:xfrm>
                      <a:off x="0" y="0"/>
                      <a:ext cx="5811602" cy="3060268"/>
                    </a:xfrm>
                    <a:prstGeom prst="rect">
                      <a:avLst/>
                    </a:prstGeom>
                  </pic:spPr>
                </pic:pic>
              </a:graphicData>
            </a:graphic>
          </wp:inline>
        </w:drawing>
      </w:r>
    </w:p>
    <w:p>
      <w:pPr>
        <w:pStyle w:val="12"/>
        <w:autoSpaceDE w:val="0"/>
        <w:spacing w:before="0" w:beforeAutospacing="0"/>
        <w:rPr>
          <w:rFonts w:eastAsia="方正仿宋_GBK"/>
          <w:sz w:val="32"/>
          <w:szCs w:val="32"/>
        </w:rPr>
      </w:pPr>
      <w:r>
        <w:rPr>
          <w:rFonts w:hint="eastAsia" w:eastAsia="方正仿宋_GBK"/>
          <w:sz w:val="32"/>
          <w:szCs w:val="32"/>
        </w:rPr>
        <w:drawing>
          <wp:inline distT="0" distB="0" distL="114300" distR="114300">
            <wp:extent cx="5753100" cy="2722880"/>
            <wp:effectExtent l="0" t="0" r="0" b="1270"/>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15"/>
                    <a:stretch>
                      <a:fillRect/>
                    </a:stretch>
                  </pic:blipFill>
                  <pic:spPr>
                    <a:xfrm>
                      <a:off x="0" y="0"/>
                      <a:ext cx="5760150" cy="2726560"/>
                    </a:xfrm>
                    <a:prstGeom prst="rect">
                      <a:avLst/>
                    </a:prstGeom>
                  </pic:spPr>
                </pic:pic>
              </a:graphicData>
            </a:graphic>
          </wp:inline>
        </w:drawing>
      </w:r>
    </w:p>
    <w:p>
      <w:pPr>
        <w:pStyle w:val="12"/>
        <w:autoSpaceDE w:val="0"/>
        <w:spacing w:before="0" w:beforeAutospacing="0"/>
        <w:rPr>
          <w:rFonts w:eastAsia="方正仿宋_GBK"/>
          <w:sz w:val="32"/>
          <w:szCs w:val="32"/>
        </w:rPr>
      </w:pPr>
      <w:r>
        <w:rPr>
          <w:rFonts w:hint="eastAsia" w:eastAsia="方正仿宋_GBK"/>
          <w:sz w:val="32"/>
          <w:szCs w:val="32"/>
        </w:rPr>
        <w:drawing>
          <wp:inline distT="0" distB="0" distL="114300" distR="114300">
            <wp:extent cx="5810250" cy="2731770"/>
            <wp:effectExtent l="0" t="0" r="0" b="0"/>
            <wp:docPr id="8" name="图片 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5"/>
                    <pic:cNvPicPr>
                      <a:picLocks noChangeAspect="1"/>
                    </pic:cNvPicPr>
                  </pic:nvPicPr>
                  <pic:blipFill>
                    <a:blip r:embed="rId16"/>
                    <a:stretch>
                      <a:fillRect/>
                    </a:stretch>
                  </pic:blipFill>
                  <pic:spPr>
                    <a:xfrm>
                      <a:off x="0" y="0"/>
                      <a:ext cx="5814538" cy="2734197"/>
                    </a:xfrm>
                    <a:prstGeom prst="rect">
                      <a:avLst/>
                    </a:prstGeom>
                  </pic:spPr>
                </pic:pic>
              </a:graphicData>
            </a:graphic>
          </wp:inline>
        </w:drawing>
      </w:r>
    </w:p>
    <w:p>
      <w:pPr>
        <w:pStyle w:val="12"/>
        <w:autoSpaceDE w:val="0"/>
        <w:spacing w:before="0" w:beforeAutospacing="0"/>
        <w:rPr>
          <w:rFonts w:eastAsia="方正仿宋_GBK"/>
          <w:sz w:val="32"/>
          <w:szCs w:val="32"/>
        </w:rPr>
      </w:pPr>
      <w:r>
        <w:rPr>
          <w:rFonts w:hint="eastAsia" w:eastAsia="方正仿宋_GBK"/>
          <w:sz w:val="32"/>
          <w:szCs w:val="32"/>
        </w:rPr>
        <w:drawing>
          <wp:inline distT="0" distB="0" distL="114300" distR="114300">
            <wp:extent cx="5791200" cy="2833370"/>
            <wp:effectExtent l="0" t="0" r="0" b="5080"/>
            <wp:docPr id="9" name="图片 9"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6"/>
                    <pic:cNvPicPr>
                      <a:picLocks noChangeAspect="1"/>
                    </pic:cNvPicPr>
                  </pic:nvPicPr>
                  <pic:blipFill>
                    <a:blip r:embed="rId17"/>
                    <a:stretch>
                      <a:fillRect/>
                    </a:stretch>
                  </pic:blipFill>
                  <pic:spPr>
                    <a:xfrm>
                      <a:off x="0" y="0"/>
                      <a:ext cx="5792564" cy="2834204"/>
                    </a:xfrm>
                    <a:prstGeom prst="rect">
                      <a:avLst/>
                    </a:prstGeom>
                  </pic:spPr>
                </pic:pic>
              </a:graphicData>
            </a:graphic>
          </wp:inline>
        </w:drawing>
      </w:r>
    </w:p>
    <w:p>
      <w:pPr>
        <w:pStyle w:val="12"/>
        <w:autoSpaceDE w:val="0"/>
        <w:spacing w:before="0" w:beforeAutospacing="0"/>
        <w:rPr>
          <w:rFonts w:ascii="方正仿宋_GBK" w:hAnsi="方正仿宋_GBK" w:eastAsia="方正仿宋_GBK" w:cs="方正仿宋_GBK"/>
          <w:sz w:val="32"/>
          <w:szCs w:val="32"/>
          <w:highlight w:val="yellow"/>
          <w:shd w:val="clear" w:color="auto" w:fill="FFFFFF"/>
          <w:lang w:bidi="ar"/>
        </w:rPr>
      </w:pPr>
      <w:r>
        <w:rPr>
          <w:rFonts w:hint="eastAsia" w:eastAsia="方正仿宋_GBK"/>
          <w:sz w:val="32"/>
          <w:szCs w:val="32"/>
        </w:rPr>
        <w:drawing>
          <wp:inline distT="0" distB="0" distL="114300" distR="114300">
            <wp:extent cx="5829300" cy="2760980"/>
            <wp:effectExtent l="0" t="0" r="0" b="1270"/>
            <wp:docPr id="10" name="图片 10"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7"/>
                    <pic:cNvPicPr>
                      <a:picLocks noChangeAspect="1"/>
                    </pic:cNvPicPr>
                  </pic:nvPicPr>
                  <pic:blipFill>
                    <a:blip r:embed="rId18"/>
                    <a:stretch>
                      <a:fillRect/>
                    </a:stretch>
                  </pic:blipFill>
                  <pic:spPr>
                    <a:xfrm>
                      <a:off x="0" y="0"/>
                      <a:ext cx="5833320" cy="2763222"/>
                    </a:xfrm>
                    <a:prstGeom prst="rect">
                      <a:avLst/>
                    </a:prstGeom>
                  </pic:spPr>
                </pic:pic>
              </a:graphicData>
            </a:graphic>
          </wp:inline>
        </w:drawing>
      </w:r>
    </w:p>
    <w:p>
      <w:pPr>
        <w:pStyle w:val="6"/>
        <w:widowControl w:val="0"/>
        <w:shd w:val="clear" w:color="auto" w:fill="FFFFFF"/>
        <w:snapToGrid w:val="0"/>
        <w:spacing w:before="0" w:beforeAutospacing="0" w:after="0" w:afterAutospacing="0" w:line="600" w:lineRule="atLeast"/>
        <w:ind w:firstLine="42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（二）单位绩效评价情况</w:t>
      </w:r>
    </w:p>
    <w:p>
      <w:pPr>
        <w:pStyle w:val="14"/>
        <w:widowControl w:val="0"/>
        <w:autoSpaceDE w:val="0"/>
        <w:snapToGrid w:val="0"/>
        <w:spacing w:line="600" w:lineRule="atLeast"/>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我单位未组织开展绩效评价。</w:t>
      </w:r>
    </w:p>
    <w:p>
      <w:pPr>
        <w:pStyle w:val="6"/>
        <w:widowControl w:val="0"/>
        <w:shd w:val="clear" w:color="auto" w:fill="FFFFFF"/>
        <w:snapToGrid w:val="0"/>
        <w:spacing w:before="0" w:beforeAutospacing="0" w:after="0" w:afterAutospacing="0" w:line="600" w:lineRule="atLeast"/>
        <w:ind w:firstLine="420"/>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（三）财政绩效评价情况</w:t>
      </w:r>
    </w:p>
    <w:p>
      <w:pPr>
        <w:pStyle w:val="11"/>
        <w:widowControl w:val="0"/>
        <w:autoSpaceDE w:val="0"/>
        <w:snapToGrid w:val="0"/>
        <w:spacing w:line="600" w:lineRule="atLeast"/>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县财政局未委托第三方对我单位开展绩效评价。</w:t>
      </w:r>
    </w:p>
    <w:p>
      <w:pPr>
        <w:pStyle w:val="6"/>
        <w:widowControl w:val="0"/>
        <w:shd w:val="clear" w:color="auto" w:fill="FFFFFF"/>
        <w:snapToGrid w:val="0"/>
        <w:spacing w:before="0" w:beforeAutospacing="0" w:after="0" w:afterAutospacing="0" w:line="600" w:lineRule="atLeast"/>
        <w:rPr>
          <w:rStyle w:val="10"/>
          <w:rFonts w:ascii="方正黑体_GBK" w:hAnsi="Times New Roman" w:eastAsia="方正黑体_GBK"/>
          <w:b w:val="0"/>
          <w:sz w:val="32"/>
          <w:szCs w:val="32"/>
          <w:shd w:val="clear" w:color="auto" w:fill="FFFFFF"/>
        </w:rPr>
      </w:pPr>
      <w:r>
        <w:rPr>
          <w:rStyle w:val="10"/>
          <w:rFonts w:hint="default" w:ascii="Times New Roman" w:hAnsi="Times New Roman" w:eastAsia="方正仿宋_GBK"/>
          <w:sz w:val="32"/>
          <w:szCs w:val="32"/>
          <w:shd w:val="clear" w:color="auto" w:fill="FFFFFF"/>
        </w:rPr>
        <w:t xml:space="preserve">  </w:t>
      </w:r>
      <w:r>
        <w:rPr>
          <w:rStyle w:val="10"/>
          <w:rFonts w:ascii="Times New Roman" w:hAnsi="Times New Roman" w:eastAsia="方正仿宋_GBK"/>
          <w:sz w:val="32"/>
          <w:szCs w:val="32"/>
          <w:shd w:val="clear" w:color="auto" w:fill="FFFFFF"/>
        </w:rPr>
        <w:t xml:space="preserve">  </w:t>
      </w:r>
      <w:r>
        <w:rPr>
          <w:rStyle w:val="10"/>
          <w:rFonts w:ascii="方正黑体_GBK" w:hAnsi="Times New Roman" w:eastAsia="方正黑体_GBK"/>
          <w:b w:val="0"/>
          <w:sz w:val="32"/>
          <w:szCs w:val="32"/>
          <w:shd w:val="clear" w:color="auto" w:fill="FFFFFF"/>
        </w:rPr>
        <w:t>六、专业名词解释</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以下为常见专业名词解释目录，仅供参考，</w:t>
      </w:r>
    </w:p>
    <w:p>
      <w:pPr>
        <w:pStyle w:val="6"/>
        <w:widowControl w:val="0"/>
        <w:shd w:val="clear" w:color="auto" w:fill="FFFFFF"/>
        <w:snapToGrid w:val="0"/>
        <w:spacing w:before="0" w:beforeAutospacing="0" w:after="0" w:afterAutospacing="0" w:line="600" w:lineRule="atLeast"/>
        <w:ind w:firstLine="420"/>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10"/>
          <w:rFonts w:hint="default" w:ascii="方正楷体_GBK" w:hAnsi="Times New Roman" w:eastAsia="方正楷体_GBK"/>
          <w:b w:val="0"/>
          <w:sz w:val="32"/>
          <w:szCs w:val="32"/>
          <w:shd w:val="clear" w:color="auto" w:fill="FFFFFF"/>
        </w:rPr>
        <w:t> （二）事业收入</w:t>
      </w:r>
      <w:r>
        <w:rPr>
          <w:rStyle w:val="10"/>
          <w:rFonts w:ascii="方正楷体_GBK" w:eastAsia="方正楷体_GBK"/>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方正楷体_GBK" w:hAnsi="Times New Roman" w:eastAsia="方正楷体_GBK"/>
          <w:b w:val="0"/>
          <w:sz w:val="32"/>
          <w:szCs w:val="32"/>
          <w:shd w:val="clear" w:color="auto" w:fill="FFFFFF"/>
        </w:rPr>
        <w:t>（三）经营收入</w:t>
      </w:r>
      <w:r>
        <w:rPr>
          <w:rStyle w:val="10"/>
          <w:rFonts w:ascii="方正楷体_GBK" w:eastAsia="方正楷体_GBK"/>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10"/>
          <w:rFonts w:hint="default" w:ascii="方正楷体_GBK" w:hAnsi="Times New Roman" w:eastAsia="方正楷体_GBK"/>
          <w:b w:val="0"/>
          <w:sz w:val="32"/>
          <w:szCs w:val="32"/>
          <w:shd w:val="clear" w:color="auto" w:fill="FFFFFF"/>
        </w:rPr>
        <w:t> （四）其他收入</w:t>
      </w:r>
      <w:r>
        <w:rPr>
          <w:rStyle w:val="10"/>
          <w:rFonts w:ascii="方正楷体_GBK" w:eastAsia="方正楷体_GBK"/>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10"/>
          <w:rFonts w:hint="default" w:ascii="方正楷体_GBK" w:hAnsi="Times New Roman" w:eastAsia="方正楷体_GBK"/>
          <w:b w:val="0"/>
          <w:sz w:val="32"/>
          <w:szCs w:val="32"/>
          <w:shd w:val="clear" w:color="auto" w:fill="FFFFFF"/>
        </w:rPr>
        <w:t>（五）使用非财政拨款结余</w:t>
      </w:r>
      <w:r>
        <w:rPr>
          <w:rStyle w:val="10"/>
          <w:rFonts w:ascii="方正楷体_GBK" w:eastAsia="方正楷体_GBK"/>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方正楷体_GBK" w:hAnsi="Times New Roman" w:eastAsia="方正楷体_GBK"/>
          <w:b w:val="0"/>
          <w:sz w:val="32"/>
          <w:szCs w:val="32"/>
          <w:shd w:val="clear" w:color="auto" w:fill="FFFFFF"/>
        </w:rPr>
        <w:t>（六）年初结转和结余</w:t>
      </w:r>
      <w:r>
        <w:rPr>
          <w:rStyle w:val="10"/>
          <w:rFonts w:ascii="方正楷体_GBK" w:eastAsia="方正楷体_GBK"/>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10"/>
          <w:rFonts w:hint="default" w:ascii="方正楷体_GBK" w:hAnsi="Times New Roman" w:eastAsia="方正楷体_GBK"/>
          <w:b w:val="0"/>
          <w:sz w:val="32"/>
          <w:szCs w:val="32"/>
          <w:shd w:val="clear" w:color="auto" w:fill="FFFFFF"/>
        </w:rPr>
        <w:t> （七）结余分配</w:t>
      </w:r>
      <w:r>
        <w:rPr>
          <w:rStyle w:val="10"/>
          <w:rFonts w:ascii="方正楷体_GBK" w:eastAsia="方正楷体_GBK"/>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方正楷体_GBK" w:hAnsi="Times New Roman" w:eastAsia="方正楷体_GBK"/>
          <w:b w:val="0"/>
          <w:sz w:val="32"/>
          <w:szCs w:val="32"/>
          <w:shd w:val="clear" w:color="auto" w:fill="FFFFFF"/>
        </w:rPr>
        <w:t>（八）年末结转和结余</w:t>
      </w:r>
      <w:r>
        <w:rPr>
          <w:rStyle w:val="10"/>
          <w:rFonts w:ascii="方正楷体_GBK" w:eastAsia="方正楷体_GBK"/>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方正楷体_GBK" w:hAnsi="Times New Roman" w:eastAsia="方正楷体_GBK"/>
          <w:b w:val="0"/>
          <w:sz w:val="32"/>
          <w:szCs w:val="32"/>
          <w:shd w:val="clear" w:color="auto" w:fill="FFFFFF"/>
        </w:rPr>
        <w:t>（九）基本支出</w:t>
      </w:r>
      <w:r>
        <w:rPr>
          <w:rStyle w:val="10"/>
          <w:rFonts w:ascii="方正楷体_GBK" w:eastAsia="方正楷体_GBK"/>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10"/>
          <w:rFonts w:hint="default" w:ascii="方正楷体_GBK" w:hAnsi="Times New Roman" w:eastAsia="方正楷体_GBK"/>
          <w:b w:val="0"/>
          <w:sz w:val="32"/>
          <w:szCs w:val="32"/>
          <w:shd w:val="clear" w:color="auto" w:fill="FFFFFF"/>
        </w:rPr>
        <w:t> （十）项目支出</w:t>
      </w:r>
      <w:r>
        <w:rPr>
          <w:rStyle w:val="10"/>
          <w:rFonts w:ascii="方正楷体_GBK" w:eastAsia="方正楷体_GBK"/>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10"/>
          <w:rFonts w:hint="default" w:ascii="方正楷体_GBK" w:hAnsi="Times New Roman" w:eastAsia="方正楷体_GBK"/>
          <w:b w:val="0"/>
          <w:sz w:val="32"/>
          <w:szCs w:val="32"/>
          <w:shd w:val="clear" w:color="auto" w:fill="FFFFFF"/>
        </w:rPr>
        <w:t> （十一）经营支出</w:t>
      </w:r>
      <w:r>
        <w:rPr>
          <w:rStyle w:val="10"/>
          <w:rFonts w:ascii="方正楷体_GBK" w:eastAsia="方正楷体_GBK"/>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方正楷体_GBK" w:hAnsi="Times New Roman" w:eastAsia="方正楷体_GBK"/>
          <w:b w:val="0"/>
          <w:sz w:val="32"/>
          <w:szCs w:val="32"/>
          <w:shd w:val="clear" w:color="auto" w:fill="FFFFFF"/>
        </w:rPr>
        <w:t>（十二）“三公”经费</w:t>
      </w:r>
      <w:r>
        <w:rPr>
          <w:rStyle w:val="10"/>
          <w:rFonts w:ascii="方正楷体_GBK" w:eastAsia="方正楷体_GBK"/>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10"/>
          <w:rFonts w:hint="default" w:ascii="方正楷体_GBK" w:hAnsi="Times New Roman" w:eastAsia="方正楷体_GBK"/>
          <w:b w:val="0"/>
          <w:sz w:val="32"/>
          <w:szCs w:val="32"/>
          <w:shd w:val="clear" w:color="auto" w:fill="FFFFFF"/>
        </w:rPr>
        <w:t> （十三）机关运行经费</w:t>
      </w:r>
      <w:r>
        <w:rPr>
          <w:rStyle w:val="10"/>
          <w:rFonts w:ascii="方正楷体_GBK" w:eastAsia="方正楷体_GBK"/>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10"/>
          <w:rFonts w:hint="default" w:ascii="方正楷体_GBK" w:hAnsi="Times New Roman" w:eastAsia="方正楷体_GBK"/>
          <w:b w:val="0"/>
          <w:sz w:val="32"/>
          <w:szCs w:val="32"/>
          <w:shd w:val="clear" w:color="auto" w:fill="FFFFFF"/>
        </w:rPr>
        <w:t> （十四）工资福利支出（支出经济分类科目类级）</w:t>
      </w:r>
      <w:r>
        <w:rPr>
          <w:rStyle w:val="10"/>
          <w:rFonts w:ascii="方正楷体_GBK" w:eastAsia="方正楷体_GBK"/>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方正楷体_GBK" w:hAnsi="Times New Roman" w:eastAsia="方正楷体_GBK"/>
          <w:b w:val="0"/>
          <w:sz w:val="32"/>
          <w:szCs w:val="32"/>
          <w:shd w:val="clear" w:color="auto" w:fill="FFFFFF"/>
        </w:rPr>
        <w:t>（十五）商品和服务支出（支出经济分类科目类级）</w:t>
      </w:r>
      <w:r>
        <w:rPr>
          <w:rStyle w:val="10"/>
          <w:rFonts w:ascii="方正楷体_GBK" w:eastAsia="方正楷体_GBK"/>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 </w:t>
      </w:r>
      <w:r>
        <w:rPr>
          <w:rStyle w:val="10"/>
          <w:rFonts w:hint="default" w:ascii="方正楷体_GBK" w:hAnsi="Times New Roman" w:eastAsia="方正楷体_GBK"/>
          <w:b w:val="0"/>
          <w:sz w:val="32"/>
          <w:szCs w:val="32"/>
          <w:shd w:val="clear" w:color="auto" w:fill="FFFFFF"/>
        </w:rPr>
        <w:t>（十六）对个人和家庭的补助（支出经济分类科目类级）</w:t>
      </w:r>
      <w:r>
        <w:rPr>
          <w:rStyle w:val="10"/>
          <w:rFonts w:ascii="方正楷体_GBK" w:eastAsia="方正楷体_GBK"/>
        </w:rPr>
        <w:t>：</w:t>
      </w:r>
      <w:r>
        <w:rPr>
          <w:rFonts w:hint="default" w:ascii="Times New Roman" w:hAnsi="Times New Roman" w:eastAsia="方正仿宋_GBK"/>
          <w:sz w:val="32"/>
          <w:szCs w:val="32"/>
          <w:shd w:val="clear" w:color="auto" w:fill="FFFFFF"/>
        </w:rPr>
        <w:t>反映用于对个人和家庭的补助支出。</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方正楷体_GBK" w:hAnsi="Times New Roman" w:eastAsia="方正楷体_GBK"/>
          <w:b w:val="0"/>
          <w:sz w:val="32"/>
          <w:szCs w:val="32"/>
          <w:shd w:val="clear" w:color="auto" w:fill="FFFFFF"/>
        </w:rPr>
        <w:t>（十七）其他资本性支出（支出经济分类科目类级）</w:t>
      </w:r>
      <w:r>
        <w:rPr>
          <w:rStyle w:val="10"/>
          <w:rFonts w:ascii="方正楷体_GBK" w:eastAsia="方正楷体_GBK"/>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widowControl w:val="0"/>
        <w:shd w:val="clear" w:color="auto" w:fill="FFFFFF"/>
        <w:snapToGrid w:val="0"/>
        <w:spacing w:before="0" w:beforeAutospacing="0" w:after="0" w:afterAutospacing="0" w:line="600" w:lineRule="atLeast"/>
        <w:rPr>
          <w:rStyle w:val="10"/>
          <w:rFonts w:ascii="方正黑体_GBK" w:hAnsi="Times New Roman" w:eastAsia="方正黑体_GBK"/>
          <w:b w:val="0"/>
          <w:sz w:val="32"/>
          <w:szCs w:val="32"/>
          <w:shd w:val="clear" w:color="auto" w:fill="FFFFFF"/>
        </w:rPr>
      </w:pPr>
      <w:r>
        <w:rPr>
          <w:rStyle w:val="10"/>
          <w:rFonts w:hint="default" w:ascii="Times New Roman" w:hAnsi="Times New Roman" w:eastAsia="方正仿宋_GBK"/>
          <w:sz w:val="32"/>
          <w:szCs w:val="32"/>
          <w:shd w:val="clear" w:color="auto" w:fill="FFFFFF"/>
        </w:rPr>
        <w:t> 　</w:t>
      </w:r>
      <w:r>
        <w:rPr>
          <w:rStyle w:val="10"/>
          <w:rFonts w:ascii="方正黑体_GBK" w:hAnsi="Times New Roman" w:eastAsia="方正黑体_GBK"/>
          <w:b w:val="0"/>
          <w:sz w:val="32"/>
          <w:szCs w:val="32"/>
          <w:shd w:val="clear" w:color="auto" w:fill="FFFFFF"/>
        </w:rPr>
        <w:t>　七、决算公开联系方式及信息反馈渠道</w:t>
      </w:r>
    </w:p>
    <w:p>
      <w:pPr>
        <w:pStyle w:val="11"/>
        <w:widowControl w:val="0"/>
        <w:autoSpaceDE w:val="0"/>
        <w:snapToGrid w:val="0"/>
        <w:spacing w:line="600" w:lineRule="atLeast"/>
        <w:ind w:firstLine="0" w:firstLineChars="0"/>
        <w:rPr>
          <w:b/>
          <w:shd w:val="clear" w:color="auto" w:fill="FFFFFF"/>
        </w:rPr>
      </w:pPr>
      <w:r>
        <w:rPr>
          <w:rFonts w:ascii="Times New Roman" w:hAnsi="Times New Roman" w:eastAsia="方正仿宋_GBK"/>
          <w:sz w:val="32"/>
          <w:szCs w:val="32"/>
          <w:shd w:val="clear" w:color="auto" w:fill="FFFFFF"/>
        </w:rPr>
        <w:t>　　本单位决算公开信息反馈和联系方式：余老师，023-74681977</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1928" w:right="1418" w:bottom="1644" w:left="1418"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公开单位：中国共产党垫江县纪律检查委员会（本级）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4,202.93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3,518.15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141.81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486.59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197.65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149.97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4,202.93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4,502.93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300.00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4,502.93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4,502.93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公开单位：中国共产党垫江县纪律检查委员会（本级）</w:t>
            </w:r>
          </w:p>
        </w:tc>
        <w:tc>
          <w:tcPr>
            <w:tcW w:w="2412" w:type="dxa"/>
            <w:tcBorders>
              <w:top w:val="nil"/>
              <w:left w:val="nil"/>
              <w:bottom w:val="nil"/>
              <w:right w:val="nil"/>
            </w:tcBorders>
            <w:shd w:val="clear" w:color="auto" w:fill="auto"/>
            <w:tcMar>
              <w:top w:w="15" w:type="dxa"/>
              <w:left w:w="15" w:type="dxa"/>
              <w:right w:w="15" w:type="dxa"/>
            </w:tcMar>
            <w:vAlign w:val="bottom"/>
          </w:tcPr>
          <w:p>
            <w:pPr>
              <w:ind w:left="270" w:hanging="270" w:hangingChars="135"/>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4,202.93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4,202.93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3,260.20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3,260.20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纪检监察事务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3,260.20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3,260.20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2,920.96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2,920.96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大案要案查处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其他纪检监察事务支出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149.97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149.97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中国共产党垫江县纪律检查委员会（本级）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4,502.93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3,926.88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576.05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3,518.15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纪检监察事务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3,518.15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3,083.91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3,083.91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大案要案查处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其他纪检监察事务支出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486.59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486.59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461.01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461.01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157.01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157.01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149.97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149.97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中国共产党垫江县纪律检查委员会（本级）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4,202.93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3,518.15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3,518.15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141.81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141.81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486.59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486.59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197.65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197.65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149.97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149.97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4,202.93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4,502.93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4,502.93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300.00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300.00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4,502.93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4,502.93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4,502.93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中国共产党垫江县纪律检查委员会（本级）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4,502.93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3,926.88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576.05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3,518.15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3,083.91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434.24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纪检监察事务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3,518.15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3,083.91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434.24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3,083.91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3,083.91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119.40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119.40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大案要案查处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其他纪检监察事务支出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295.24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295.24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141.81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141.81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141.81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141.81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141.81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141.81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486.59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486.59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461.01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461.01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264.33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264.33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157.01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157.01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39.66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39.66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197.65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197.65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197.65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197.65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197.65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149.97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149.97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149.97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149.97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149.97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149.97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中国共产党垫江县纪律检查委员会（本级）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3,105.64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743.79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36.03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592.78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137.03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491.18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36.03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992.49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137.05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264.33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157.01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83.17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221.02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149.97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108.50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25.57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3,147.06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779.82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中国共产党垫江县纪律检查委员会（本级）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中国共产党垫江县纪律检查委员会（本级）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中国共产党垫江县纪律检查委员会（本级）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779.82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54.22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54.22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779.82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48.04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48.04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48.04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48.04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6.18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6.18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6.18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199.59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150.83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784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28.81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19.95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199.59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114.03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1.70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46.71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9" w:type="default"/>
      <w:footerReference r:id="rId10"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NDExMWE0NjUwODE2ZTM4NzFkMzVlZDMwMzM4NDAifQ=="/>
  </w:docVars>
  <w:rsids>
    <w:rsidRoot w:val="00B03CCD"/>
    <w:rsid w:val="0026793B"/>
    <w:rsid w:val="00550ABE"/>
    <w:rsid w:val="007B419D"/>
    <w:rsid w:val="009B67B8"/>
    <w:rsid w:val="00B03CCD"/>
    <w:rsid w:val="00C028AC"/>
    <w:rsid w:val="00F73F90"/>
    <w:rsid w:val="00FA06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3C20853"/>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512513"/>
    <w:rsid w:val="54807A15"/>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891B02"/>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3E4F8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2411</Words>
  <Characters>13743</Characters>
  <Lines>114</Lines>
  <Paragraphs>32</Paragraphs>
  <TotalTime>10</TotalTime>
  <ScaleCrop>false</ScaleCrop>
  <LinksUpToDate>false</LinksUpToDate>
  <CharactersWithSpaces>16122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2024-09-12T06:03:41Z</dcterms:modified>
  <dc:title>中国共产党垫江县纪律检查委员会（本级）2023年度决算公开说明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EF266A614BFD4A2EB42E6D340BB9E30E_13</vt:lpwstr>
  </property>
</Properties>
</file>