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中国共产党垫江县委党校</w:t>
      </w: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按照《中国共产党党校(行政学院)工作条例》《社会主义学院工作条例》规定，培训各级党政领导干部、公务员、国有企事业领导人员、事业单位领导人员、年轻干部、理论宣传骨干、高层次人才、基层干部、党员以及党外代表人士等。</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2.加强马克思主义基本理论研究，重点研究宣传习近平新时代中国特色社会主义思想。</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3.承办县委和县政府以及相关部门举办的专题研讨班。</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4.开展重大理论和现实问题调研，承担县委和县政府决策咨询服务。</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5.开展同县内外有关机构和组织的合作与交流。</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6.参与县委关于党校(垫江行政学校)工作政策以及干部培训计划的制定工作。</w:t>
      </w:r>
    </w:p>
    <w:p>
      <w:pPr>
        <w:pStyle w:val="12"/>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7.按照国家有关规定，开展成人学历教育和其他形式的继续教育、培训工作。</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8.完成县委和县政府交办的其他任务。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本部门只有一个一级预算单位（中国共产党垫江县委党校），无下级预算单位。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2023年度收入总计1274.08万元，支出总计</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万元。收支较上年决算数增加180.79万元，增长16.54%，主要原因是项目支出增加。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2023年度收入合计1273.60万元，较上年决算数增加224.00万元，增长21.34%，主要原因是追加的项目经费增加。其中：财政拨款收入</w:t>
      </w:r>
      <w:r>
        <w:rPr>
          <w:rFonts w:ascii="方正仿宋_GBK" w:hAnsi="方正仿宋_GBK" w:eastAsia="方正仿宋_GBK" w:cs="方正仿宋_GBK"/>
          <w:sz w:val="32"/>
          <w:szCs w:val="32"/>
        </w:rPr>
        <w:t>1273.60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万元，较上年决算数增加180.79万元，增长16.54%，主要原因是项目支出增加。其中：基本支出</w:t>
      </w:r>
      <w:r>
        <w:rPr>
          <w:rFonts w:ascii="方正仿宋_GBK" w:hAnsi="方正仿宋_GBK" w:eastAsia="方正仿宋_GBK" w:cs="方正仿宋_GBK"/>
          <w:sz w:val="32"/>
          <w:szCs w:val="32"/>
        </w:rPr>
        <w:t>945.10</w:t>
      </w:r>
      <w:r>
        <w:rPr>
          <w:rFonts w:ascii="方正仿宋_GBK" w:hAnsi="方正仿宋_GBK" w:eastAsia="方正仿宋_GBK" w:cs="方正仿宋_GBK"/>
          <w:sz w:val="32"/>
          <w:szCs w:val="32"/>
          <w:shd w:val="clear" w:color="auto" w:fill="FFFFFF"/>
        </w:rPr>
        <w:t>万元，占74.18%；项目支出</w:t>
      </w:r>
      <w:r>
        <w:rPr>
          <w:rFonts w:ascii="方正仿宋_GBK" w:hAnsi="方正仿宋_GBK" w:eastAsia="方正仿宋_GBK" w:cs="方正仿宋_GBK"/>
          <w:sz w:val="32"/>
          <w:szCs w:val="32"/>
        </w:rPr>
        <w:t>328.98</w:t>
      </w:r>
      <w:r>
        <w:rPr>
          <w:rFonts w:ascii="方正仿宋_GBK" w:hAnsi="方正仿宋_GBK" w:eastAsia="方正仿宋_GBK" w:cs="方正仿宋_GBK"/>
          <w:sz w:val="32"/>
          <w:szCs w:val="32"/>
          <w:shd w:val="clear" w:color="auto" w:fill="FFFFFF"/>
        </w:rPr>
        <w:t>万元，占25.82%；经营支出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万元，0，主要原因是上年与今年均无结转结余。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2023年度财政拨款收、支总计1274.08万元。与2022年相比，财政拨款收、支总计各增加180.79万元，增长16.54%。主要原因是项目收入、支出增加。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1273.60</w:t>
      </w:r>
      <w:r>
        <w:rPr>
          <w:rFonts w:ascii="方正仿宋_GBK" w:hAnsi="方正仿宋_GBK" w:eastAsia="方正仿宋_GBK" w:cs="方正仿宋_GBK"/>
          <w:sz w:val="32"/>
          <w:szCs w:val="32"/>
          <w:shd w:val="clear" w:color="auto" w:fill="FFFFFF"/>
        </w:rPr>
        <w:t>万元，较上年决算数增加224.00万元，增长21.34%。主要原因是学历教育成本等项目支出增加。较年初预算数增加431.58万元，增长51.26%。主要原因是财政年中追加的办学经费增加。此外，年初财政拨款结转和结余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万元，较上年决算数增加180.79万元，增长16.54%。主要原因是学历教育成本等项目支出增加。较年初预算数增加432.06万元，增长51.31%。主要原因是人员经费和项目经费的增加。</w:t>
      </w:r>
    </w:p>
    <w:p>
      <w:pPr>
        <w:pStyle w:val="6"/>
        <w:snapToGrid w:val="0"/>
        <w:spacing w:before="0" w:beforeAutospacing="0" w:after="0" w:afterAutospacing="0" w:line="600" w:lineRule="exact"/>
        <w:ind w:firstLine="643" w:firstLineChars="200"/>
        <w:jc w:val="both"/>
        <w:rPr>
          <w:rFonts w:hint="default" w:eastAsia="方正仿宋_GBK" w:cs="方正仿宋_GBK" w:asciiTheme="minorHAnsi" w:hAnsiTheme="minorHAnsi"/>
          <w:sz w:val="32"/>
          <w:szCs w:val="32"/>
          <w:lang w:val="en-GB"/>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万元，较上年决算数无增减，主要原因是上年与今年均无结转结余。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Calibri" w:hAnsi="Calibri"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%，较年初预算数增加50.52万元，增长100.00%，主要原因是年初未预算</w:t>
      </w:r>
      <w:r>
        <w:rPr>
          <w:rFonts w:ascii="Calibri" w:hAnsi="Calibri" w:eastAsia="方正仿宋_GBK" w:cs="方正仿宋_GBK"/>
          <w:sz w:val="32"/>
          <w:szCs w:val="32"/>
          <w:shd w:val="clear" w:color="auto" w:fill="FFFFFF"/>
        </w:rPr>
        <w:t>干部教育培训专项经费，在年中进行了追加。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987.77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77.53</w:t>
      </w:r>
      <w:r>
        <w:rPr>
          <w:rFonts w:ascii="方正仿宋_GBK" w:hAnsi="方正仿宋_GBK" w:eastAsia="方正仿宋_GBK" w:cs="方正仿宋_GBK"/>
          <w:sz w:val="32"/>
          <w:szCs w:val="32"/>
          <w:shd w:val="clear" w:color="auto" w:fill="FFFFFF"/>
        </w:rPr>
        <w:t>%，较年初预算数增加364.22万元，增长58.41%，主要原因是电大学历教育经费年初未纳入预算，</w:t>
      </w:r>
      <w:r>
        <w:rPr>
          <w:rFonts w:ascii="Calibri" w:hAnsi="Calibri" w:eastAsia="方正仿宋_GBK" w:cs="方正仿宋_GBK"/>
          <w:sz w:val="32"/>
          <w:szCs w:val="32"/>
        </w:rPr>
        <w:t>在年中进行了追加</w:t>
      </w:r>
      <w:r>
        <w:rPr>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143.57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11.27</w:t>
      </w:r>
      <w:r>
        <w:rPr>
          <w:rFonts w:ascii="方正仿宋_GBK" w:hAnsi="方正仿宋_GBK" w:eastAsia="方正仿宋_GBK" w:cs="方正仿宋_GBK"/>
          <w:sz w:val="32"/>
          <w:szCs w:val="32"/>
          <w:shd w:val="clear" w:color="auto" w:fill="FFFFFF"/>
        </w:rPr>
        <w:t>%，较年初预算数减少0.67万元，下降0.46%，主要原因是缴费基数调整导致金额下降。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%，较年初预算数增加7.39万元，增长24.64%，主要原因是缴费基数调整导致金额增大。</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住房保障支出54.85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%，较年初预算数增加10.60万元，增长23.95%，主要原因是缴费基数调整导致金额增大。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945.10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799.63</w:t>
      </w:r>
      <w:r>
        <w:rPr>
          <w:rFonts w:ascii="方正仿宋_GBK" w:hAnsi="方正仿宋_GBK" w:eastAsia="方正仿宋_GBK" w:cs="方正仿宋_GBK"/>
          <w:sz w:val="32"/>
          <w:szCs w:val="32"/>
          <w:shd w:val="clear" w:color="auto" w:fill="FFFFFF"/>
        </w:rPr>
        <w:t>万元，较上年决算数增加34.66万元，增长4.53%，主要原因是本年度清算了以前年度事业人员的绩效工资。人员经费用途主要包括基本工资、津贴补贴、奖金、社会保障缴费、公积金缴费。公用经费</w:t>
      </w:r>
      <w:r>
        <w:rPr>
          <w:rFonts w:ascii="方正仿宋_GBK" w:hAnsi="方正仿宋_GBK" w:eastAsia="方正仿宋_GBK" w:cs="方正仿宋_GBK"/>
          <w:sz w:val="32"/>
          <w:szCs w:val="32"/>
        </w:rPr>
        <w:t>145.47</w:t>
      </w:r>
      <w:r>
        <w:rPr>
          <w:rFonts w:ascii="方正仿宋_GBK" w:hAnsi="方正仿宋_GBK" w:eastAsia="方正仿宋_GBK" w:cs="方正仿宋_GBK"/>
          <w:sz w:val="32"/>
          <w:szCs w:val="32"/>
          <w:shd w:val="clear" w:color="auto" w:fill="FFFFFF"/>
        </w:rPr>
        <w:t>万元，较上年决算数增加9.16万元，增长6.72%，主要原因是培训费、印刷费的增加。公用经费用途主要包括办公费、印刷费、咨询费、手续费、水电费、电话费、差旅费、会议费、培训费、公务用车运行维护费、其他交通费用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hd w:val="clear" w:color="auto" w:fill="FFFFFF"/>
        <w:ind w:firstLine="960" w:firstLineChars="300"/>
        <w:rPr>
          <w:rFonts w:hint="default"/>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w:t>
      </w:r>
      <w:r>
        <w:rPr>
          <w:rFonts w:ascii="方正仿宋_GBK" w:hAnsi="方正仿宋_GBK" w:eastAsia="方正仿宋_GBK" w:cs="方正仿宋_GBK"/>
          <w:sz w:val="32"/>
          <w:szCs w:val="32"/>
          <w:shd w:val="clear" w:color="auto" w:fill="FFFFFF"/>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ind w:firstLine="960" w:firstLineChars="3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4.09</w:t>
      </w:r>
      <w:r>
        <w:rPr>
          <w:rFonts w:ascii="方正仿宋_GBK" w:hAnsi="方正仿宋_GBK" w:eastAsia="方正仿宋_GBK" w:cs="方正仿宋_GBK"/>
          <w:sz w:val="32"/>
          <w:szCs w:val="32"/>
          <w:shd w:val="clear" w:color="auto" w:fill="FFFFFF"/>
        </w:rPr>
        <w:t>万元，较年初预算数增加4.09万元，增长100.00%，主要原因是年初的三公经费预算为0，在年中将其他公用经费调剂为“三公”经费用于支出，从而导致数据增长。较上年支出数增加2.14万元，增长109.74%，主要原因是疫情的解除，各项培训工作正常开展，相关工作的公务接待和公务用车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主要用于机要文件交换、市内因公出行、调研、下乡走访等工作所需车辆的燃料费、维修费、过桥过路费、保险费等。费用支出较年初预算数增加2.16万元，增长100.00%，主要原因是年初预算为0，在年中将其他公用经费调剂为公务车运行维护费用于支出，从而导致数据增长。较上年支出数增加1.02万元，增长89.47%，主要原因是疫情的解除，各项培训工作正常开展，相关工作的公务用车费用增加。</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万元，主要用于接待市级指导学院建设专家和培训老师，以及接受相关部门检查指导工作发生的接待支出。费用支出较年初预算数增加1.93万元，增长100.00%，主要原因是年初预算为0，在年中将其他公用经费调剂为公务接待费用于支出，从而导致数据增长。较上年支出数增加1.12万元，增长138.27%，主要原因是疫情的解除，各项培训工作正常开展，相关工作的公务接待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83.70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万元，较上年决算数增加1.38万元，增长62.16%，主要原因是疫情的解除，各项培训工作正常开展，相关工作的会议费用增加。本年度培训费支出</w:t>
      </w:r>
      <w:r>
        <w:rPr>
          <w:rFonts w:ascii="方正仿宋_GBK" w:hAnsi="方正仿宋_GBK" w:eastAsia="方正仿宋_GBK" w:cs="方正仿宋_GBK"/>
          <w:sz w:val="32"/>
          <w:szCs w:val="32"/>
        </w:rPr>
        <w:t>174.43</w:t>
      </w:r>
      <w:r>
        <w:rPr>
          <w:rFonts w:ascii="方正仿宋_GBK" w:hAnsi="方正仿宋_GBK" w:eastAsia="方正仿宋_GBK" w:cs="方正仿宋_GBK"/>
          <w:sz w:val="32"/>
          <w:szCs w:val="32"/>
          <w:shd w:val="clear" w:color="auto" w:fill="FFFFFF"/>
        </w:rPr>
        <w:t>万元，较上年决算数增加157.06万</w:t>
      </w:r>
      <w:bookmarkStart w:id="0" w:name="_GoBack"/>
      <w:bookmarkEnd w:id="0"/>
      <w:r>
        <w:rPr>
          <w:rFonts w:ascii="方正仿宋_GBK" w:hAnsi="方正仿宋_GBK" w:eastAsia="方正仿宋_GBK" w:cs="方正仿宋_GBK"/>
          <w:sz w:val="32"/>
          <w:szCs w:val="32"/>
          <w:shd w:val="clear" w:color="auto" w:fill="FFFFFF"/>
        </w:rPr>
        <w:t>元，增长904.20%，主要原因是为了核算的合理性进行了费用科目的调整，将学历教育培训的相关费用纳入培训费科目核算。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145.47</w:t>
      </w:r>
      <w:r>
        <w:rPr>
          <w:rFonts w:ascii="方正仿宋_GBK" w:hAnsi="方正仿宋_GBK" w:eastAsia="方正仿宋_GBK" w:cs="方正仿宋_GBK"/>
          <w:sz w:val="32"/>
          <w:szCs w:val="32"/>
          <w:shd w:val="clear" w:color="auto" w:fill="FFFFFF"/>
        </w:rPr>
        <w:t>万元，机关运行经费主要用于开支办公费、水电费、电话网络费、差旅费、维修维护费、培训费、公务接待费、其他交通费用、办公设备购置费等。机关运行经费较上年支出数增加9.16万元，增长6.72%，主要原因是疫情的解除，各项工作正常开展使得培训费、公务接待费、其他交通费等相关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lang w:bidi="ar"/>
        </w:rPr>
        <w:t>328.9</w:t>
      </w:r>
      <w:r>
        <w:rPr>
          <w:rFonts w:hint="eastAsia" w:ascii="方正仿宋_GBK" w:hAnsi="方正仿宋_GBK" w:eastAsia="方正仿宋_GBK" w:cs="方正仿宋_GBK"/>
          <w:sz w:val="32"/>
          <w:szCs w:val="32"/>
          <w:shd w:val="clear" w:color="auto" w:fill="FFFFFF"/>
        </w:rPr>
        <w:t>万元。</w:t>
      </w:r>
    </w:p>
    <w:p>
      <w:pPr>
        <w:pStyle w:val="12"/>
        <w:spacing w:before="0" w:beforeAutospacing="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drawing>
          <wp:inline distT="0" distB="0" distL="0" distR="0">
            <wp:extent cx="5274945" cy="4812665"/>
            <wp:effectExtent l="0" t="0" r="190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0025" cy="4817395"/>
                    </a:xfrm>
                    <a:prstGeom prst="rect">
                      <a:avLst/>
                    </a:prstGeom>
                  </pic:spPr>
                </pic:pic>
              </a:graphicData>
            </a:graphic>
          </wp:inline>
        </w:drawing>
      </w:r>
    </w:p>
    <w:p>
      <w:pPr>
        <w:pStyle w:val="12"/>
        <w:spacing w:before="0" w:beforeAutospacing="0"/>
        <w:rPr>
          <w:rFonts w:ascii="方正仿宋_GBK" w:hAnsi="方正仿宋_GBK" w:eastAsia="方正仿宋_GBK" w:cs="方正仿宋_GBK"/>
          <w:sz w:val="32"/>
          <w:szCs w:val="32"/>
        </w:rPr>
      </w:pPr>
      <w:r>
        <w:rPr>
          <w:rFonts w:ascii="方正仿宋_GBK" w:hAnsi="方正仿宋_GBK" w:eastAsia="方正仿宋_GBK" w:cs="方正仿宋_GBK"/>
          <w:sz w:val="32"/>
          <w:szCs w:val="32"/>
        </w:rPr>
        <w:drawing>
          <wp:inline distT="0" distB="0" distL="0" distR="0">
            <wp:extent cx="5274945" cy="422973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80025" cy="4234077"/>
                    </a:xfrm>
                    <a:prstGeom prst="rect">
                      <a:avLst/>
                    </a:prstGeom>
                  </pic:spPr>
                </pic:pic>
              </a:graphicData>
            </a:graphic>
          </wp:inline>
        </w:drawing>
      </w:r>
    </w:p>
    <w:p>
      <w:pPr>
        <w:pStyle w:val="12"/>
        <w:spacing w:before="0" w:beforeAutospacing="0"/>
        <w:rPr>
          <w:rFonts w:ascii="方正仿宋_GBK" w:hAnsi="方正仿宋_GBK" w:eastAsia="方正仿宋_GBK" w:cs="方正仿宋_GBK"/>
          <w:sz w:val="32"/>
          <w:szCs w:val="32"/>
        </w:rPr>
      </w:pPr>
      <w:r>
        <w:rPr>
          <w:rFonts w:ascii="方正仿宋_GBK" w:hAnsi="方正仿宋_GBK" w:eastAsia="方正仿宋_GBK" w:cs="方正仿宋_GBK"/>
          <w:sz w:val="32"/>
          <w:szCs w:val="32"/>
        </w:rPr>
        <w:drawing>
          <wp:inline distT="0" distB="0" distL="0" distR="0">
            <wp:extent cx="5280025" cy="36302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80025" cy="3630295"/>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楷体" w:hAnsi="楷体" w:eastAsia="楷体" w:cs="楷体"/>
          <w:b/>
          <w:bCs/>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楷体" w:hAnsi="楷体" w:eastAsia="楷体" w:cs="楷体"/>
          <w:b/>
          <w:bCs/>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本单位决算公开信息反馈和联系方式：罗老师023-74636302</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公开部门：中国共产党垫江县委党校</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1,273.60</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987.77</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143.57</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1,273.60</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1,274.08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1,274.08</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1,274.08</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公开部门：中国共产党垫江县委党校</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1,273.60</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1,273.60</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987.29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987.29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987.29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987.29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984.81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984.81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143.57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143.57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中国共产党垫江县委党校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1,274.08</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945.10</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328.98</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985.29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278.25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143.57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中国共产党垫江县委党校</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1,273.60</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987.77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987.77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143.57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143.57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1,273.60</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1,274.08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中国共产党垫江县委党校</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1,274.08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945.10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328.98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709.52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709.52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985.29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707.04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278.25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143.57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143.36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143.36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143.36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65.73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65.73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中国共产党垫江县委党校</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145.15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271.71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799.63</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145.47</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中国共产党垫江县委党校</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中国共产党垫江县委党校</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中国共产党垫江县委党校</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145.47</w:t>
            </w: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4.09</w:t>
            </w: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4.09</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145.47</w:t>
            </w: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2.16</w:t>
            </w: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2.16</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2.16</w:t>
            </w: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2.16</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1.93</w:t>
            </w:r>
            <w:r>
              <w:rPr>
                <w:color w:val="000000"/>
                <w:sz w:val="20"/>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1.93</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1.93</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230</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3.60</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174.43</w:t>
            </w:r>
            <w:r>
              <w:rPr>
                <w:color w:val="000000"/>
                <w:sz w:val="20"/>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bMdIAAAADAQAADwAAAAAA&#10;AAABACAAAAAiAAAAZHJzL2Rvd25yZXYueG1sUEsBAhQAFAAAAAgAh07iQEPf5JLgAQAAswMAAA4A&#10;AAAAAAAAAQAgAAAAIQEAAGRycy9lMm9Eb2MueG1sUEsFBgAAAAAGAAYAWQEAAHM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DQBL34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ZGM4ZmVlY2RmYzhkODljMjQ0ZGZmYWI1NWM5OTEifQ=="/>
  </w:docVars>
  <w:rsids>
    <w:rsidRoot w:val="00B03CCD"/>
    <w:rsid w:val="000B70A2"/>
    <w:rsid w:val="000D7702"/>
    <w:rsid w:val="00192D66"/>
    <w:rsid w:val="001D01FF"/>
    <w:rsid w:val="001E59F2"/>
    <w:rsid w:val="001F716A"/>
    <w:rsid w:val="00230384"/>
    <w:rsid w:val="00276CFE"/>
    <w:rsid w:val="002C7214"/>
    <w:rsid w:val="002E5443"/>
    <w:rsid w:val="00311CC9"/>
    <w:rsid w:val="00377F20"/>
    <w:rsid w:val="0048002C"/>
    <w:rsid w:val="004965A2"/>
    <w:rsid w:val="004C12FF"/>
    <w:rsid w:val="004F7799"/>
    <w:rsid w:val="00550ABE"/>
    <w:rsid w:val="005B023C"/>
    <w:rsid w:val="005F20F9"/>
    <w:rsid w:val="00611047"/>
    <w:rsid w:val="006137D7"/>
    <w:rsid w:val="00634FA8"/>
    <w:rsid w:val="0063613A"/>
    <w:rsid w:val="0066097C"/>
    <w:rsid w:val="006C4409"/>
    <w:rsid w:val="00703A44"/>
    <w:rsid w:val="00713E77"/>
    <w:rsid w:val="00756C2A"/>
    <w:rsid w:val="00792285"/>
    <w:rsid w:val="007A0D2E"/>
    <w:rsid w:val="007A3314"/>
    <w:rsid w:val="007B419D"/>
    <w:rsid w:val="00810F13"/>
    <w:rsid w:val="00830747"/>
    <w:rsid w:val="008859A3"/>
    <w:rsid w:val="00944711"/>
    <w:rsid w:val="0094604D"/>
    <w:rsid w:val="00984852"/>
    <w:rsid w:val="009B67B8"/>
    <w:rsid w:val="009C1B66"/>
    <w:rsid w:val="00A03B1E"/>
    <w:rsid w:val="00A67739"/>
    <w:rsid w:val="00A820B7"/>
    <w:rsid w:val="00AC5566"/>
    <w:rsid w:val="00AC7103"/>
    <w:rsid w:val="00B03CCD"/>
    <w:rsid w:val="00B04B6F"/>
    <w:rsid w:val="00B10EDC"/>
    <w:rsid w:val="00B3619E"/>
    <w:rsid w:val="00BF1B9D"/>
    <w:rsid w:val="00BF5A85"/>
    <w:rsid w:val="00C04CD1"/>
    <w:rsid w:val="00C96B11"/>
    <w:rsid w:val="00CC6877"/>
    <w:rsid w:val="00CC6B99"/>
    <w:rsid w:val="00CF0BA9"/>
    <w:rsid w:val="00D53420"/>
    <w:rsid w:val="00D91D47"/>
    <w:rsid w:val="00D95FF9"/>
    <w:rsid w:val="00DB2BBD"/>
    <w:rsid w:val="00DF7706"/>
    <w:rsid w:val="00E34E11"/>
    <w:rsid w:val="00E654E2"/>
    <w:rsid w:val="00E76362"/>
    <w:rsid w:val="00E763C3"/>
    <w:rsid w:val="00ED01B3"/>
    <w:rsid w:val="00F137D3"/>
    <w:rsid w:val="00F13C36"/>
    <w:rsid w:val="00F32C53"/>
    <w:rsid w:val="00F3458D"/>
    <w:rsid w:val="00F73F90"/>
    <w:rsid w:val="00F7623D"/>
    <w:rsid w:val="00F8054C"/>
    <w:rsid w:val="00FD08D2"/>
    <w:rsid w:val="01474EBF"/>
    <w:rsid w:val="01F3521E"/>
    <w:rsid w:val="022F752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64637E"/>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C2037A"/>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707613"/>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BEF797A"/>
    <w:rsid w:val="5C263CE4"/>
    <w:rsid w:val="5C5D2777"/>
    <w:rsid w:val="5CF66BF3"/>
    <w:rsid w:val="5D290C69"/>
    <w:rsid w:val="5F2D4A41"/>
    <w:rsid w:val="60C74F6C"/>
    <w:rsid w:val="61025A59"/>
    <w:rsid w:val="61093C77"/>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8C05E9"/>
    <w:rsid w:val="71C34D91"/>
    <w:rsid w:val="72DB435C"/>
    <w:rsid w:val="72E2613A"/>
    <w:rsid w:val="72F771F4"/>
    <w:rsid w:val="736650B0"/>
    <w:rsid w:val="73934AD2"/>
    <w:rsid w:val="74667947"/>
    <w:rsid w:val="750837F0"/>
    <w:rsid w:val="754758CF"/>
    <w:rsid w:val="764F62AB"/>
    <w:rsid w:val="765C45EC"/>
    <w:rsid w:val="768A7619"/>
    <w:rsid w:val="772E1EBA"/>
    <w:rsid w:val="77EB79F7"/>
    <w:rsid w:val="796D60A4"/>
    <w:rsid w:val="79A031D5"/>
    <w:rsid w:val="79B54139"/>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30"/>
    <w:basedOn w:val="9"/>
    <w:qFormat/>
    <w:uiPriority w:val="0"/>
    <w:rPr>
      <w:rFonts w:hint="default" w:ascii="Times New Roman" w:hAnsi="Times New Roman" w:cs="Times New Roman"/>
      <w:b/>
      <w:bCs/>
    </w:rPr>
  </w:style>
  <w:style w:type="character" w:customStyle="1" w:styleId="17">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8852</Words>
  <Characters>11016</Characters>
  <Lines>100</Lines>
  <Paragraphs>28</Paragraphs>
  <TotalTime>8</TotalTime>
  <ScaleCrop>false</ScaleCrop>
  <LinksUpToDate>false</LinksUpToDate>
  <CharactersWithSpaces>12150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2024-09-05T09:11:00Z</dcterms:created>
  <dc:creator>Administrator</dc:creator>
  <cp:lastModifiedBy>向毅</cp:lastModifiedBy>
  <dcterms:modified xsi:type="dcterms:W3CDTF">2024-09-12T07:32:30Z</dcterms:modified>
  <dc:title>中国共产党垫江县委党校2023年度决算公开说明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