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0" w:firstLineChars="0"/>
        <w:jc w:val="center"/>
        <w:textAlignment w:val="auto"/>
        <w:rPr>
          <w:rFonts w:hint="default" w:ascii="Times New Roman" w:hAnsi="Times New Roman" w:eastAsia="方正小标宋_GBK" w:cs="Times New Roman"/>
          <w:b/>
          <w:bCs/>
          <w:sz w:val="44"/>
          <w:szCs w:val="44"/>
          <w:shd w:val="clear" w:color="auto" w:fill="FFFFFF"/>
        </w:rPr>
      </w:pPr>
      <w:bookmarkStart w:id="0" w:name="_GoBack"/>
      <w:bookmarkEnd w:id="0"/>
      <w:r>
        <w:rPr>
          <w:rFonts w:hint="default" w:ascii="Times New Roman" w:hAnsi="Times New Roman" w:eastAsia="方正小标宋_GBK" w:cs="Times New Roman"/>
          <w:b/>
          <w:bCs/>
          <w:sz w:val="44"/>
          <w:szCs w:val="44"/>
        </w:rPr>
        <w:t>中国共产党垫江县委员会组织部</w:t>
      </w:r>
      <w:r>
        <w:rPr>
          <w:rFonts w:hint="default" w:ascii="Times New Roman" w:hAnsi="Times New Roman" w:eastAsia="方正小标宋_GBK" w:cs="Times New Roman"/>
          <w:b/>
          <w:bCs/>
          <w:sz w:val="44"/>
          <w:szCs w:val="44"/>
          <w:shd w:val="clear" w:color="auto" w:fill="FFFFFF"/>
        </w:rPr>
        <w:t>2023年度决算公开说明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880" w:firstLineChars="200"/>
        <w:jc w:val="center"/>
        <w:textAlignment w:val="auto"/>
        <w:rPr>
          <w:rFonts w:hint="default" w:ascii="Times New Roman" w:hAnsi="Times New Roman" w:eastAsia="方正小标宋_GBK" w:cs="Times New Roman"/>
          <w:sz w:val="44"/>
          <w:szCs w:val="44"/>
          <w:shd w:val="clear" w:color="auto" w:fill="FFFFFF"/>
        </w:rPr>
      </w:pPr>
    </w:p>
    <w:p>
      <w:pPr>
        <w:pStyle w:val="5"/>
        <w:keepNext w:val="0"/>
        <w:keepLines w:val="0"/>
        <w:pageBreakBefore w:val="0"/>
        <w:widowControl/>
        <w:shd w:val="clear" w:color="auto" w:fill="FFFFFF"/>
        <w:kinsoku/>
        <w:wordWrap/>
        <w:overflowPunct/>
        <w:topLinePunct w:val="0"/>
        <w:autoSpaceDN/>
        <w:bidi w:val="0"/>
        <w:spacing w:before="0" w:beforeAutospacing="0" w:after="0" w:afterAutospacing="0" w:line="594" w:lineRule="exact"/>
        <w:ind w:firstLine="640" w:firstLineChars="200"/>
        <w:textAlignment w:val="auto"/>
        <w:rPr>
          <w:rFonts w:hint="default" w:ascii="Times New Roman" w:hAnsi="Times New Roman" w:eastAsia="方正黑体_GBK" w:cs="Times New Roman"/>
          <w:b w:val="0"/>
          <w:bCs/>
          <w:sz w:val="32"/>
          <w:szCs w:val="32"/>
        </w:rPr>
      </w:pPr>
      <w:r>
        <w:rPr>
          <w:rStyle w:val="9"/>
          <w:rFonts w:hint="default" w:ascii="Times New Roman" w:hAnsi="Times New Roman" w:eastAsia="方正黑体_GBK" w:cs="Times New Roman"/>
          <w:b w:val="0"/>
          <w:bCs/>
          <w:sz w:val="32"/>
          <w:szCs w:val="32"/>
          <w:shd w:val="clear" w:color="auto" w:fill="FFFFFF"/>
        </w:rPr>
        <w:t>一、部门基本情况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（一）职能职责</w:t>
      </w:r>
    </w:p>
    <w:p>
      <w:pPr>
        <w:keepNext w:val="0"/>
        <w:keepLines w:val="0"/>
        <w:pageBreakBefore w:val="0"/>
        <w:widowControl/>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bCs/>
          <w:sz w:val="32"/>
          <w:szCs w:val="32"/>
        </w:rPr>
        <w:t>1.中共垫江县委组织部职能职责</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贯彻执行党的组织工作路线、方针、政策，按照市委组织部和县委的要求，制定、实施垫江县党的建设工作意见，指导、督促、检查全县基层党组织建设；负责乡镇（街道）党（工）委和县级部门党组织换届工作；制定全县党员队伍建设规划，抓好全县党员发展、教育、管理和服务工作；负责党的建设的理论研究，提出加强党的思想、组织、作风、制度建设的意见和建议；受县委委托承办全县党费的收缴、管理、使用工作；承办县委党建领导小组办公室日常工作。</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根据中央、市委关于干部队伍建设的方针、政策，研究制定并组织实施全县干部队伍建设、领导班子建设的意见和规划；对县管领导班子的调整、配备提出意见和建议；负责县管干部的考察、任免工作，协助市委组织部办理市管干部的工资、待遇和退休手续等工作；负责市管干部县管职务任免工作；承办有关干部的调配、交流、挂职工作；配合承办县党代会、县人代会、县政协会的干部人事相关议题。</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制定并组织实施培养选拔年轻干部、女干部、党外干部、少数民族干部工作意见，加强领导班子和领导干部队伍建设；研究和指导干部人事制度改革，参与制定干部、人事制度。指导负责全县县管领导干部人事档案管理，指导、协调、督促、检查有关职能部门干部人事档案管理工作。</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负责对全县干部监督工作提出意见；督促、检查全县各级党政领导班子贯彻执行《党政领导干部选拔任用工作条例》及相关政策落实情况；指导、监督乡镇(街道)和县级部门内设机构负责人的选拔、任用；指导、督促县管领导班子民主生活会；负责领导干部因公出国境备案和因私出境审查工作；负责全县经济责任审计的牵头协调工作；负责县管领导干部兼职审批工作；组织开展领导干部个人有关事项报告工作；负责涉组涉干信访举报处置工作。</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负责研究制定全县干部教育培训的制度、规划和年度计划，对全县干部教育培训工作进行宏观指导；组织、协调全县领导干部参加市委党校、县委党校和其他各类干部培训班的学习，并做好参训学员的管理考察工作；指导全县干部教育培训基地和干部教育师资队伍建设；负责县管领导干部的学历学位确认工作；承担县委干部教育培训工作联席会议办公室日常工作。</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6）按照“管宏观、管政策、管协调、管服务”的要求，负责对全县人才工作的整体规划、指导、协调和宏观管理；组织、指导、协调有关部门按其工作职能，编制人才资源开发规划，制定和实施年度重点工作计划；加强以党政人才、企业经营管理人才和专业技术人才为主体的人才队伍建设，推进人才工作的协调发展；牵头开展全县高层次、紧缺人才引进工作；承办县委人才工作领导小组办公室的日常工作。</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7）统筹指导全县考核工作；研究制定考核政策及工作制度；协助市上做好对我县党政领导班子和领导干部的考核工作；负责县管领导班子和县管领导干部的考核工作；承办县考核工作领导小组办公室的日常工作。</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8）统一管理公务员工作，对外加挂县公务员局牌子。调整后，负责全县公务员录用调配、考核奖惩、培训和协调开展工资福利等事务，贯彻落实公务员管理政策和法律法规，指导全县公务员队伍建设和绩效管理，承办法定、委托或授权管理的人事任免事项。</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（9）统一管理老干部工作，保留县委老干部局牌子。调整后，负责对全县老干部工作的宏观管理，组织拟订老干部工作的规范性文件，牵头落实老干部待遇，引导老干部发挥作用。</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（10）统一管理县直机关党建工作，保留县委直属机关工作委员会牌子。</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（11）负责县委非公有制经济组织和社会组织党的建设工作，县委非公有制经济组织和社会组织工作委员会与县委组织部合署办公。</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（12）统一管理县委机构编制委员会办公室。</w:t>
      </w:r>
    </w:p>
    <w:p>
      <w:pPr>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（13）完成市委组织部和县委交办的其他任务。</w:t>
      </w:r>
    </w:p>
    <w:p>
      <w:pPr>
        <w:keepNext w:val="0"/>
        <w:keepLines w:val="0"/>
        <w:pageBreakBefore w:val="0"/>
        <w:widowControl/>
        <w:kinsoku/>
        <w:wordWrap/>
        <w:overflowPunct/>
        <w:topLinePunct w:val="0"/>
        <w:autoSpaceDE w:val="0"/>
        <w:autoSpaceDN/>
        <w:bidi w:val="0"/>
        <w:spacing w:beforeAutospacing="0" w:afterAutospacing="0" w:line="594" w:lineRule="exact"/>
        <w:ind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2.垫江县党员教育中心职能职责</w:t>
      </w:r>
    </w:p>
    <w:p>
      <w:pPr>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（1）全县党员电化教育规划、协调、检查。</w:t>
      </w:r>
    </w:p>
    <w:p>
      <w:pPr>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（2）党员电教音像教材的制作、引进、复制和发行；制作有地方特色的党员电教片。</w:t>
      </w:r>
    </w:p>
    <w:p>
      <w:pPr>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（3）县党员干部现代远程教育网站设备维护，更新网站信息和栏目；做好党建电视栏目的策划、管理、指导、督促工作。</w:t>
      </w:r>
    </w:p>
    <w:p>
      <w:pPr>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（4）党员电教业务管理和技术指导培训。</w:t>
      </w:r>
    </w:p>
    <w:p>
      <w:pPr>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（5）全县党员远程教育队伍建设、基础设施建设，各远程教育站点管理、维护、使用。</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垫江县干部档案管理中心</w:t>
      </w:r>
      <w:r>
        <w:rPr>
          <w:rFonts w:hint="default" w:ascii="Times New Roman" w:hAnsi="Times New Roman" w:eastAsia="方正仿宋_GBK" w:cs="Times New Roman"/>
          <w:sz w:val="32"/>
          <w:szCs w:val="32"/>
        </w:rPr>
        <w:t>职能职责</w:t>
      </w:r>
    </w:p>
    <w:p>
      <w:pPr>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（1）调查研究干部档案工作情况，制定规章制度，搞好干部档案的业务建设和业务指导。</w:t>
      </w:r>
    </w:p>
    <w:p>
      <w:pPr>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（2）保管、收集，鉴别和整理干部档案材料。</w:t>
      </w:r>
    </w:p>
    <w:p>
      <w:pPr>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（3）办理干部档案的查阅、借阅和传递，登记干部职务、工资的变动情况。</w:t>
      </w:r>
    </w:p>
    <w:p>
      <w:pPr>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（4）做好干部档案的安全、保密、保护工作，推广、应用干部档案现代化管理技术。</w:t>
      </w:r>
    </w:p>
    <w:p>
      <w:pPr>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（5）做好干部档案的移交工作。</w:t>
      </w:r>
    </w:p>
    <w:p>
      <w:pPr>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4.垫江县老干部服务中心</w:t>
      </w:r>
      <w:r>
        <w:rPr>
          <w:rFonts w:hint="default" w:ascii="Times New Roman" w:hAnsi="Times New Roman" w:eastAsia="方正仿宋_GBK" w:cs="Times New Roman"/>
          <w:sz w:val="32"/>
          <w:szCs w:val="32"/>
        </w:rPr>
        <w:t>职能职责</w:t>
      </w:r>
    </w:p>
    <w:p>
      <w:pPr>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（1）定期组织老干部学习政治理论、现代科学文化知识，促进离退休干部紧跟时代步伐，自觉在政治上、思想上、行动上与党中央保持高度一致。</w:t>
      </w:r>
    </w:p>
    <w:p>
      <w:pPr>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（2）开展老干部党员学习培训，确保老干部党员离岗不离党，退休不褪色；围绕节庆、纪念日和重大事件，开展老干部主题活动、纪念活动，加强对老干部的政治教育和引导。</w:t>
      </w:r>
    </w:p>
    <w:p>
      <w:pPr>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（3）组织开展适宜老干部特点的健身活动，举办健康保健知识讲座。</w:t>
      </w:r>
    </w:p>
    <w:p>
      <w:pPr>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（4）做好老干部艺术团教学、排练、演出等工作，丰富老干部精神文化生活。</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（5）为老干部学习和活动提供日常服务、后勤保障，推进老干部学习和活动有序开展。</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9"/>
          <w:rFonts w:hint="default" w:ascii="Times New Roman" w:hAnsi="Times New Roman" w:eastAsia="方正楷体_GBK" w:cs="Times New Roman"/>
          <w:b w:val="0"/>
          <w:bCs/>
          <w:sz w:val="32"/>
          <w:szCs w:val="32"/>
          <w:shd w:val="clear" w:color="auto" w:fill="FFFFFF"/>
        </w:rPr>
      </w:pPr>
      <w:r>
        <w:rPr>
          <w:rStyle w:val="9"/>
          <w:rFonts w:hint="default" w:ascii="Times New Roman" w:hAnsi="Times New Roman" w:eastAsia="方正楷体_GBK" w:cs="Times New Roman"/>
          <w:b w:val="0"/>
          <w:bCs/>
          <w:sz w:val="32"/>
          <w:szCs w:val="32"/>
          <w:shd w:val="clear" w:color="auto" w:fill="FFFFFF"/>
        </w:rPr>
        <w:t>（二）机构设置</w:t>
      </w:r>
    </w:p>
    <w:p>
      <w:pPr>
        <w:pStyle w:val="5"/>
        <w:keepNext w:val="0"/>
        <w:keepLines w:val="0"/>
        <w:pageBreakBefore w:val="0"/>
        <w:widowControl/>
        <w:shd w:val="clear" w:color="auto" w:fill="FFFFFF"/>
        <w:kinsoku/>
        <w:wordWrap/>
        <w:overflowPunct/>
        <w:topLinePunct w:val="0"/>
        <w:autoSpaceDN/>
        <w:bidi w:val="0"/>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中共垫江县委组织部为党委工作部门，行政编制22名，参公编制6名，工勤编制2名，实有职工26人；内设12个机构：办公室、调研科、组织一科、组织二科、非公党建科、干部科、公务员科、人才科、干部教育科、干部监督科、干部考核科、老干部工作科。</w:t>
      </w:r>
    </w:p>
    <w:p>
      <w:pPr>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rPr>
        <w:t>垫江县干部档案管理中心</w:t>
      </w:r>
      <w:r>
        <w:rPr>
          <w:rFonts w:hint="default" w:ascii="Times New Roman" w:hAnsi="Times New Roman" w:eastAsia="方正仿宋_GBK" w:cs="Times New Roman"/>
          <w:sz w:val="32"/>
          <w:szCs w:val="32"/>
          <w:shd w:val="clear" w:color="auto" w:fill="FFFFFF"/>
        </w:rPr>
        <w:t>编制8名，实有职工</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rPr>
        <w:t>内设2个机构：</w:t>
      </w:r>
      <w:r>
        <w:rPr>
          <w:rFonts w:hint="default" w:ascii="Times New Roman" w:hAnsi="Times New Roman" w:eastAsia="方正仿宋_GBK" w:cs="Times New Roman"/>
          <w:sz w:val="32"/>
          <w:szCs w:val="32"/>
          <w:shd w:val="clear" w:color="auto" w:fill="FFFFFF"/>
        </w:rPr>
        <w:t>档案管理科、业务指导科。垫江县老干部服务中心编制6名，实有职工4人，</w:t>
      </w:r>
      <w:r>
        <w:rPr>
          <w:rFonts w:hint="default" w:ascii="Times New Roman" w:hAnsi="Times New Roman" w:eastAsia="方正仿宋_GBK" w:cs="Times New Roman"/>
          <w:sz w:val="32"/>
          <w:szCs w:val="32"/>
        </w:rPr>
        <w:t>内设2个机构：</w:t>
      </w:r>
      <w:r>
        <w:rPr>
          <w:rFonts w:hint="default" w:ascii="Times New Roman" w:hAnsi="Times New Roman" w:eastAsia="方正仿宋_GBK" w:cs="Times New Roman"/>
          <w:sz w:val="32"/>
          <w:szCs w:val="32"/>
          <w:shd w:val="clear" w:color="auto" w:fill="FFFFFF"/>
        </w:rPr>
        <w:t>宣教科、活动科。</w:t>
      </w:r>
    </w:p>
    <w:p>
      <w:pPr>
        <w:pStyle w:val="5"/>
        <w:keepNext w:val="0"/>
        <w:keepLines w:val="0"/>
        <w:pageBreakBefore w:val="0"/>
        <w:widowControl/>
        <w:shd w:val="clear" w:color="auto" w:fill="FFFFFF"/>
        <w:kinsoku/>
        <w:wordWrap/>
        <w:overflowPunct/>
        <w:topLinePunct w:val="0"/>
        <w:autoSpaceDN/>
        <w:bidi w:val="0"/>
        <w:spacing w:before="0" w:beforeAutospacing="0" w:after="0" w:afterAutospacing="0"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二、部门决算情况说明</w:t>
      </w:r>
    </w:p>
    <w:p>
      <w:pPr>
        <w:pStyle w:val="10"/>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（一）收入支出决算总体情况说明</w:t>
      </w:r>
    </w:p>
    <w:p>
      <w:pPr>
        <w:pStyle w:val="5"/>
        <w:keepNext w:val="0"/>
        <w:keepLines w:val="0"/>
        <w:pageBreakBefore w:val="0"/>
        <w:widowControl/>
        <w:shd w:val="clear" w:color="auto" w:fill="FFFFFF"/>
        <w:kinsoku/>
        <w:wordWrap/>
        <w:overflowPunct/>
        <w:topLinePunct w:val="0"/>
        <w:autoSpaceDN/>
        <w:bidi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2023年度收入总计1511.04万元，支出总计</w:t>
      </w:r>
      <w:r>
        <w:rPr>
          <w:rFonts w:hint="default" w:ascii="Times New Roman" w:hAnsi="Times New Roman" w:eastAsia="方正仿宋_GBK" w:cs="Times New Roman"/>
          <w:sz w:val="32"/>
          <w:szCs w:val="32"/>
        </w:rPr>
        <w:t>1511.04</w:t>
      </w:r>
      <w:r>
        <w:rPr>
          <w:rFonts w:hint="default" w:ascii="Times New Roman" w:hAnsi="Times New Roman" w:eastAsia="方正仿宋_GBK" w:cs="Times New Roman"/>
          <w:sz w:val="32"/>
          <w:szCs w:val="32"/>
          <w:shd w:val="clear" w:color="auto" w:fill="FFFFFF"/>
        </w:rPr>
        <w:t>万元。收支较上年决算数增加98.64万元，增长6.98%，主要原因是新进8名职工，人员经费和公用经费增加，部分项目经费增加。</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2023年度收入合计1509.21万元，较上年决算数增加106.05万元，增长7.56%，主要原因是新进8名职工，人员经费和公用经费增加，部分项目经费增加。其中：财政拨款收入</w:t>
      </w:r>
      <w:r>
        <w:rPr>
          <w:rFonts w:hint="default" w:ascii="Times New Roman" w:hAnsi="Times New Roman" w:eastAsia="方正仿宋_GBK" w:cs="Times New Roman"/>
          <w:sz w:val="32"/>
          <w:szCs w:val="32"/>
        </w:rPr>
        <w:t>1509.21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1.83</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1511.04</w:t>
      </w:r>
      <w:r>
        <w:rPr>
          <w:rFonts w:hint="default" w:ascii="Times New Roman" w:hAnsi="Times New Roman" w:eastAsia="方正仿宋_GBK" w:cs="Times New Roman"/>
          <w:sz w:val="32"/>
          <w:szCs w:val="32"/>
          <w:shd w:val="clear" w:color="auto" w:fill="FFFFFF"/>
        </w:rPr>
        <w:t>万元，较上年决算数增加100.46万元，增长7.12%，主要原因是新进8名职工，人员经费和公用经费增加，部分项目经费增加。其中：基本支出</w:t>
      </w:r>
      <w:r>
        <w:rPr>
          <w:rFonts w:hint="default" w:ascii="Times New Roman" w:hAnsi="Times New Roman" w:eastAsia="方正仿宋_GBK" w:cs="Times New Roman"/>
          <w:sz w:val="32"/>
          <w:szCs w:val="32"/>
        </w:rPr>
        <w:t>901.99</w:t>
      </w:r>
      <w:r>
        <w:rPr>
          <w:rFonts w:hint="default" w:ascii="Times New Roman" w:hAnsi="Times New Roman" w:eastAsia="方正仿宋_GBK" w:cs="Times New Roman"/>
          <w:sz w:val="32"/>
          <w:szCs w:val="32"/>
          <w:shd w:val="clear" w:color="auto" w:fill="FFFFFF"/>
        </w:rPr>
        <w:t>万元，占59.69%；项目支出</w:t>
      </w:r>
      <w:r>
        <w:rPr>
          <w:rFonts w:hint="default" w:ascii="Times New Roman" w:hAnsi="Times New Roman" w:eastAsia="方正仿宋_GBK" w:cs="Times New Roman"/>
          <w:sz w:val="32"/>
          <w:szCs w:val="32"/>
        </w:rPr>
        <w:t>609.05</w:t>
      </w:r>
      <w:r>
        <w:rPr>
          <w:rFonts w:hint="default" w:ascii="Times New Roman" w:hAnsi="Times New Roman" w:eastAsia="方正仿宋_GBK" w:cs="Times New Roman"/>
          <w:sz w:val="32"/>
          <w:szCs w:val="32"/>
          <w:shd w:val="clear" w:color="auto" w:fill="FFFFFF"/>
        </w:rPr>
        <w:t>万元，占40.31%；经营支出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万元，较上年决算数减少1.83万元，下降100.00%，主要原因是上年项目支出结余1.73万元和基本支出结余0.1万元在本年已全部支付。</w:t>
      </w:r>
    </w:p>
    <w:p>
      <w:pPr>
        <w:pStyle w:val="10"/>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（二）财政拨款收入支出决算总体情况说明</w:t>
      </w:r>
    </w:p>
    <w:p>
      <w:pPr>
        <w:pStyle w:val="5"/>
        <w:keepNext w:val="0"/>
        <w:keepLines w:val="0"/>
        <w:pageBreakBefore w:val="0"/>
        <w:widowControl/>
        <w:shd w:val="clear" w:color="auto" w:fill="FFFFFF"/>
        <w:kinsoku/>
        <w:wordWrap/>
        <w:overflowPunct/>
        <w:topLinePunct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2023年度财政拨款收、支总计1511.04万元。与2022年相比，财政拨款收、支总计各增加98.64万元，增长6.98%。主要原因是新进8名职工，人员经费和公用经费增加，部分项目经费增加。</w:t>
      </w:r>
    </w:p>
    <w:p>
      <w:pPr>
        <w:pStyle w:val="10"/>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（三）一般公共预算财政拨款收入支出决算情况说明</w:t>
      </w:r>
    </w:p>
    <w:p>
      <w:pPr>
        <w:pStyle w:val="5"/>
        <w:keepNext w:val="0"/>
        <w:keepLines w:val="0"/>
        <w:pageBreakBefore w:val="0"/>
        <w:widowControl/>
        <w:shd w:val="clear" w:color="auto" w:fill="FFFFFF"/>
        <w:kinsoku/>
        <w:wordWrap/>
        <w:overflowPunct/>
        <w:topLinePunct w:val="0"/>
        <w:autoSpaceDN/>
        <w:bidi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1509.21</w:t>
      </w:r>
      <w:r>
        <w:rPr>
          <w:rFonts w:hint="default" w:ascii="Times New Roman" w:hAnsi="Times New Roman" w:eastAsia="方正仿宋_GBK" w:cs="Times New Roman"/>
          <w:sz w:val="32"/>
          <w:szCs w:val="32"/>
          <w:shd w:val="clear" w:color="auto" w:fill="FFFFFF"/>
        </w:rPr>
        <w:t>万元，较上年决算数增加106.05万元，增长7.56%。主要原因是新进8名职工，人员经费和公用经费增加，部分项目经费增加。较年初预算数减少490.85万元，下降24.54%。主要原因是部分项目经费调剂给其他部门、</w:t>
      </w:r>
      <w:r>
        <w:rPr>
          <w:rFonts w:hint="eastAsia" w:ascii="Times New Roman" w:hAnsi="Times New Roman" w:eastAsia="方正仿宋_GBK" w:cs="Times New Roman"/>
          <w:sz w:val="32"/>
          <w:szCs w:val="32"/>
          <w:shd w:val="clear" w:color="auto" w:fill="FFFFFF"/>
          <w:lang w:eastAsia="zh-CN"/>
        </w:rPr>
        <w:t>乡镇（街道）</w:t>
      </w:r>
      <w:r>
        <w:rPr>
          <w:rFonts w:hint="default" w:ascii="Times New Roman" w:hAnsi="Times New Roman" w:eastAsia="方正仿宋_GBK" w:cs="Times New Roman"/>
          <w:sz w:val="32"/>
          <w:szCs w:val="32"/>
          <w:shd w:val="clear" w:color="auto" w:fill="FFFFFF"/>
        </w:rPr>
        <w:t>使用。此外，年初财政拨款结转和结余</w:t>
      </w:r>
      <w:r>
        <w:rPr>
          <w:rFonts w:hint="default" w:ascii="Times New Roman" w:hAnsi="Times New Roman" w:eastAsia="方正仿宋_GBK" w:cs="Times New Roman"/>
          <w:sz w:val="32"/>
          <w:szCs w:val="32"/>
        </w:rPr>
        <w:t>1.83</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9"/>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1511.04</w:t>
      </w:r>
      <w:r>
        <w:rPr>
          <w:rFonts w:hint="default" w:ascii="Times New Roman" w:hAnsi="Times New Roman" w:eastAsia="方正仿宋_GBK" w:cs="Times New Roman"/>
          <w:sz w:val="32"/>
          <w:szCs w:val="32"/>
          <w:shd w:val="clear" w:color="auto" w:fill="FFFFFF"/>
        </w:rPr>
        <w:t>万元，较上年决算数增加100.46万元，增长7.12%。主要原因是新进8名职工，人员经费和公用经费增加，部分项目经费增加。较年初预算数减少489.02万元，下降24.45%。主要原因是部分项目经费调剂给其他部门、</w:t>
      </w:r>
      <w:r>
        <w:rPr>
          <w:rFonts w:hint="eastAsia" w:ascii="Times New Roman" w:hAnsi="Times New Roman" w:eastAsia="方正仿宋_GBK" w:cs="Times New Roman"/>
          <w:sz w:val="32"/>
          <w:szCs w:val="32"/>
          <w:shd w:val="clear" w:color="auto" w:fill="FFFFFF"/>
          <w:lang w:eastAsia="zh-CN"/>
        </w:rPr>
        <w:t>乡镇（街道）</w:t>
      </w:r>
      <w:r>
        <w:rPr>
          <w:rFonts w:hint="default" w:ascii="Times New Roman" w:hAnsi="Times New Roman" w:eastAsia="方正仿宋_GBK" w:cs="Times New Roman"/>
          <w:sz w:val="32"/>
          <w:szCs w:val="32"/>
          <w:shd w:val="clear" w:color="auto" w:fill="FFFFFF"/>
        </w:rPr>
        <w:t>使用。</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万元，较上年决算数减少1.83万元，下降100.00%，主要原因是上年项目支出结余1.73万元和基本支出结余0.1万元在本年已全部支付。</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9"/>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1250.47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82.76</w:t>
      </w:r>
      <w:r>
        <w:rPr>
          <w:rFonts w:hint="default" w:ascii="Times New Roman" w:hAnsi="Times New Roman" w:eastAsia="方正仿宋_GBK" w:cs="Times New Roman"/>
          <w:sz w:val="32"/>
          <w:szCs w:val="32"/>
          <w:shd w:val="clear" w:color="auto" w:fill="FFFFFF"/>
        </w:rPr>
        <w:t>%，较年初预算数减少538.77万元，下降30.11%，主要原因是部分项目经费调剂给其他部门、</w:t>
      </w:r>
      <w:r>
        <w:rPr>
          <w:rFonts w:hint="eastAsia" w:ascii="Times New Roman" w:hAnsi="Times New Roman" w:eastAsia="方正仿宋_GBK" w:cs="Times New Roman"/>
          <w:sz w:val="32"/>
          <w:szCs w:val="32"/>
          <w:shd w:val="clear" w:color="auto" w:fill="FFFFFF"/>
          <w:lang w:eastAsia="zh-CN"/>
        </w:rPr>
        <w:t>乡镇（街道）</w:t>
      </w:r>
      <w:r>
        <w:rPr>
          <w:rFonts w:hint="default" w:ascii="Times New Roman" w:hAnsi="Times New Roman" w:eastAsia="方正仿宋_GBK" w:cs="Times New Roman"/>
          <w:sz w:val="32"/>
          <w:szCs w:val="32"/>
          <w:shd w:val="clear" w:color="auto" w:fill="FFFFFF"/>
        </w:rPr>
        <w:t>使用。</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（2）教育支出</w:t>
      </w:r>
      <w:r>
        <w:rPr>
          <w:rFonts w:hint="default" w:ascii="Times New Roman" w:hAnsi="Times New Roman" w:eastAsia="方正仿宋_GBK" w:cs="Times New Roman"/>
          <w:sz w:val="32"/>
          <w:szCs w:val="32"/>
        </w:rPr>
        <w:t>0.92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0.06</w:t>
      </w:r>
      <w:r>
        <w:rPr>
          <w:rFonts w:hint="default" w:ascii="Times New Roman" w:hAnsi="Times New Roman" w:eastAsia="方正仿宋_GBK" w:cs="Times New Roman"/>
          <w:sz w:val="32"/>
          <w:szCs w:val="32"/>
          <w:shd w:val="clear" w:color="auto" w:fill="FFFFFF"/>
        </w:rPr>
        <w:t>%，较年初预算数减少0.99万元，下降51.83%，主要原因是职工外出学习培训适量减少。</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（3）社会保障与就业支出</w:t>
      </w:r>
      <w:r>
        <w:rPr>
          <w:rFonts w:hint="default" w:ascii="Times New Roman" w:hAnsi="Times New Roman" w:eastAsia="方正仿宋_GBK" w:cs="Times New Roman"/>
          <w:sz w:val="32"/>
          <w:szCs w:val="32"/>
        </w:rPr>
        <w:t>191.99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12.71</w:t>
      </w:r>
      <w:r>
        <w:rPr>
          <w:rFonts w:hint="default" w:ascii="Times New Roman" w:hAnsi="Times New Roman" w:eastAsia="方正仿宋_GBK" w:cs="Times New Roman"/>
          <w:sz w:val="32"/>
          <w:szCs w:val="32"/>
          <w:shd w:val="clear" w:color="auto" w:fill="FFFFFF"/>
        </w:rPr>
        <w:t>%，较年初预算数增加50.39万元，增长35.59%，主要原因是新进8名职工，社保缴费基数调增，故支出增长。</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（4）卫生健康支出</w:t>
      </w:r>
      <w:r>
        <w:rPr>
          <w:rFonts w:hint="default" w:ascii="Times New Roman" w:hAnsi="Times New Roman" w:eastAsia="方正仿宋_GBK" w:cs="Times New Roman"/>
          <w:sz w:val="32"/>
          <w:szCs w:val="32"/>
        </w:rPr>
        <w:t>32.08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2.12</w:t>
      </w:r>
      <w:r>
        <w:rPr>
          <w:rFonts w:hint="default" w:ascii="Times New Roman" w:hAnsi="Times New Roman" w:eastAsia="方正仿宋_GBK" w:cs="Times New Roman"/>
          <w:sz w:val="32"/>
          <w:szCs w:val="32"/>
          <w:shd w:val="clear" w:color="auto" w:fill="FFFFFF"/>
        </w:rPr>
        <w:t>%，较年初预算数增加8.06万元，增长33.56%，主要原因是新进8名职工，医保缴费基数调增，故支出增长。</w:t>
      </w:r>
    </w:p>
    <w:p>
      <w:pPr>
        <w:pStyle w:val="5"/>
        <w:keepNext w:val="0"/>
        <w:keepLines w:val="0"/>
        <w:pageBreakBefore w:val="0"/>
        <w:widowControl/>
        <w:shd w:val="clear" w:color="auto" w:fill="FFFFFF"/>
        <w:kinsoku/>
        <w:wordWrap/>
        <w:overflowPunct/>
        <w:topLinePunct w:val="0"/>
        <w:autoSpaceDN/>
        <w:bidi w:val="0"/>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w:t>
      </w:r>
      <w:r>
        <w:rPr>
          <w:rFonts w:hint="default" w:ascii="Times New Roman" w:hAnsi="Times New Roman" w:eastAsia="方正仿宋_GBK" w:cs="Times New Roman"/>
          <w:sz w:val="32"/>
          <w:szCs w:val="32"/>
        </w:rPr>
        <w:t>住房保障支出35.59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2.36</w:t>
      </w:r>
      <w:r>
        <w:rPr>
          <w:rFonts w:hint="default" w:ascii="Times New Roman" w:hAnsi="Times New Roman" w:eastAsia="方正仿宋_GBK" w:cs="Times New Roman"/>
          <w:sz w:val="32"/>
          <w:szCs w:val="32"/>
          <w:shd w:val="clear" w:color="auto" w:fill="FFFFFF"/>
        </w:rPr>
        <w:t>%，较年初预算数减少7.71万元，下降17.81%，主要原因是公积金清算、缴费基数调减，故支出减少。</w:t>
      </w:r>
    </w:p>
    <w:p>
      <w:pPr>
        <w:pStyle w:val="10"/>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（四）一般公共预算财政拨款基本支出决算情况说明</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901.99</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768.48</w:t>
      </w:r>
      <w:r>
        <w:rPr>
          <w:rFonts w:hint="default" w:ascii="Times New Roman" w:hAnsi="Times New Roman" w:eastAsia="方正仿宋_GBK" w:cs="Times New Roman"/>
          <w:sz w:val="32"/>
          <w:szCs w:val="32"/>
          <w:shd w:val="clear" w:color="auto" w:fill="FFFFFF"/>
        </w:rPr>
        <w:t>万元，较上年决算数增加60.10万元，增长8.48%，主要原因是新进8名职工，人员经费增加。人员经费用途主要包括基本工资、绩效工资、津贴补贴、奖金、公积金、社会保障缴费、伙食补助、其他工资福利支出等。公用经费</w:t>
      </w:r>
      <w:r>
        <w:rPr>
          <w:rFonts w:hint="default" w:ascii="Times New Roman" w:hAnsi="Times New Roman" w:eastAsia="方正仿宋_GBK" w:cs="Times New Roman"/>
          <w:sz w:val="32"/>
          <w:szCs w:val="32"/>
        </w:rPr>
        <w:t>133.51</w:t>
      </w:r>
      <w:r>
        <w:rPr>
          <w:rFonts w:hint="default" w:ascii="Times New Roman" w:hAnsi="Times New Roman" w:eastAsia="方正仿宋_GBK" w:cs="Times New Roman"/>
          <w:sz w:val="32"/>
          <w:szCs w:val="32"/>
          <w:shd w:val="clear" w:color="auto" w:fill="FFFFFF"/>
        </w:rPr>
        <w:t>万元，较上年决算数减少177.50万元，下降57.07%，主要原因是压缩办公经费支出，抽调借用人员相关费用在项目经费中列支。公用经费用途主要包括办公费、印刷费、差旅费、会议费，其他交通费和其他商品和服务支出等。</w:t>
      </w:r>
    </w:p>
    <w:p>
      <w:pPr>
        <w:pStyle w:val="10"/>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（五）政府性基金预算收支决算情况说明</w:t>
      </w:r>
    </w:p>
    <w:p>
      <w:pPr>
        <w:pStyle w:val="10"/>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textAlignment w:val="auto"/>
        <w:rPr>
          <w:rFonts w:hint="default" w:ascii="Times New Roman" w:hAnsi="Times New Roman" w:eastAsia="楷体" w:cs="Times New Roman"/>
          <w:sz w:val="32"/>
          <w:szCs w:val="32"/>
          <w:shd w:val="clear" w:color="auto" w:fill="FFFFFF"/>
          <w:lang w:bidi="ar"/>
        </w:rPr>
      </w:pP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0"/>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（六）国有资本经营预算财政拨款支出决算情况说明</w:t>
      </w:r>
    </w:p>
    <w:p>
      <w:pPr>
        <w:pStyle w:val="10"/>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本部门2023年度无国有资本经营预算财政拨款支出。</w:t>
      </w:r>
    </w:p>
    <w:p>
      <w:pPr>
        <w:pStyle w:val="5"/>
        <w:keepNext w:val="0"/>
        <w:keepLines w:val="0"/>
        <w:pageBreakBefore w:val="0"/>
        <w:widowControl/>
        <w:shd w:val="clear" w:color="auto" w:fill="FFFFFF"/>
        <w:kinsoku/>
        <w:wordWrap/>
        <w:overflowPunct/>
        <w:topLinePunct w:val="0"/>
        <w:autoSpaceDN/>
        <w:bidi w:val="0"/>
        <w:spacing w:before="0" w:beforeAutospacing="0" w:after="0" w:afterAutospacing="0"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三、“三公”经费情况说明</w:t>
      </w:r>
    </w:p>
    <w:p>
      <w:pPr>
        <w:pStyle w:val="10"/>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22.92</w:t>
      </w:r>
      <w:r>
        <w:rPr>
          <w:rFonts w:hint="default" w:ascii="Times New Roman" w:hAnsi="Times New Roman" w:eastAsia="方正仿宋_GBK" w:cs="Times New Roman"/>
          <w:sz w:val="32"/>
          <w:szCs w:val="32"/>
          <w:shd w:val="clear" w:color="auto" w:fill="FFFFFF"/>
        </w:rPr>
        <w:t>万元，较年初预算数减少1.88万元，下降7.58%，主要原因是主要原因是严格贯彻落实“三公”经费“只减不增”和过“紧日子”要求。较上年支出数减少0.26万元，下降1.12%，主要原因是贯彻落实相关文件要求，严格执行接待相关标准，严控用车频次数量。</w:t>
      </w:r>
    </w:p>
    <w:p>
      <w:pPr>
        <w:pStyle w:val="10"/>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（二）“三公”经费分项支出情况</w:t>
      </w:r>
    </w:p>
    <w:p>
      <w:pPr>
        <w:keepNext w:val="0"/>
        <w:keepLines w:val="0"/>
        <w:pageBreakBefore w:val="0"/>
        <w:widowControl/>
        <w:kinsoku/>
        <w:wordWrap/>
        <w:overflowPunct/>
        <w:topLinePunct w:val="0"/>
        <w:autoSpaceDN/>
        <w:bidi w:val="0"/>
        <w:adjustRightInd w:val="0"/>
        <w:snapToGrid w:val="0"/>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13.21</w:t>
      </w:r>
      <w:r>
        <w:rPr>
          <w:rFonts w:hint="default" w:ascii="Times New Roman" w:hAnsi="Times New Roman" w:eastAsia="方正仿宋_GBK" w:cs="Times New Roman"/>
          <w:sz w:val="32"/>
          <w:szCs w:val="32"/>
          <w:shd w:val="clear" w:color="auto" w:fill="FFFFFF"/>
        </w:rPr>
        <w:t>万元，主要用于公务车燃油费、维修（护）费、路桥费、车辆保险费、停车费和其他相关支出。费用支出较年初预算数减少1.79万元，下降11.93%，主要原因是严格按照“三公”经费“只减不增”的要求贯彻落实。较上年支出数减少0.02万元，下降0.15%，主要原因是加强公务用车日常管理，相关费用进一步压缩。</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9.71</w:t>
      </w:r>
      <w:r>
        <w:rPr>
          <w:rFonts w:hint="default" w:ascii="Times New Roman" w:hAnsi="Times New Roman" w:eastAsia="方正仿宋_GBK" w:cs="Times New Roman"/>
          <w:sz w:val="32"/>
          <w:szCs w:val="32"/>
          <w:shd w:val="clear" w:color="auto" w:fill="FFFFFF"/>
        </w:rPr>
        <w:t>万元，主要用于接待有关组织工作、党建、考核、老干部工作等。费用支出较年初预算数减少0.09万元，下降0.92%，主要原因是严格按照“三公”经费“只减不增”的要求贯彻落实。较上年支出数减少0.23万元，下降2.31%，主要原因是按照量入为出的原则，根据年初预算，严格控制接待标准，推动建立厉行节约反对浪费的长效机制。</w:t>
      </w:r>
    </w:p>
    <w:p>
      <w:pPr>
        <w:pStyle w:val="10"/>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（三）“三公”经费实物量情况</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155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1520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63.90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6.60</w:t>
      </w:r>
      <w:r>
        <w:rPr>
          <w:rFonts w:hint="default" w:ascii="Times New Roman" w:hAnsi="Times New Roman" w:eastAsia="方正仿宋_GBK" w:cs="Times New Roman"/>
          <w:sz w:val="32"/>
          <w:szCs w:val="32"/>
          <w:shd w:val="clear" w:color="auto" w:fill="FFFFFF"/>
        </w:rPr>
        <w:t>万元。</w:t>
      </w:r>
    </w:p>
    <w:p>
      <w:pPr>
        <w:pStyle w:val="5"/>
        <w:keepNext w:val="0"/>
        <w:keepLines w:val="0"/>
        <w:pageBreakBefore w:val="0"/>
        <w:widowControl/>
        <w:shd w:val="clear" w:color="auto" w:fill="FFFFFF"/>
        <w:kinsoku/>
        <w:wordWrap/>
        <w:overflowPunct/>
        <w:topLinePunct w:val="0"/>
        <w:autoSpaceDN/>
        <w:bidi w:val="0"/>
        <w:spacing w:before="0" w:beforeAutospacing="0" w:after="0" w:afterAutospacing="0"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四、其他需要说明的事项</w:t>
      </w:r>
    </w:p>
    <w:p>
      <w:pPr>
        <w:pStyle w:val="10"/>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14.61</w:t>
      </w:r>
      <w:r>
        <w:rPr>
          <w:rFonts w:hint="default" w:ascii="Times New Roman" w:hAnsi="Times New Roman" w:eastAsia="方正仿宋_GBK" w:cs="Times New Roman"/>
          <w:sz w:val="32"/>
          <w:szCs w:val="32"/>
          <w:shd w:val="clear" w:color="auto" w:fill="FFFFFF"/>
        </w:rPr>
        <w:t>万元，较上年决算数增加1.29万元，增长9.68%，主要原因是会议次数略有增加。本年度培训费支出</w:t>
      </w:r>
      <w:r>
        <w:rPr>
          <w:rFonts w:hint="default" w:ascii="Times New Roman" w:hAnsi="Times New Roman" w:eastAsia="方正仿宋_GBK" w:cs="Times New Roman"/>
          <w:sz w:val="32"/>
          <w:szCs w:val="32"/>
        </w:rPr>
        <w:t>26.17</w:t>
      </w:r>
      <w:r>
        <w:rPr>
          <w:rFonts w:hint="default" w:ascii="Times New Roman" w:hAnsi="Times New Roman" w:eastAsia="方正仿宋_GBK" w:cs="Times New Roman"/>
          <w:sz w:val="32"/>
          <w:szCs w:val="32"/>
          <w:shd w:val="clear" w:color="auto" w:fill="FFFFFF"/>
        </w:rPr>
        <w:t>万元，较上年决算数增加25.98万元，增长13673.68%，主要原因是本年度将全县干部教育培训费纳入该科目核算。</w:t>
      </w:r>
    </w:p>
    <w:p>
      <w:pPr>
        <w:pStyle w:val="10"/>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（二）机关运行经费情况说明</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106.63</w:t>
      </w:r>
      <w:r>
        <w:rPr>
          <w:rFonts w:hint="default" w:ascii="Times New Roman" w:hAnsi="Times New Roman" w:eastAsia="方正仿宋_GBK" w:cs="Times New Roman"/>
          <w:sz w:val="32"/>
          <w:szCs w:val="32"/>
          <w:shd w:val="clear" w:color="auto" w:fill="FFFFFF"/>
        </w:rPr>
        <w:t>万元，机关运行经费主要用于办公费、印刷费、差旅费、会议费、培训费、公务接待费、公务用车运行维护费、工会经费以及其他商品和服务支出。机关运行经费较上年支出数减少176.80万元，下降62.38%，主要原因是抽调借用人员相关费用在项目经费中列支，进一步贯彻落实过“紧日子”要求，压缩公用经费支出。</w:t>
      </w:r>
    </w:p>
    <w:p>
      <w:pPr>
        <w:pStyle w:val="10"/>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（三）国有资产占用情况说明</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截至2023年12月31日，本部门共有车辆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0"/>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（四）政府采购支出情况说明</w:t>
      </w:r>
    </w:p>
    <w:p>
      <w:pPr>
        <w:pStyle w:val="5"/>
        <w:keepNext w:val="0"/>
        <w:keepLines w:val="0"/>
        <w:pageBreakBefore w:val="0"/>
        <w:widowControl/>
        <w:kinsoku/>
        <w:wordWrap/>
        <w:overflowPunct/>
        <w:topLinePunct w:val="0"/>
        <w:autoSpaceDN/>
        <w:bidi w:val="0"/>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%。主要原因是</w:t>
      </w:r>
      <w:r>
        <w:rPr>
          <w:rFonts w:hint="default" w:ascii="Times New Roman" w:hAnsi="Times New Roman" w:eastAsia="方正仿宋_GBK" w:cs="Times New Roman"/>
          <w:sz w:val="32"/>
          <w:szCs w:val="32"/>
        </w:rPr>
        <w:t>2023年度我中心未发生政府采购事项，无相关经费支出。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五、预算绩效管理情况说明</w:t>
      </w:r>
    </w:p>
    <w:p>
      <w:pPr>
        <w:pStyle w:val="10"/>
        <w:keepNext w:val="0"/>
        <w:keepLines w:val="0"/>
        <w:pageBreakBefore w:val="0"/>
        <w:widowControl/>
        <w:kinsoku/>
        <w:wordWrap/>
        <w:overflowPunct/>
        <w:topLinePunct w:val="0"/>
        <w:autoSpaceDE w:val="0"/>
        <w:autoSpaceDN/>
        <w:bidi w:val="0"/>
        <w:spacing w:beforeAutospacing="0" w:afterAutospacing="0" w:line="594" w:lineRule="exact"/>
        <w:ind w:firstLine="640" w:firstLineChars="200"/>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（一）部门自评情况</w:t>
      </w:r>
    </w:p>
    <w:p>
      <w:pPr>
        <w:pStyle w:val="11"/>
        <w:keepNext w:val="0"/>
        <w:keepLines w:val="0"/>
        <w:pageBreakBefore w:val="0"/>
        <w:widowControl/>
        <w:kinsoku/>
        <w:wordWrap/>
        <w:overflowPunct/>
        <w:topLinePunct w:val="0"/>
        <w:autoSpaceDE w:val="0"/>
        <w:autoSpaceDN/>
        <w:bidi w:val="0"/>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bidi="ar"/>
        </w:rPr>
        <w:t>根据预算绩效管理要求，我部门对部门整体和16个二级项目开展了绩效自评，涉及财政拨款项目支出资金609.05万元。</w:t>
      </w:r>
    </w:p>
    <w:p>
      <w:pPr>
        <w:pStyle w:val="11"/>
        <w:spacing w:before="0" w:beforeAutospacing="0"/>
        <w:rPr>
          <w:rFonts w:hint="default" w:ascii="Times New Roman" w:hAnsi="Times New Roman" w:eastAsia="方正仿宋_GBK" w:cs="Times New Roman"/>
          <w:sz w:val="32"/>
          <w:szCs w:val="32"/>
          <w:shd w:val="clear" w:color="auto" w:fill="FFFFFF"/>
        </w:rPr>
      </w:pPr>
      <w:r>
        <w:rPr>
          <w:rFonts w:hint="default" w:ascii="Times New Roman" w:hAnsi="Times New Roman" w:cs="Times New Roman"/>
        </w:rPr>
        <w:drawing>
          <wp:inline distT="0" distB="0" distL="114300" distR="114300">
            <wp:extent cx="5700395" cy="3586480"/>
            <wp:effectExtent l="0" t="0" r="14605"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712873" cy="3586480"/>
                    </a:xfrm>
                    <a:prstGeom prst="rect">
                      <a:avLst/>
                    </a:prstGeom>
                    <a:noFill/>
                    <a:ln>
                      <a:noFill/>
                    </a:ln>
                  </pic:spPr>
                </pic:pic>
              </a:graphicData>
            </a:graphic>
          </wp:inline>
        </w:drawing>
      </w:r>
      <w:r>
        <w:rPr>
          <w:rFonts w:hint="default" w:ascii="Times New Roman" w:hAnsi="Times New Roman" w:cs="Times New Roman"/>
        </w:rPr>
        <w:drawing>
          <wp:inline distT="0" distB="0" distL="114300" distR="114300">
            <wp:extent cx="5713095" cy="2586355"/>
            <wp:effectExtent l="0" t="0" r="1905" b="444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flipV="1">
                      <a:off x="0" y="0"/>
                      <a:ext cx="5747794" cy="2586355"/>
                    </a:xfrm>
                    <a:prstGeom prst="rect">
                      <a:avLst/>
                    </a:prstGeom>
                    <a:noFill/>
                    <a:ln>
                      <a:noFill/>
                    </a:ln>
                  </pic:spPr>
                </pic:pic>
              </a:graphicData>
            </a:graphic>
          </wp:inline>
        </w:drawing>
      </w:r>
    </w:p>
    <w:p>
      <w:pPr>
        <w:pStyle w:val="13"/>
        <w:autoSpaceDE w:val="0"/>
        <w:ind w:firstLineChars="175"/>
        <w:rPr>
          <w:rFonts w:hint="default" w:ascii="Times New Roman" w:hAnsi="Times New Roman" w:eastAsia="方正仿宋_GBK" w:cs="Times New Roman"/>
          <w:sz w:val="32"/>
          <w:szCs w:val="32"/>
          <w:shd w:val="clear" w:color="auto" w:fill="FFFFFF"/>
        </w:rPr>
      </w:pPr>
      <w:r>
        <w:rPr>
          <w:rFonts w:hint="default" w:ascii="Times New Roman" w:hAnsi="Times New Roman" w:cs="Times New Roman"/>
        </w:rPr>
        <w:drawing>
          <wp:inline distT="0" distB="0" distL="114300" distR="114300">
            <wp:extent cx="5662295" cy="334645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668899" cy="3350414"/>
                    </a:xfrm>
                    <a:prstGeom prst="rect">
                      <a:avLst/>
                    </a:prstGeom>
                    <a:noFill/>
                    <a:ln>
                      <a:noFill/>
                    </a:ln>
                  </pic:spPr>
                </pic:pic>
              </a:graphicData>
            </a:graphic>
          </wp:inline>
        </w:drawing>
      </w:r>
    </w:p>
    <w:p>
      <w:pPr>
        <w:pStyle w:val="13"/>
        <w:autoSpaceDE w:val="0"/>
        <w:ind w:firstLine="0" w:firstLineChars="0"/>
        <w:rPr>
          <w:rFonts w:hint="default" w:ascii="Times New Roman" w:hAnsi="Times New Roman" w:eastAsia="方正仿宋_GBK" w:cs="Times New Roman"/>
          <w:sz w:val="32"/>
          <w:szCs w:val="32"/>
          <w:shd w:val="clear" w:color="auto" w:fill="FFFFFF"/>
        </w:rPr>
      </w:pPr>
    </w:p>
    <w:p>
      <w:pPr>
        <w:pStyle w:val="13"/>
        <w:autoSpaceDE w:val="0"/>
        <w:ind w:firstLineChars="175"/>
        <w:rPr>
          <w:rFonts w:hint="default" w:ascii="Times New Roman" w:hAnsi="Times New Roman" w:eastAsia="方正仿宋_GBK" w:cs="Times New Roman"/>
          <w:sz w:val="32"/>
          <w:szCs w:val="32"/>
          <w:shd w:val="clear" w:color="auto" w:fill="FFFFFF"/>
        </w:rPr>
      </w:pPr>
      <w:r>
        <w:rPr>
          <w:rFonts w:hint="default" w:ascii="Times New Roman" w:hAnsi="Times New Roman" w:cs="Times New Roman"/>
        </w:rPr>
        <w:drawing>
          <wp:inline distT="0" distB="0" distL="114300" distR="114300">
            <wp:extent cx="5668010" cy="2887345"/>
            <wp:effectExtent l="0" t="0" r="8890"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5677295" cy="2892222"/>
                    </a:xfrm>
                    <a:prstGeom prst="rect">
                      <a:avLst/>
                    </a:prstGeom>
                    <a:noFill/>
                    <a:ln>
                      <a:noFill/>
                    </a:ln>
                  </pic:spPr>
                </pic:pic>
              </a:graphicData>
            </a:graphic>
          </wp:inline>
        </w:drawing>
      </w:r>
    </w:p>
    <w:p>
      <w:pPr>
        <w:pStyle w:val="10"/>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（二）部门绩效评价情况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本部门未组织开展项目绩效评价。</w:t>
      </w:r>
    </w:p>
    <w:p>
      <w:pPr>
        <w:pStyle w:val="10"/>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Style w:val="9"/>
          <w:rFonts w:hint="default" w:ascii="Times New Roman" w:hAnsi="Times New Roman" w:eastAsia="方正楷体_GBK" w:cs="Times New Roman"/>
          <w:b w:val="0"/>
          <w:bCs/>
          <w:sz w:val="32"/>
          <w:szCs w:val="32"/>
          <w:shd w:val="clear" w:color="auto" w:fill="FFFFFF"/>
          <w:lang w:val="en-US" w:eastAsia="zh-CN" w:bidi="ar-SA"/>
        </w:rPr>
      </w:pPr>
      <w:r>
        <w:rPr>
          <w:rStyle w:val="9"/>
          <w:rFonts w:hint="default" w:ascii="Times New Roman" w:hAnsi="Times New Roman" w:eastAsia="方正楷体_GBK" w:cs="Times New Roman"/>
          <w:b w:val="0"/>
          <w:bCs/>
          <w:sz w:val="32"/>
          <w:szCs w:val="32"/>
          <w:shd w:val="clear" w:color="auto" w:fill="FFFFFF"/>
          <w:lang w:val="en-US" w:eastAsia="zh-CN" w:bidi="ar-SA"/>
        </w:rPr>
        <w:t>（三）财政绩效评价情况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9"/>
          <w:rFonts w:hint="default" w:ascii="Times New Roman" w:hAnsi="Times New Roman" w:eastAsia="方正黑体_GBK" w:cs="Times New Roman"/>
          <w:b w:val="0"/>
          <w:bCs/>
          <w:sz w:val="32"/>
          <w:szCs w:val="32"/>
          <w:shd w:val="clear" w:color="auto" w:fill="FFFFFF"/>
        </w:rPr>
      </w:pPr>
      <w:r>
        <w:rPr>
          <w:rFonts w:hint="default" w:ascii="Times New Roman" w:hAnsi="Times New Roman" w:eastAsia="方正仿宋_GBK" w:cs="Times New Roman"/>
          <w:sz w:val="32"/>
          <w:szCs w:val="32"/>
          <w:shd w:val="clear" w:color="auto" w:fill="FFFFFF"/>
        </w:rPr>
        <w:t>县财政局未委托第三方对本部门开展绩效评价。</w:t>
      </w: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六、专业名词解释</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Style w:val="9"/>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594" w:lineRule="exact"/>
        <w:ind w:firstLine="640" w:firstLineChars="200"/>
        <w:textAlignment w:val="auto"/>
        <w:rPr>
          <w:rStyle w:val="9"/>
          <w:rFonts w:hint="default" w:ascii="Times New Roman" w:hAnsi="Times New Roman" w:eastAsia="方正黑体_GBK" w:cs="Times New Roman"/>
          <w:b w:val="0"/>
          <w:bCs/>
          <w:sz w:val="32"/>
          <w:szCs w:val="32"/>
          <w:shd w:val="clear" w:color="auto" w:fill="FFFFFF"/>
        </w:rPr>
      </w:pPr>
      <w:r>
        <w:rPr>
          <w:rStyle w:val="9"/>
          <w:rFonts w:hint="default" w:ascii="Times New Roman" w:hAnsi="Times New Roman" w:eastAsia="方正黑体_GBK" w:cs="Times New Roman"/>
          <w:b w:val="0"/>
          <w:bCs/>
          <w:sz w:val="32"/>
          <w:szCs w:val="32"/>
          <w:shd w:val="clear" w:color="auto" w:fill="FFFFFF"/>
        </w:rPr>
        <w:t>七、决算公开联系方式及信息反馈渠道</w:t>
      </w:r>
    </w:p>
    <w:p>
      <w:pPr>
        <w:pStyle w:val="5"/>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本单位决算公开信息反馈和联系方式：程老师023-74603987</w:t>
      </w:r>
    </w:p>
    <w:p>
      <w:pPr>
        <w:pStyle w:val="10"/>
        <w:keepNext w:val="0"/>
        <w:keepLines w:val="0"/>
        <w:pageBreakBefore w:val="0"/>
        <w:widowControl/>
        <w:kinsoku/>
        <w:wordWrap/>
        <w:overflowPunct/>
        <w:topLinePunct w:val="0"/>
        <w:autoSpaceDE w:val="0"/>
        <w:autoSpaceDN/>
        <w:bidi w:val="0"/>
        <w:adjustRightInd/>
        <w:spacing w:beforeAutospacing="0" w:afterAutospacing="0" w:line="594" w:lineRule="exact"/>
        <w:ind w:firstLine="643" w:firstLineChars="200"/>
        <w:textAlignment w:val="auto"/>
        <w:rPr>
          <w:rStyle w:val="9"/>
          <w:rFonts w:hint="default" w:ascii="Times New Roman" w:hAnsi="Times New Roman" w:eastAsia="方正仿宋_GBK" w:cs="Times New Roman"/>
          <w:sz w:val="32"/>
          <w:szCs w:val="32"/>
          <w:shd w:val="clear" w:color="auto" w:fill="FFFF00"/>
        </w:rPr>
        <w:sectPr>
          <w:footerReference r:id="rId3" w:type="default"/>
          <w:pgSz w:w="11915" w:h="16840"/>
          <w:pgMar w:top="1984" w:right="1446" w:bottom="1644" w:left="1446" w:header="851" w:footer="992" w:gutter="0"/>
          <w:pgNumType w:fmt="numberInDash"/>
          <w:cols w:space="0" w:num="1"/>
          <w:rtlGutter w:val="0"/>
          <w:docGrid w:type="lines" w:linePitch="330" w:charSpace="0"/>
        </w:sectPr>
      </w:pPr>
    </w:p>
    <w:p>
      <w:pPr>
        <w:rPr>
          <w:rFonts w:hint="default" w:ascii="Times New Roman" w:hAnsi="Times New Roman" w:cs="Times New Roman"/>
          <w:sz w:val="21"/>
          <w:szCs w:val="21"/>
        </w:rPr>
      </w:pPr>
    </w:p>
    <w:tbl>
      <w:tblPr>
        <w:tblStyle w:val="6"/>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tblPrEx>
          <w:shd w:val="clear" w:color="auto" w:fill="auto"/>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Times New Roman" w:hAnsi="Times New Roman" w:cs="Times New Roman"/>
                <w:color w:val="000000"/>
              </w:rPr>
            </w:pPr>
            <w:r>
              <w:rPr>
                <w:rFonts w:hint="default" w:ascii="Times New Roman" w:hAnsi="Times New Roman" w:cs="Times New Roman"/>
              </w:rPr>
              <w:t>公开部门：中国共产党垫江县委员会组织部</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rPr>
              <w:t>功能分类科目</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1,509.21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1,250.47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0.92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191.99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0"/>
                <w:szCs w:val="20"/>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32.08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0"/>
                <w:szCs w:val="20"/>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0"/>
                <w:szCs w:val="20"/>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0"/>
                <w:szCs w:val="20"/>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35.59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1,509.21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1,511.04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1.83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1,511.04 </w:t>
            </w:r>
          </w:p>
        </w:tc>
        <w:tc>
          <w:tcPr>
            <w:tcW w:w="7536"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1,511.04 </w:t>
            </w:r>
          </w:p>
        </w:tc>
      </w:tr>
    </w:tbl>
    <w:p>
      <w:pPr>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备注：1.本表反映部门本年度的总收支和年末结转结余情况。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pPr>
        <w:rPr>
          <w:rFonts w:hint="default" w:ascii="Times New Roman" w:hAnsi="Times New Roman" w:cs="Times New Roman"/>
          <w:sz w:val="21"/>
          <w:szCs w:val="21"/>
          <w:lang w:bidi="ar"/>
        </w:rPr>
      </w:pPr>
    </w:p>
    <w:tbl>
      <w:tblPr>
        <w:tblStyle w:val="6"/>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shd w:val="clear" w:color="auto" w:fill="auto"/>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r>
              <w:rPr>
                <w:rFonts w:hint="default" w:ascii="Times New Roman" w:hAnsi="Times New Roman" w:cs="Times New Roman"/>
              </w:rPr>
              <w:t>公开部门：中国共产党垫江县委员会组织部</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1,509.21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1,509.21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1,248.64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1,248.64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1,248.64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1,248.64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434.20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434.20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588.20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588.20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2013250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207.12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207.12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其他组织事务支出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19.13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19.13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191.99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191.99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148.52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148.52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56.02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56.02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28.01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28.01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64.49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64.49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43.47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43.47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43.47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43.47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32.08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32.08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32.08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32.08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24.36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24.36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7.72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7.72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35.59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35.59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35.59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35.59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35.59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35.59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bl>
    <w:p>
      <w:pPr>
        <w:ind w:left="630" w:hanging="630" w:hangingChars="300"/>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备注：1.本表反映部门本年度取得的各项收入情况。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br w:type="textWrapping"/>
      </w:r>
    </w:p>
    <w:p>
      <w:pP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pPr>
        <w:ind w:left="630" w:hanging="630" w:hangingChars="300"/>
        <w:rPr>
          <w:rFonts w:hint="default" w:ascii="Times New Roman" w:hAnsi="Times New Roman" w:cs="Times New Roman"/>
          <w:sz w:val="21"/>
          <w:szCs w:val="21"/>
          <w:lang w:bidi="ar"/>
        </w:rPr>
      </w:pPr>
    </w:p>
    <w:tbl>
      <w:tblPr>
        <w:tblStyle w:val="6"/>
        <w:tblW w:w="22180" w:type="dxa"/>
        <w:jc w:val="center"/>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shd w:val="clear" w:color="auto" w:fill="auto"/>
          <w:tblCellMar>
            <w:top w:w="0" w:type="dxa"/>
            <w:left w:w="0" w:type="dxa"/>
            <w:bottom w:w="0" w:type="dxa"/>
            <w:right w:w="0" w:type="dxa"/>
          </w:tblCellMar>
        </w:tblPrEx>
        <w:trPr>
          <w:trHeight w:val="654" w:hRule="atLeast"/>
          <w:jc w:val="center"/>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支出决算表</w:t>
            </w:r>
          </w:p>
        </w:tc>
      </w:tr>
      <w:tr>
        <w:tblPrEx>
          <w:tblCellMar>
            <w:top w:w="0" w:type="dxa"/>
            <w:left w:w="0" w:type="dxa"/>
            <w:bottom w:w="0" w:type="dxa"/>
            <w:right w:w="0" w:type="dxa"/>
          </w:tblCellMar>
        </w:tblPrEx>
        <w:trPr>
          <w:trHeight w:val="342" w:hRule="atLeast"/>
          <w:jc w:val="center"/>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w:t>
            </w:r>
            <w:r>
              <w:rPr>
                <w:rFonts w:hint="default" w:ascii="Times New Roman" w:hAnsi="Times New Roman" w:cs="Times New Roman"/>
                <w:color w:val="000000"/>
              </w:rPr>
              <w:t>中国共产党垫江县委员会组织部</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公开03表</w:t>
            </w:r>
          </w:p>
        </w:tc>
      </w:tr>
      <w:tr>
        <w:tblPrEx>
          <w:tblCellMar>
            <w:top w:w="0" w:type="dxa"/>
            <w:left w:w="0" w:type="dxa"/>
            <w:bottom w:w="0" w:type="dxa"/>
            <w:right w:w="0" w:type="dxa"/>
          </w:tblCellMar>
        </w:tblPrEx>
        <w:trPr>
          <w:trHeight w:val="342" w:hRule="atLeast"/>
          <w:jc w:val="center"/>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362" w:hRule="atLeast"/>
          <w:jc w:val="center"/>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对附属单位补助支出</w:t>
            </w:r>
          </w:p>
        </w:tc>
      </w:tr>
      <w:tr>
        <w:tblPrEx>
          <w:tblCellMar>
            <w:top w:w="0" w:type="dxa"/>
            <w:left w:w="0" w:type="dxa"/>
            <w:bottom w:w="0" w:type="dxa"/>
            <w:right w:w="0" w:type="dxa"/>
          </w:tblCellMar>
        </w:tblPrEx>
        <w:trPr>
          <w:trHeight w:val="338" w:hRule="atLeast"/>
          <w:jc w:val="center"/>
        </w:trPr>
        <w:tc>
          <w:tcPr>
            <w:tcW w:w="208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8" w:hRule="atLeast"/>
          <w:jc w:val="center"/>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8" w:hRule="atLeast"/>
          <w:jc w:val="center"/>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8" w:hRule="atLeast"/>
          <w:jc w:val="center"/>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62" w:hRule="atLeast"/>
          <w:jc w:val="center"/>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1,511.04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901.99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609.05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1,250.47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641.42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609.05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1,250.47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641.42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609.05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434.30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434.30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589.93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589.93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2013250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207.12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207.12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其他组织事务支出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19.13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19.13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0.92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0.92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191.99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191.99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148.52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148.52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56.02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56.02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28.01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28.01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64.49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64.49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43.47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43.47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43.47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43.47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32.08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32.08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32.08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32.08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24.36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7.72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7.72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35.59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35.59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35.59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b/>
                <w:color w:val="000000"/>
                <w:sz w:val="21"/>
                <w:szCs w:val="21"/>
                <w:lang w:bidi="ar"/>
              </w:rPr>
              <w:t xml:space="preserve">35.59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82" w:hRule="atLeast"/>
          <w:jc w:val="center"/>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35.59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35.59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21"/>
                <w:szCs w:val="21"/>
                <w:lang w:bidi="ar"/>
              </w:rPr>
              <w:t xml:space="preserve"> </w:t>
            </w:r>
          </w:p>
        </w:tc>
      </w:tr>
    </w:tbl>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备注：1.本表反映部门本年度各项支出情况。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w:t>
      </w:r>
      <w:r>
        <w:rPr>
          <w:rFonts w:hint="eastAsia" w:ascii="Times New Roman" w:hAnsi="Times New Roman" w:cs="Times New Roman"/>
          <w:sz w:val="21"/>
          <w:szCs w:val="21"/>
          <w:lang w:val="en-US" w:eastAsia="zh-CN" w:bidi="ar"/>
        </w:rPr>
        <w:t xml:space="preserve">    </w:t>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sz w:val="21"/>
          <w:szCs w:val="21"/>
          <w:lang w:bidi="ar"/>
        </w:rPr>
      </w:pPr>
      <w:r>
        <w:rPr>
          <w:rFonts w:hint="default" w:ascii="Times New Roman" w:hAnsi="Times New Roman" w:cs="Times New Roman"/>
          <w:sz w:val="21"/>
          <w:szCs w:val="21"/>
          <w:lang w:bidi="ar"/>
        </w:rPr>
        <w:br w:type="page"/>
      </w:r>
    </w:p>
    <w:p>
      <w:pPr>
        <w:rPr>
          <w:rFonts w:hint="default" w:ascii="Times New Roman" w:hAnsi="Times New Roman" w:cs="Times New Roman"/>
          <w:sz w:val="21"/>
          <w:szCs w:val="21"/>
          <w:lang w:bidi="ar"/>
        </w:rPr>
      </w:pPr>
    </w:p>
    <w:tbl>
      <w:tblPr>
        <w:tblStyle w:val="6"/>
        <w:tblW w:w="22360" w:type="dxa"/>
        <w:jc w:val="center"/>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tblPrEx>
          <w:shd w:val="clear" w:color="auto" w:fill="auto"/>
          <w:tblCellMar>
            <w:top w:w="0" w:type="dxa"/>
            <w:left w:w="0" w:type="dxa"/>
            <w:bottom w:w="0" w:type="dxa"/>
            <w:right w:w="0" w:type="dxa"/>
          </w:tblCellMar>
        </w:tblPrEx>
        <w:trPr>
          <w:trHeight w:val="90" w:hRule="atLeast"/>
          <w:jc w:val="center"/>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jc w:val="center"/>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w:t>
            </w:r>
            <w:r>
              <w:rPr>
                <w:rFonts w:hint="default" w:ascii="Times New Roman" w:hAnsi="Times New Roman" w:cs="Times New Roman"/>
                <w:color w:val="000000"/>
              </w:rPr>
              <w:t>中国共产党垫江县委员会组织部</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公开04表</w:t>
            </w:r>
          </w:p>
        </w:tc>
      </w:tr>
      <w:tr>
        <w:tblPrEx>
          <w:tblCellMar>
            <w:top w:w="0" w:type="dxa"/>
            <w:left w:w="0" w:type="dxa"/>
            <w:bottom w:w="0" w:type="dxa"/>
            <w:right w:w="0" w:type="dxa"/>
          </w:tblCellMar>
        </w:tblPrEx>
        <w:trPr>
          <w:trHeight w:val="90" w:hRule="atLeast"/>
          <w:jc w:val="center"/>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90" w:hRule="atLeast"/>
          <w:jc w:val="center"/>
        </w:trPr>
        <w:tc>
          <w:tcPr>
            <w:tcW w:w="67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支     出</w:t>
            </w:r>
          </w:p>
        </w:tc>
      </w:tr>
      <w:tr>
        <w:tblPrEx>
          <w:tblCellMar>
            <w:top w:w="0" w:type="dxa"/>
            <w:left w:w="0" w:type="dxa"/>
            <w:bottom w:w="0" w:type="dxa"/>
            <w:right w:w="0" w:type="dxa"/>
          </w:tblCellMar>
        </w:tblPrEx>
        <w:trPr>
          <w:trHeight w:val="90" w:hRule="atLeast"/>
          <w:jc w:val="center"/>
        </w:trPr>
        <w:tc>
          <w:tcPr>
            <w:tcW w:w="4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tblPrEx>
          <w:tblCellMar>
            <w:top w:w="0" w:type="dxa"/>
            <w:left w:w="0" w:type="dxa"/>
            <w:bottom w:w="0" w:type="dxa"/>
            <w:right w:w="0" w:type="dxa"/>
          </w:tblCellMar>
        </w:tblPrEx>
        <w:trPr>
          <w:trHeight w:val="90" w:hRule="atLeast"/>
          <w:jc w:val="center"/>
        </w:trPr>
        <w:tc>
          <w:tcPr>
            <w:tcW w:w="4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7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1,509.21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1,250.47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1,250.47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0.92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0.92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191.99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191.99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32.08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32.08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35.59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35.59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1,509.21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1,511.04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1,511.04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1.83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1.83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90" w:hRule="atLeast"/>
          <w:jc w:val="center"/>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1,511.04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1,511.04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1,511.04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bl>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w:t>
      </w:r>
      <w:r>
        <w:rPr>
          <w:rFonts w:hint="eastAsia" w:ascii="Times New Roman" w:hAnsi="Times New Roman" w:cs="Times New Roman"/>
          <w:sz w:val="21"/>
          <w:szCs w:val="21"/>
          <w:lang w:val="en-US" w:eastAsia="zh-CN" w:bidi="ar"/>
        </w:rPr>
        <w:t xml:space="preserve">  </w:t>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6"/>
        <w:tblW w:w="22300" w:type="dxa"/>
        <w:jc w:val="center"/>
        <w:shd w:val="clear" w:color="auto" w:fill="auto"/>
        <w:tblLayout w:type="fixed"/>
        <w:tblCellMar>
          <w:top w:w="0" w:type="dxa"/>
          <w:left w:w="0" w:type="dxa"/>
          <w:bottom w:w="0" w:type="dxa"/>
          <w:right w:w="0" w:type="dxa"/>
        </w:tblCellMar>
      </w:tblPr>
      <w:tblGrid>
        <w:gridCol w:w="2694"/>
        <w:gridCol w:w="5151"/>
        <w:gridCol w:w="4817"/>
        <w:gridCol w:w="4817"/>
        <w:gridCol w:w="4821"/>
      </w:tblGrid>
      <w:tr>
        <w:tblPrEx>
          <w:shd w:val="clear" w:color="auto" w:fill="auto"/>
          <w:tblCellMar>
            <w:top w:w="0" w:type="dxa"/>
            <w:left w:w="0" w:type="dxa"/>
            <w:bottom w:w="0" w:type="dxa"/>
            <w:right w:w="0" w:type="dxa"/>
          </w:tblCellMar>
        </w:tblPrEx>
        <w:trPr>
          <w:trHeight w:val="510" w:hRule="atLeast"/>
          <w:jc w:val="center"/>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jc w:val="center"/>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中国共产党垫江县委员会组织部</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公开05表</w:t>
            </w:r>
          </w:p>
        </w:tc>
      </w:tr>
      <w:tr>
        <w:tblPrEx>
          <w:tblCellMar>
            <w:top w:w="0" w:type="dxa"/>
            <w:left w:w="0" w:type="dxa"/>
            <w:bottom w:w="0" w:type="dxa"/>
            <w:right w:w="0" w:type="dxa"/>
          </w:tblCellMar>
        </w:tblPrEx>
        <w:trPr>
          <w:trHeight w:val="285" w:hRule="atLeast"/>
          <w:jc w:val="center"/>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308" w:hRule="atLeast"/>
          <w:jc w:val="center"/>
        </w:trPr>
        <w:tc>
          <w:tcPr>
            <w:tcW w:w="7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r>
      <w:tr>
        <w:tblPrEx>
          <w:tblCellMar>
            <w:top w:w="0" w:type="dxa"/>
            <w:left w:w="0" w:type="dxa"/>
            <w:bottom w:w="0" w:type="dxa"/>
            <w:right w:w="0" w:type="dxa"/>
          </w:tblCellMar>
        </w:tblPrEx>
        <w:trPr>
          <w:trHeight w:val="312" w:hRule="atLeast"/>
          <w:jc w:val="center"/>
        </w:trPr>
        <w:tc>
          <w:tcPr>
            <w:tcW w:w="269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r>
      <w:tr>
        <w:tblPrEx>
          <w:tblCellMar>
            <w:top w:w="0" w:type="dxa"/>
            <w:left w:w="0" w:type="dxa"/>
            <w:bottom w:w="0" w:type="dxa"/>
            <w:right w:w="0" w:type="dxa"/>
          </w:tblCellMar>
        </w:tblPrEx>
        <w:trPr>
          <w:trHeight w:val="312" w:hRule="atLeast"/>
          <w:jc w:val="center"/>
        </w:trPr>
        <w:tc>
          <w:tcPr>
            <w:tcW w:w="2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51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8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615" w:hRule="atLeast"/>
          <w:jc w:val="center"/>
        </w:trPr>
        <w:tc>
          <w:tcPr>
            <w:tcW w:w="2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51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8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08" w:hRule="atLeast"/>
          <w:jc w:val="center"/>
        </w:trPr>
        <w:tc>
          <w:tcPr>
            <w:tcW w:w="78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1,511.04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901.99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609.05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1,250.47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641.42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609.05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1,250.47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641.42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609.05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434.30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434.30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589.93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589.93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2013250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207.12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207.12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2013299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其他组织事务支出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19.13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19.13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0.92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0.92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0.92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0.92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191.99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191.99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148.52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148.52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56.02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56.02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28.01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28.01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64.49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64.49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43.47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43.47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43.47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43.47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32.08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32.08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32.08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32.08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24.36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24.36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7.72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7.72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35.59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35.59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35.59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1"/>
                <w:szCs w:val="21"/>
                <w:lang w:bidi="ar"/>
              </w:rPr>
              <w:t xml:space="preserve">35.59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jc w:val="center"/>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35.59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35.59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color w:val="000000"/>
                <w:sz w:val="21"/>
                <w:szCs w:val="21"/>
                <w:lang w:bidi="ar"/>
              </w:rPr>
              <w:t xml:space="preserve"> </w:t>
            </w:r>
          </w:p>
        </w:tc>
      </w:tr>
    </w:tbl>
    <w:p>
      <w:pPr>
        <w:ind w:firstLine="210" w:firstLineChars="100"/>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备注：1.本表反映部门本年度一般公共预算财政拨款支出情况。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w:t>
      </w:r>
      <w:r>
        <w:rPr>
          <w:rFonts w:hint="eastAsia" w:ascii="Times New Roman" w:hAnsi="Times New Roman" w:cs="Times New Roman"/>
          <w:sz w:val="21"/>
          <w:szCs w:val="21"/>
          <w:lang w:val="en-US" w:eastAsia="zh-CN" w:bidi="ar"/>
        </w:rPr>
        <w:t xml:space="preserve">  </w:t>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6"/>
        <w:tblW w:w="22280" w:type="dxa"/>
        <w:jc w:val="center"/>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shd w:val="clear" w:color="auto" w:fill="auto"/>
          <w:tblCellMar>
            <w:top w:w="0" w:type="dxa"/>
            <w:left w:w="0" w:type="dxa"/>
            <w:bottom w:w="0" w:type="dxa"/>
            <w:right w:w="0" w:type="dxa"/>
          </w:tblCellMar>
        </w:tblPrEx>
        <w:trPr>
          <w:trHeight w:val="590" w:hRule="atLeast"/>
          <w:jc w:val="center"/>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jc w:val="center"/>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中国共产党垫江县委员会组织部</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公开06表</w:t>
            </w:r>
          </w:p>
        </w:tc>
      </w:tr>
      <w:tr>
        <w:tblPrEx>
          <w:tblCellMar>
            <w:top w:w="0" w:type="dxa"/>
            <w:left w:w="0" w:type="dxa"/>
            <w:bottom w:w="0" w:type="dxa"/>
            <w:right w:w="0" w:type="dxa"/>
          </w:tblCellMar>
        </w:tblPrEx>
        <w:trPr>
          <w:trHeight w:val="302" w:hRule="atLeast"/>
          <w:jc w:val="center"/>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311" w:hRule="atLeast"/>
          <w:jc w:val="center"/>
        </w:trPr>
        <w:tc>
          <w:tcPr>
            <w:tcW w:w="76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公用经费</w:t>
            </w:r>
          </w:p>
        </w:tc>
      </w:tr>
      <w:tr>
        <w:tblPrEx>
          <w:tblCellMar>
            <w:top w:w="0" w:type="dxa"/>
            <w:left w:w="0" w:type="dxa"/>
            <w:bottom w:w="0" w:type="dxa"/>
            <w:right w:w="0" w:type="dxa"/>
          </w:tblCellMar>
        </w:tblPrEx>
        <w:trPr>
          <w:trHeight w:val="312" w:hRule="atLeast"/>
          <w:jc w:val="center"/>
        </w:trPr>
        <w:tc>
          <w:tcPr>
            <w:tcW w:w="12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金额</w:t>
            </w:r>
          </w:p>
        </w:tc>
      </w:tr>
      <w:tr>
        <w:tblPrEx>
          <w:tblCellMar>
            <w:top w:w="0" w:type="dxa"/>
            <w:left w:w="0" w:type="dxa"/>
            <w:bottom w:w="0" w:type="dxa"/>
            <w:right w:w="0" w:type="dxa"/>
          </w:tblCellMar>
        </w:tblPrEx>
        <w:trPr>
          <w:trHeight w:val="799" w:hRule="atLeast"/>
          <w:jc w:val="center"/>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34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8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3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7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4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660.51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133.51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135.66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10.12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74.23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6.49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153.04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132.47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33"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56.02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28.01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10.29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64"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32.08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33"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0.86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48.11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35.59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6.32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6.24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0.11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107.97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1.37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9.71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43.47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58.30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0.54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4.40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2.88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1.80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13.21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16.87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13.81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11" w:hRule="atLeast"/>
          <w:jc w:val="center"/>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color w:val="000000"/>
                <w:sz w:val="22"/>
                <w:szCs w:val="22"/>
              </w:rPr>
            </w:pPr>
          </w:p>
        </w:tc>
      </w:tr>
      <w:tr>
        <w:tblPrEx>
          <w:tblCellMar>
            <w:top w:w="0" w:type="dxa"/>
            <w:left w:w="0" w:type="dxa"/>
            <w:bottom w:w="0" w:type="dxa"/>
            <w:right w:w="0" w:type="dxa"/>
          </w:tblCellMar>
        </w:tblPrEx>
        <w:trPr>
          <w:trHeight w:val="321" w:hRule="atLeast"/>
          <w:jc w:val="center"/>
        </w:trPr>
        <w:tc>
          <w:tcPr>
            <w:tcW w:w="478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768.48 </w:t>
            </w:r>
          </w:p>
        </w:tc>
        <w:tc>
          <w:tcPr>
            <w:tcW w:w="1217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1"/>
                <w:szCs w:val="21"/>
                <w:lang w:bidi="ar"/>
              </w:rPr>
              <w:t xml:space="preserve">133.51 </w:t>
            </w:r>
          </w:p>
        </w:tc>
      </w:tr>
    </w:tbl>
    <w:p>
      <w:pPr>
        <w:ind w:firstLine="210" w:firstLineChars="100"/>
        <w:rPr>
          <w:rFonts w:hint="default" w:ascii="Times New Roman" w:hAnsi="Times New Roman" w:cs="Times New Roman"/>
          <w:sz w:val="21"/>
          <w:szCs w:val="21"/>
          <w:lang w:bidi="ar"/>
        </w:rPr>
        <w:sectPr>
          <w:headerReference r:id="rId4" w:type="default"/>
          <w:footerReference r:id="rId5" w:type="default"/>
          <w:pgSz w:w="23811" w:h="16838" w:orient="landscape"/>
          <w:pgMar w:top="113" w:right="454" w:bottom="567" w:left="454" w:header="0" w:footer="850" w:gutter="0"/>
          <w:pgNumType w:fmt="numberInDash"/>
          <w:cols w:space="0" w:num="1"/>
          <w:rtlGutter w:val="0"/>
          <w:docGrid w:type="lines" w:linePitch="312" w:charSpace="0"/>
        </w:sectPr>
      </w:pPr>
      <w:r>
        <w:rPr>
          <w:rFonts w:hint="default" w:ascii="Times New Roman" w:hAnsi="Times New Roman" w:cs="Times New Roman"/>
          <w:sz w:val="21"/>
          <w:szCs w:val="21"/>
          <w:lang w:bidi="ar"/>
        </w:rPr>
        <w:t>备注：1.本表反映部门本年度一般公共预算财政拨款基本支出明细情况。</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w:t>
      </w:r>
      <w:r>
        <w:rPr>
          <w:rFonts w:hint="eastAsia" w:ascii="Times New Roman" w:hAnsi="Times New Roman" w:cs="Times New Roman"/>
          <w:sz w:val="21"/>
          <w:szCs w:val="21"/>
          <w:lang w:val="en-US" w:eastAsia="zh-CN" w:bidi="ar"/>
        </w:rPr>
        <w:t xml:space="preserve">  </w:t>
      </w:r>
      <w:r>
        <w:rPr>
          <w:rFonts w:hint="default" w:ascii="Times New Roman" w:hAnsi="Times New Roman" w:cs="Times New Roman"/>
          <w:sz w:val="21"/>
          <w:szCs w:val="21"/>
          <w:lang w:bidi="ar"/>
        </w:rPr>
        <w:t xml:space="preserve"> 2.本套报表金额单位转换时可能存在尾数误差。</w:t>
      </w:r>
    </w:p>
    <w:tbl>
      <w:tblPr>
        <w:tblStyle w:val="6"/>
        <w:tblW w:w="22240" w:type="dxa"/>
        <w:jc w:val="center"/>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shd w:val="clear" w:color="auto" w:fill="auto"/>
          <w:tblCellMar>
            <w:top w:w="0" w:type="dxa"/>
            <w:left w:w="0" w:type="dxa"/>
            <w:bottom w:w="0" w:type="dxa"/>
            <w:right w:w="0" w:type="dxa"/>
          </w:tblCellMar>
        </w:tblPrEx>
        <w:trPr>
          <w:trHeight w:val="644" w:hRule="atLeast"/>
          <w:jc w:val="center"/>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44"/>
                <w:szCs w:val="44"/>
                <w:lang w:bidi="ar"/>
              </w:rPr>
            </w:pPr>
          </w:p>
          <w:p>
            <w:pPr>
              <w:jc w:val="center"/>
              <w:textAlignment w:val="bottom"/>
              <w:rPr>
                <w:rFonts w:hint="default" w:ascii="Times New Roman" w:hAnsi="Times New Roman" w:cs="Times New Roman"/>
                <w:b/>
                <w:color w:val="000000"/>
                <w:sz w:val="44"/>
                <w:szCs w:val="44"/>
                <w:lang w:bidi="ar"/>
              </w:rPr>
            </w:pPr>
          </w:p>
          <w:p>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jc w:val="center"/>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中国共产党垫江县委员会组织部</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公开07表</w:t>
            </w:r>
          </w:p>
        </w:tc>
      </w:tr>
      <w:tr>
        <w:tblPrEx>
          <w:tblCellMar>
            <w:top w:w="0" w:type="dxa"/>
            <w:left w:w="0" w:type="dxa"/>
            <w:bottom w:w="0" w:type="dxa"/>
            <w:right w:w="0" w:type="dxa"/>
          </w:tblCellMar>
        </w:tblPrEx>
        <w:trPr>
          <w:trHeight w:val="329" w:hRule="atLeast"/>
          <w:jc w:val="center"/>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339" w:hRule="atLeast"/>
          <w:jc w:val="center"/>
        </w:trPr>
        <w:tc>
          <w:tcPr>
            <w:tcW w:w="7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年末结转和结余</w:t>
            </w:r>
          </w:p>
        </w:tc>
      </w:tr>
      <w:tr>
        <w:tblPrEx>
          <w:tblCellMar>
            <w:top w:w="0" w:type="dxa"/>
            <w:left w:w="0" w:type="dxa"/>
            <w:bottom w:w="0" w:type="dxa"/>
            <w:right w:w="0" w:type="dxa"/>
          </w:tblCellMar>
        </w:tblPrEx>
        <w:trPr>
          <w:trHeight w:val="335" w:hRule="atLeast"/>
          <w:jc w:val="center"/>
        </w:trPr>
        <w:tc>
          <w:tcPr>
            <w:tcW w:w="2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5" w:hRule="atLeast"/>
          <w:jc w:val="center"/>
        </w:trPr>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645" w:hRule="atLeast"/>
          <w:jc w:val="center"/>
        </w:trPr>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5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9" w:hRule="atLeast"/>
          <w:jc w:val="center"/>
        </w:trPr>
        <w:tc>
          <w:tcPr>
            <w:tcW w:w="715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bl>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lang w:bidi="ar"/>
        </w:rPr>
        <w:t>备注：本表反映部门本年度政府性基金预算财政拨款收入支出及结转和结余情况。本部门无政府性基金收支，故本表无数据。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44"/>
                <w:szCs w:val="44"/>
                <w:lang w:bidi="ar"/>
              </w:rPr>
            </w:pPr>
          </w:p>
          <w:p>
            <w:pPr>
              <w:jc w:val="center"/>
              <w:textAlignment w:val="bottom"/>
              <w:rPr>
                <w:rFonts w:hint="default" w:ascii="Times New Roman" w:hAnsi="Times New Roman" w:cs="Times New Roman"/>
                <w:b/>
                <w:color w:val="000000"/>
                <w:sz w:val="44"/>
                <w:szCs w:val="44"/>
                <w:lang w:bidi="ar"/>
              </w:rPr>
            </w:pPr>
          </w:p>
          <w:p>
            <w:pPr>
              <w:jc w:val="center"/>
              <w:textAlignment w:val="bottom"/>
              <w:rPr>
                <w:rFonts w:hint="default" w:ascii="Times New Roman" w:hAnsi="Times New Roman" w:cs="Times New Roman"/>
                <w:b/>
                <w:color w:val="000000"/>
                <w:sz w:val="44"/>
                <w:szCs w:val="44"/>
                <w:lang w:bidi="ar"/>
              </w:rPr>
            </w:pPr>
          </w:p>
          <w:p>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 xml:space="preserve">： </w:t>
            </w:r>
            <w:r>
              <w:rPr>
                <w:rFonts w:hint="default" w:ascii="Times New Roman" w:hAnsi="Times New Roman" w:cs="Times New Roman"/>
                <w:color w:val="000000"/>
              </w:rPr>
              <w:t>中国共产党垫江县委员会组织部</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cs="Times New Roman"/>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2"/>
                <w:szCs w:val="22"/>
              </w:rPr>
            </w:pPr>
            <w:r>
              <w:rPr>
                <w:rFonts w:hint="default" w:ascii="Times New Roman" w:hAnsi="Times New Roman" w:cs="Times New Roman"/>
                <w:b/>
                <w:bCs/>
                <w:color w:val="000000"/>
                <w:sz w:val="21"/>
                <w:szCs w:val="21"/>
                <w:lang w:bidi="ar"/>
              </w:rPr>
              <w:t xml:space="preserve"> </w:t>
            </w:r>
          </w:p>
        </w:tc>
      </w:tr>
    </w:tbl>
    <w:p>
      <w:pPr>
        <w:rPr>
          <w:rFonts w:hint="default" w:ascii="Times New Roman" w:hAnsi="Times New Roman" w:cs="Times New Roman"/>
          <w:sz w:val="21"/>
          <w:szCs w:val="21"/>
          <w:lang w:bidi="ar"/>
        </w:rPr>
      </w:pPr>
      <w:r>
        <w:rPr>
          <w:rFonts w:hint="default" w:ascii="Times New Roman" w:hAnsi="Times New Roman" w:cs="Times New Roman"/>
          <w:sz w:val="21"/>
          <w:szCs w:val="21"/>
          <w:lang w:bidi="ar"/>
        </w:rPr>
        <w:t>备注：本表反映部门本年度国有资本经营预算财政拨款支出情况。本部门无国有资本经营收支，故本表无数据。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44"/>
                <w:szCs w:val="44"/>
                <w:lang w:bidi="ar"/>
              </w:rPr>
            </w:pPr>
          </w:p>
          <w:p>
            <w:pPr>
              <w:jc w:val="center"/>
              <w:textAlignment w:val="bottom"/>
              <w:rPr>
                <w:rFonts w:hint="default" w:ascii="Times New Roman" w:hAnsi="Times New Roman" w:cs="Times New Roman"/>
                <w:b/>
                <w:color w:val="000000"/>
                <w:sz w:val="44"/>
                <w:szCs w:val="44"/>
                <w:lang w:bidi="ar"/>
              </w:rPr>
            </w:pPr>
          </w:p>
          <w:p>
            <w:pPr>
              <w:jc w:val="center"/>
              <w:textAlignment w:val="bottom"/>
              <w:rPr>
                <w:rFonts w:hint="default" w:ascii="Times New Roman" w:hAnsi="Times New Roman" w:cs="Times New Roman"/>
                <w:b/>
                <w:color w:val="000000"/>
                <w:sz w:val="40"/>
                <w:szCs w:val="40"/>
              </w:rPr>
            </w:pPr>
            <w:r>
              <w:rPr>
                <w:rFonts w:hint="default" w:ascii="Times New Roman" w:hAnsi="Times New Roman" w:cs="Times New Roman"/>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Times New Roman" w:hAnsi="Times New Roman" w:cs="Times New Roman"/>
                <w:color w:val="000000"/>
                <w:sz w:val="22"/>
                <w:szCs w:val="22"/>
              </w:rPr>
            </w:pPr>
            <w:r>
              <w:rPr>
                <w:rFonts w:hint="default" w:ascii="Times New Roman" w:hAnsi="Times New Roman" w:cs="Times New Roman" w:eastAsiaTheme="minorEastAsia"/>
              </w:rPr>
              <w:t>公开部门</w:t>
            </w:r>
            <w:r>
              <w:rPr>
                <w:rFonts w:hint="default" w:ascii="Times New Roman" w:hAnsi="Times New Roman" w:cs="Times New Roman" w:eastAsiaTheme="minorEastAsia"/>
                <w:color w:val="000000"/>
                <w:lang w:bidi="ar"/>
              </w:rPr>
              <w:t>：</w:t>
            </w:r>
            <w:r>
              <w:rPr>
                <w:rFonts w:hint="default" w:ascii="Times New Roman" w:hAnsi="Times New Roman" w:cs="Times New Roman"/>
                <w:color w:val="000000"/>
              </w:rPr>
              <w:t>中国共产党垫江县委员会组织部</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Times New Roman" w:hAnsi="Times New Roman" w:cs="Times New Roman"/>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rPr>
            </w:pPr>
            <w:r>
              <w:rPr>
                <w:rFonts w:hint="default" w:ascii="Times New Roman" w:hAnsi="Times New Roman" w:cs="Times New Roman"/>
                <w:color w:val="000000"/>
                <w:lang w:bidi="ar"/>
              </w:rPr>
              <w:t>单位：</w:t>
            </w:r>
            <w:r>
              <w:rPr>
                <w:rFonts w:hint="default" w:ascii="Times New Roman" w:hAnsi="Times New Roman" w:cs="Times New Roman"/>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预算数</w:t>
            </w:r>
          </w:p>
        </w:tc>
        <w:tc>
          <w:tcPr>
            <w:tcW w:w="3281"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项  目</w:t>
            </w:r>
          </w:p>
        </w:tc>
        <w:tc>
          <w:tcPr>
            <w:tcW w:w="3325"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b/>
                <w:color w:val="000000"/>
                <w:sz w:val="22"/>
                <w:szCs w:val="22"/>
              </w:rPr>
            </w:pPr>
            <w:r>
              <w:rPr>
                <w:rFonts w:hint="default" w:ascii="Times New Roman" w:hAnsi="Times New Roman" w:cs="Times New Roman"/>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106.63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22.92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22.92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106.63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13.21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13.21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13.21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13.21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9.71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9.71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9.71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2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155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1,520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14.61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1"/>
                <w:szCs w:val="21"/>
                <w:lang w:bidi="ar"/>
              </w:rPr>
              <w:t xml:space="preserve">26.17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Times New Roman" w:hAnsi="Times New Roman" w:cs="Times New Roman"/>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Times New Roman" w:hAnsi="Times New Roman" w:cs="Times New Roman"/>
                <w:color w:val="000000"/>
                <w:sz w:val="20"/>
                <w:szCs w:val="20"/>
              </w:rPr>
            </w:pPr>
          </w:p>
        </w:tc>
      </w:tr>
    </w:tbl>
    <w:p>
      <w:pPr>
        <w:rPr>
          <w:rFonts w:hint="default" w:ascii="Times New Roman" w:hAnsi="Times New Roman" w:cs="Times New Roman"/>
          <w:sz w:val="21"/>
          <w:szCs w:val="21"/>
        </w:rPr>
      </w:pPr>
      <w:r>
        <w:rPr>
          <w:rFonts w:hint="default" w:ascii="Times New Roman" w:hAnsi="Times New Roman" w:cs="Times New Roman"/>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lang w:bidi="ar"/>
        </w:rPr>
        <w:t xml:space="preserve">      2.本套报表金额单位转换时可能存在尾数误差。</w:t>
      </w:r>
      <w:r>
        <w:rPr>
          <w:rFonts w:hint="default" w:ascii="Times New Roman" w:hAnsi="Times New Roman" w:cs="Times New Roman"/>
          <w:sz w:val="21"/>
          <w:szCs w:val="21"/>
          <w:lang w:bidi="ar"/>
        </w:rPr>
        <w:br w:type="textWrapping"/>
      </w:r>
      <w:r>
        <w:rPr>
          <w:rFonts w:hint="default" w:ascii="Times New Roman" w:hAnsi="Times New Roman" w:cs="Times New Roman"/>
          <w:sz w:val="21"/>
          <w:szCs w:val="21"/>
        </w:rPr>
        <w:br w:type="textWrapping"/>
      </w:r>
    </w:p>
    <w:p>
      <w:pPr>
        <w:rPr>
          <w:rFonts w:hint="default" w:ascii="Times New Roman" w:hAnsi="Times New Roman" w:cs="Times New Roman"/>
          <w:color w:val="000000"/>
          <w:sz w:val="21"/>
          <w:szCs w:val="21"/>
          <w:lang w:bidi="ar"/>
        </w:rPr>
      </w:pPr>
    </w:p>
    <w:p>
      <w:pPr>
        <w:rPr>
          <w:rFonts w:hint="default" w:ascii="Times New Roman" w:hAnsi="Times New Roman" w:cs="Times New Roman"/>
          <w:color w:val="000000"/>
          <w:sz w:val="21"/>
          <w:szCs w:val="21"/>
          <w:lang w:bidi="ar"/>
        </w:rPr>
      </w:pPr>
    </w:p>
    <w:p>
      <w:pPr>
        <w:rPr>
          <w:rFonts w:hint="default" w:ascii="Times New Roman" w:hAnsi="Times New Roman" w:cs="Times New Roman"/>
          <w:color w:val="000000"/>
          <w:sz w:val="21"/>
          <w:szCs w:val="21"/>
          <w:lang w:bidi="ar"/>
        </w:rPr>
      </w:pPr>
    </w:p>
    <w:p>
      <w:pPr>
        <w:rPr>
          <w:rFonts w:hint="default" w:ascii="Times New Roman" w:hAnsi="Times New Roman" w:cs="Times New Roman"/>
          <w:color w:val="000000"/>
          <w:sz w:val="21"/>
          <w:szCs w:val="21"/>
          <w:lang w:bidi="ar"/>
        </w:rPr>
      </w:pPr>
    </w:p>
    <w:p>
      <w:pPr>
        <w:rPr>
          <w:rFonts w:hint="default" w:ascii="Times New Roman" w:hAnsi="Times New Roman" w:cs="Times New Roman"/>
          <w:color w:val="000000"/>
          <w:sz w:val="21"/>
          <w:szCs w:val="21"/>
          <w:lang w:bidi="ar"/>
        </w:rPr>
      </w:pPr>
    </w:p>
    <w:p>
      <w:pPr>
        <w:rPr>
          <w:rFonts w:hint="default" w:ascii="Times New Roman" w:hAnsi="Times New Roman" w:cs="Times New Roman"/>
          <w:color w:val="000000"/>
          <w:sz w:val="21"/>
          <w:szCs w:val="21"/>
          <w:lang w:bidi="ar"/>
        </w:rPr>
      </w:pPr>
    </w:p>
    <w:p>
      <w:pPr>
        <w:rPr>
          <w:rFonts w:hint="default" w:ascii="Times New Roman" w:hAnsi="Times New Roman" w:cs="Times New Roman"/>
          <w:color w:val="000000"/>
          <w:sz w:val="21"/>
          <w:szCs w:val="21"/>
          <w:lang w:bidi="ar"/>
        </w:rPr>
      </w:pPr>
    </w:p>
    <w:p>
      <w:pPr>
        <w:rPr>
          <w:rFonts w:hint="default" w:ascii="Times New Roman" w:hAnsi="Times New Roman" w:cs="Times New Roman"/>
          <w:color w:val="000000"/>
          <w:sz w:val="21"/>
          <w:szCs w:val="21"/>
          <w:lang w:bidi="ar"/>
        </w:rPr>
      </w:pPr>
    </w:p>
    <w:p>
      <w:pPr>
        <w:rPr>
          <w:rFonts w:hint="default" w:ascii="Times New Roman" w:hAnsi="Times New Roman" w:cs="Times New Roman"/>
          <w:color w:val="000000"/>
          <w:sz w:val="21"/>
          <w:szCs w:val="21"/>
          <w:lang w:bidi="ar"/>
        </w:rPr>
      </w:pPr>
    </w:p>
    <w:p>
      <w:pPr>
        <w:pStyle w:val="10"/>
        <w:autoSpaceDE w:val="0"/>
        <w:ind w:firstLine="0" w:firstLineChars="0"/>
        <w:rPr>
          <w:rFonts w:hint="default" w:ascii="Times New Roman" w:hAnsi="Times New Roman" w:cs="Times New Roman"/>
          <w:sz w:val="21"/>
          <w:szCs w:val="21"/>
        </w:rPr>
      </w:pPr>
    </w:p>
    <w:sectPr>
      <w:pgSz w:w="23811" w:h="16838" w:orient="landscape"/>
      <w:pgMar w:top="113" w:right="454" w:bottom="567" w:left="454" w:header="0" w:footer="85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21 -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 xml:space="preserve"> 21 -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ocumentProtection w:enforcement="0"/>
  <w:defaultTabStop w:val="420"/>
  <w:drawingGridVerticalSpacing w:val="165"/>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YzUwMmJmYzg0ODI5OTBlNWQzM2EzM2RiMDI2MWMifQ=="/>
  </w:docVars>
  <w:rsids>
    <w:rsidRoot w:val="00B03CCD"/>
    <w:rsid w:val="002E0718"/>
    <w:rsid w:val="002E5443"/>
    <w:rsid w:val="00550ABE"/>
    <w:rsid w:val="006E3929"/>
    <w:rsid w:val="007B419D"/>
    <w:rsid w:val="009B67B8"/>
    <w:rsid w:val="00B03CCD"/>
    <w:rsid w:val="00E277C9"/>
    <w:rsid w:val="00E76362"/>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99596E"/>
    <w:rsid w:val="12C921C4"/>
    <w:rsid w:val="13871C70"/>
    <w:rsid w:val="13A71CB4"/>
    <w:rsid w:val="13AF1D43"/>
    <w:rsid w:val="13CE1647"/>
    <w:rsid w:val="13EB0073"/>
    <w:rsid w:val="13FD55AB"/>
    <w:rsid w:val="14200702"/>
    <w:rsid w:val="163A6CEE"/>
    <w:rsid w:val="170E2B23"/>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31B417D"/>
    <w:rsid w:val="24B92327"/>
    <w:rsid w:val="24C14514"/>
    <w:rsid w:val="2533755C"/>
    <w:rsid w:val="25791755"/>
    <w:rsid w:val="26396DF4"/>
    <w:rsid w:val="27167136"/>
    <w:rsid w:val="27B23302"/>
    <w:rsid w:val="29310A5F"/>
    <w:rsid w:val="29C37A35"/>
    <w:rsid w:val="2A076083"/>
    <w:rsid w:val="2A0B6CFA"/>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1FF74B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BF8453E"/>
    <w:rsid w:val="4DAC4ACA"/>
    <w:rsid w:val="4DBE01D2"/>
    <w:rsid w:val="4F0C6BA3"/>
    <w:rsid w:val="4F186D58"/>
    <w:rsid w:val="4F7F219B"/>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67FD2"/>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4704CE"/>
    <w:rsid w:val="6EFD1324"/>
    <w:rsid w:val="6F5A53AC"/>
    <w:rsid w:val="6FAC003D"/>
    <w:rsid w:val="6FE55E12"/>
    <w:rsid w:val="6FFB2E76"/>
    <w:rsid w:val="708F6F7F"/>
    <w:rsid w:val="70D44710"/>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2C0419"/>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10931</Words>
  <Characters>13208</Characters>
  <Lines>116</Lines>
  <Paragraphs>32</Paragraphs>
  <TotalTime>89</TotalTime>
  <ScaleCrop>false</ScaleCrop>
  <LinksUpToDate>false</LinksUpToDate>
  <CharactersWithSpaces>14379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cp:lastPrinted>2024-09-12T03:27:00Z</cp:lastPrinted>
  <dcterms:modified xsi:type="dcterms:W3CDTF">2024-09-12T08:25:31Z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