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垫江县归侨侨眷联合会</w:t>
      </w:r>
      <w:r>
        <w:rPr>
          <w:rFonts w:ascii="方正小标宋_GBK" w:hAnsi="方正小标宋_GBK" w:eastAsia="方正小标宋_GBK" w:cs="方正小标宋_GBK"/>
          <w:sz w:val="36"/>
          <w:szCs w:val="36"/>
          <w:shd w:val="clear" w:color="auto" w:fill="FFFFFF"/>
        </w:rPr>
        <w:t>2023年度决算公开说明</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一、单位基本情况</w:t>
      </w:r>
    </w:p>
    <w:p>
      <w:pPr>
        <w:pStyle w:val="6"/>
        <w:shd w:val="clear" w:color="auto" w:fill="FFFFFF"/>
        <w:ind w:firstLine="420"/>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（一）职能职责</w:t>
      </w:r>
    </w:p>
    <w:p>
      <w:pPr>
        <w:spacing w:line="600" w:lineRule="exact"/>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垫江县</w:t>
      </w:r>
      <w:r>
        <w:rPr>
          <w:rFonts w:ascii="方正仿宋_GBK" w:hAnsi="方正仿宋_GBK" w:eastAsia="方正仿宋_GBK" w:cs="方正仿宋_GBK"/>
          <w:b/>
          <w:sz w:val="32"/>
          <w:szCs w:val="32"/>
        </w:rPr>
        <w:t>归侨侨眷</w:t>
      </w:r>
      <w:r>
        <w:rPr>
          <w:rFonts w:ascii="方正仿宋_GBK" w:hAnsi="方正仿宋_GBK" w:eastAsia="方正仿宋_GBK" w:cs="方正仿宋_GBK"/>
          <w:sz w:val="32"/>
          <w:szCs w:val="32"/>
        </w:rPr>
        <w:t>联合会，为垫江县委领导下的群众团体，主要职能是：</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1.积极引导归侨、侨眷按照《中华全国归国华侨联合会章程》独立负责地完成各项工作任务，把广大归侨侨眷和海外侨胞的智慧和力量凝聚到振兴中华的战略上来。</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2.发挥归侨侨眷海外关系广泛、信息资源丰富的优势，协助有关部门做好引进技术和人才的工作，为全县经济建设服务。</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3.积极开展海内外联谊工作。定期搞好侨情普查，开展对新一代华侨华人及其亲属情况的调研，把党和政府的关怀送到归侨侨眷心中，充分发挥民间交流的优势，促进交流合作。</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4.依法保护归侨侨眷的合法权益、积极参政议政。学习、宣传贯彻《中华人民共和国归侨侨眷权益保护法》及其实施办法，切实保护归侨侨眷的合法权益；参与人大、政协中归侨侨眷代表、委员的推荐、协商工作，做好民主监督、参政议政工作。</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5.弘扬中华文化。广大归侨侨眷和海外侨胞是中华文化走向世界的重要使者。顺应海外侨胞的文化情结，依照有关规定开展民俗文化交流、祖地文化交流、寻根之旅、重大历史事件纪念等活动，增进对中华文化的了解和认同。</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6.保障和改善侨界民生、参与社会建设。深入了解归侨侨眷工作生活状况，推动各项保障和改善民生政策的具体落实，为困难归侨侨眷排忧解难，关心帮助侨界留守儿童、空巢老人。协调有关部门为海外华人华侨回来探亲访友、就业创业搞好服务。加强法治宣传，引导归侨侨眷学法守法用法，通过合法渠道理性表达诉求。</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7.在县委的领导下，搞好侨联组织建设。</w:t>
      </w:r>
    </w:p>
    <w:p>
      <w:pPr>
        <w:spacing w:line="594" w:lineRule="exact"/>
        <w:ind w:firstLine="63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8.完成重庆市侨联，县委、</w:t>
      </w:r>
      <w:r>
        <w:rPr>
          <w:rFonts w:hint="eastAsia" w:ascii="方正仿宋_GBK" w:hAnsi="方正仿宋_GBK" w:eastAsia="方正仿宋_GBK" w:cs="方正仿宋_GBK"/>
          <w:sz w:val="32"/>
          <w:szCs w:val="32"/>
          <w:lang w:eastAsia="zh-CN"/>
        </w:rPr>
        <w:t>县</w:t>
      </w:r>
      <w:r>
        <w:rPr>
          <w:rFonts w:ascii="方正仿宋_GBK" w:hAnsi="方正仿宋_GBK" w:eastAsia="方正仿宋_GBK" w:cs="方正仿宋_GBK"/>
          <w:sz w:val="32"/>
          <w:szCs w:val="32"/>
        </w:rPr>
        <w:t>政府交办的其他事项。</w:t>
      </w:r>
    </w:p>
    <w:p>
      <w:pPr>
        <w:pStyle w:val="6"/>
        <w:shd w:val="clear" w:color="auto" w:fill="FFFFFF"/>
        <w:ind w:firstLine="420"/>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（二）机构设置</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县侨联设办公室1个内设机构。2023年末，机关实有在职人数3人。</w:t>
      </w:r>
    </w:p>
    <w:p>
      <w:pPr>
        <w:pStyle w:val="6"/>
        <w:shd w:val="clear" w:color="auto" w:fill="FFFFFF"/>
        <w:rPr>
          <w:rFonts w:hint="default" w:ascii="黑体" w:hAnsi="黑体" w:eastAsia="黑体" w:cs="黑体"/>
          <w:sz w:val="32"/>
          <w:szCs w:val="32"/>
        </w:rPr>
      </w:pPr>
      <w:r>
        <w:rPr>
          <w:rStyle w:val="8"/>
          <w:rFonts w:ascii="黑体" w:hAnsi="黑体" w:eastAsia="黑体" w:cs="黑体"/>
          <w:sz w:val="32"/>
          <w:szCs w:val="32"/>
          <w:shd w:val="clear" w:color="auto" w:fill="FFFFFF"/>
        </w:rPr>
        <w:t>二、单位决算情况说明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2023年度收入总计89.84万元，支出总计</w:t>
      </w:r>
      <w:r>
        <w:rPr>
          <w:rFonts w:ascii="方正仿宋_GBK" w:hAnsi="方正仿宋_GBK" w:eastAsia="方正仿宋_GBK" w:cs="方正仿宋_GBK"/>
          <w:sz w:val="32"/>
          <w:szCs w:val="32"/>
        </w:rPr>
        <w:t>89.84</w:t>
      </w:r>
      <w:r>
        <w:rPr>
          <w:rFonts w:ascii="方正仿宋_GBK" w:hAnsi="方正仿宋_GBK" w:eastAsia="方正仿宋_GBK" w:cs="方正仿宋_GBK"/>
          <w:sz w:val="32"/>
          <w:szCs w:val="32"/>
          <w:shd w:val="clear" w:color="auto" w:fill="FFFFFF"/>
        </w:rPr>
        <w:t>万元。收支较上年决算数增加22.03万元，增长32.49%，主要原因是本年度从乡镇调入1人，对应的人员经费和公用经费收支都有相应增加，再加上本年度招商项目和侨属联谊活动有所增加，对应项目收支也有大幅度增长。</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88.84万元，较上年决算数增加30.72万元，增长52.86%，主要原因是本年度新调入1人，对应的人员和公用经费拨款都有相应增加，再加上本年度招商项目和侨属联谊活动有所增加，对应项目拨款也有所增加，故收入有大幅度增长。其中：财政拨款收入</w:t>
      </w:r>
      <w:r>
        <w:rPr>
          <w:rFonts w:ascii="方正仿宋_GBK" w:hAnsi="方正仿宋_GBK" w:eastAsia="方正仿宋_GBK" w:cs="方正仿宋_GBK"/>
          <w:sz w:val="32"/>
          <w:szCs w:val="32"/>
        </w:rPr>
        <w:t>88.84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89.84</w:t>
      </w:r>
      <w:r>
        <w:rPr>
          <w:rFonts w:ascii="方正仿宋_GBK" w:hAnsi="方正仿宋_GBK" w:eastAsia="方正仿宋_GBK" w:cs="方正仿宋_GBK"/>
          <w:sz w:val="32"/>
          <w:szCs w:val="32"/>
          <w:shd w:val="clear" w:color="auto" w:fill="FFFFFF"/>
        </w:rPr>
        <w:t>万元，较上年决算数增加22.03万元，增长32.49%，主要原因是本年度新调入1人，对应的人员和公用经费支出都有相应增加，再加上本年度招商项目和侨属联谊活动有所增加，对应项目支出也有所增加，故支出有大幅度增长。其中：基本支出</w:t>
      </w:r>
      <w:r>
        <w:rPr>
          <w:rFonts w:ascii="方正仿宋_GBK" w:hAnsi="方正仿宋_GBK" w:eastAsia="方正仿宋_GBK" w:cs="方正仿宋_GBK"/>
          <w:sz w:val="32"/>
          <w:szCs w:val="32"/>
        </w:rPr>
        <w:t>71.55</w:t>
      </w:r>
      <w:r>
        <w:rPr>
          <w:rFonts w:ascii="方正仿宋_GBK" w:hAnsi="方正仿宋_GBK" w:eastAsia="方正仿宋_GBK" w:cs="方正仿宋_GBK"/>
          <w:sz w:val="32"/>
          <w:szCs w:val="32"/>
          <w:shd w:val="clear" w:color="auto" w:fill="FFFFFF"/>
        </w:rPr>
        <w:t>万元，占79.65%；项目支出</w:t>
      </w:r>
      <w:r>
        <w:rPr>
          <w:rFonts w:ascii="方正仿宋_GBK" w:hAnsi="方正仿宋_GBK" w:eastAsia="方正仿宋_GBK" w:cs="方正仿宋_GBK"/>
          <w:sz w:val="32"/>
          <w:szCs w:val="32"/>
        </w:rPr>
        <w:t>18.28</w:t>
      </w:r>
      <w:r>
        <w:rPr>
          <w:rFonts w:ascii="方正仿宋_GBK" w:hAnsi="方正仿宋_GBK" w:eastAsia="方正仿宋_GBK" w:cs="方正仿宋_GBK"/>
          <w:sz w:val="32"/>
          <w:szCs w:val="32"/>
          <w:shd w:val="clear" w:color="auto" w:fill="FFFFFF"/>
        </w:rPr>
        <w:t>万元，占20.35%；经营支出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万元，较上年决算数无增减，主要原因是本年收支平衡，无财政资金外的收支，故年末无结余。</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89.84万元。与2022年相比，财政拨款收、支总计各增加22.03万元，增长32.49%。主要原因是本年度从乡镇调入1人，对应的人员经费和公用经费收支都有相应增加，再加上本年度招商项目和侨属联谊活动有所增加，对应项目收支也有大幅度增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88.84</w:t>
      </w:r>
      <w:r>
        <w:rPr>
          <w:rFonts w:ascii="方正仿宋_GBK" w:hAnsi="方正仿宋_GBK" w:eastAsia="方正仿宋_GBK" w:cs="方正仿宋_GBK"/>
          <w:sz w:val="32"/>
          <w:szCs w:val="32"/>
          <w:shd w:val="clear" w:color="auto" w:fill="FFFFFF"/>
        </w:rPr>
        <w:t>万元，较上年决算数增加30.72万元，增长52.86%。主要原因是本年度新调入1人，对应的人员和公用经费拨款都有相应增加，再加上本年度招商项目和侨属联谊活动有所增加，对应项目拨款也有所增加，故收入有大幅度增长。较年初预算数增加31.17万元，增长54.05%。主要原因是本年度实际人员、公用经费、项目经费的增长，年初无法完全预料。此外，年初财政拨款结转和结余</w:t>
      </w:r>
      <w:r>
        <w:rPr>
          <w:rFonts w:ascii="方正仿宋_GBK" w:hAnsi="方正仿宋_GBK" w:eastAsia="方正仿宋_GBK" w:cs="方正仿宋_GBK"/>
          <w:sz w:val="32"/>
          <w:szCs w:val="32"/>
        </w:rPr>
        <w:t>1.00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89.84</w:t>
      </w:r>
      <w:r>
        <w:rPr>
          <w:rFonts w:ascii="方正仿宋_GBK" w:hAnsi="方正仿宋_GBK" w:eastAsia="方正仿宋_GBK" w:cs="方正仿宋_GBK"/>
          <w:sz w:val="32"/>
          <w:szCs w:val="32"/>
          <w:shd w:val="clear" w:color="auto" w:fill="FFFFFF"/>
        </w:rPr>
        <w:t>万元，较上年决算数增加22.03万元，增长32.49%。主要原因是本年度新调入1人，对应的人员和公用经费支出都有相应增加，再加上本年度招商项目和侨属联谊活动有所增加，对应项目支出也有所增加，故支出有大幅度增长。较年初预算数增加32.17万元，增长55.78%。主要原因是本年度实际人员、公用经费、项目经费的增长，年初无法完全预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万元，较上年决算数无增减，主要原因是本年收支平衡，无财政资金外的收支，故年末无结余。</w:t>
      </w:r>
    </w:p>
    <w:p>
      <w:pPr>
        <w:pStyle w:val="6"/>
        <w:snapToGrid w:val="0"/>
        <w:spacing w:before="0" w:beforeAutospacing="0" w:after="0" w:afterAutospacing="0" w:line="600" w:lineRule="exact"/>
        <w:ind w:firstLine="321" w:firstLineChars="1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本单位2023年度一般公共预算财政拨款支出主要用于以下几个方面：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（1）一般公共服务支出</w:t>
      </w:r>
      <w:r>
        <w:rPr>
          <w:rFonts w:ascii="方正仿宋_GBK" w:hAnsi="方正仿宋_GBK" w:eastAsia="方正仿宋_GBK" w:cs="方正仿宋_GBK"/>
          <w:sz w:val="32"/>
          <w:szCs w:val="32"/>
        </w:rPr>
        <w:t>74.77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83.23</w:t>
      </w:r>
      <w:r>
        <w:rPr>
          <w:rFonts w:ascii="方正仿宋_GBK" w:hAnsi="方正仿宋_GBK" w:eastAsia="方正仿宋_GBK" w:cs="方正仿宋_GBK"/>
          <w:sz w:val="32"/>
          <w:szCs w:val="32"/>
          <w:shd w:val="clear" w:color="auto" w:fill="FFFFFF"/>
        </w:rPr>
        <w:t>%，较年初预算数增加28.02万元，增长59.94%，主要原因是本年度调入1人，对应公用经费、人工资等公共服务等预算有相应增加。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（2）教育支出</w:t>
      </w:r>
      <w:r>
        <w:rPr>
          <w:rFonts w:ascii="方正仿宋_GBK" w:hAnsi="方正仿宋_GBK" w:eastAsia="方正仿宋_GBK" w:cs="方正仿宋_GBK"/>
          <w:sz w:val="32"/>
          <w:szCs w:val="32"/>
        </w:rPr>
        <w:t>0.14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0.15</w:t>
      </w:r>
      <w:r>
        <w:rPr>
          <w:rFonts w:ascii="方正仿宋_GBK" w:hAnsi="方正仿宋_GBK" w:eastAsia="方正仿宋_GBK" w:cs="方正仿宋_GBK"/>
          <w:sz w:val="32"/>
          <w:szCs w:val="32"/>
          <w:shd w:val="clear" w:color="auto" w:fill="FFFFFF"/>
        </w:rPr>
        <w:t>%，较年初预算数无增减，主要原因是按预算开支相关费用，无资金调拨的情况。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（3）社会保障与就业支出</w:t>
      </w:r>
      <w:r>
        <w:rPr>
          <w:rFonts w:ascii="方正仿宋_GBK" w:hAnsi="方正仿宋_GBK" w:eastAsia="方正仿宋_GBK" w:cs="方正仿宋_GBK"/>
          <w:sz w:val="32"/>
          <w:szCs w:val="32"/>
        </w:rPr>
        <w:t>7.92</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8.82</w:t>
      </w:r>
      <w:r>
        <w:rPr>
          <w:rFonts w:ascii="方正仿宋_GBK" w:hAnsi="方正仿宋_GBK" w:eastAsia="方正仿宋_GBK" w:cs="方正仿宋_GBK"/>
          <w:sz w:val="32"/>
          <w:szCs w:val="32"/>
          <w:shd w:val="clear" w:color="auto" w:fill="FFFFFF"/>
        </w:rPr>
        <w:t>%，较年初预算数增加2.05万元，增长34.92%，主要是政策性原因，补缴以前年度的社保费用。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（4）卫生健康支出</w:t>
      </w:r>
      <w:r>
        <w:rPr>
          <w:rFonts w:ascii="方正仿宋_GBK" w:hAnsi="方正仿宋_GBK" w:eastAsia="方正仿宋_GBK" w:cs="方正仿宋_GBK"/>
          <w:sz w:val="32"/>
          <w:szCs w:val="32"/>
        </w:rPr>
        <w:t>2.45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2.72</w:t>
      </w:r>
      <w:r>
        <w:rPr>
          <w:rFonts w:ascii="方正仿宋_GBK" w:hAnsi="方正仿宋_GBK" w:eastAsia="方正仿宋_GBK" w:cs="方正仿宋_GBK"/>
          <w:sz w:val="32"/>
          <w:szCs w:val="32"/>
          <w:shd w:val="clear" w:color="auto" w:fill="FFFFFF"/>
        </w:rPr>
        <w:t xml:space="preserve">%，较年初预算数增加0.83万元，增长51.23%，主要是政策性原因，补缴以前年度的医保费用。  </w:t>
      </w:r>
    </w:p>
    <w:p>
      <w:pPr>
        <w:ind w:firstLine="640" w:firstLineChars="200"/>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（5）</w:t>
      </w:r>
      <w:r>
        <w:rPr>
          <w:rFonts w:ascii="方正仿宋_GBK" w:hAnsi="方正仿宋_GBK" w:eastAsia="方正仿宋_GBK" w:cs="方正仿宋_GBK"/>
          <w:sz w:val="32"/>
          <w:szCs w:val="32"/>
        </w:rPr>
        <w:t>住房保障支出4.56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5.08</w:t>
      </w:r>
      <w:r>
        <w:rPr>
          <w:rFonts w:ascii="方正仿宋_GBK" w:hAnsi="方正仿宋_GBK" w:eastAsia="方正仿宋_GBK" w:cs="方正仿宋_GBK"/>
          <w:sz w:val="32"/>
          <w:szCs w:val="32"/>
          <w:shd w:val="clear" w:color="auto" w:fill="FFFFFF"/>
        </w:rPr>
        <w:t>%，较年初预算数增加1.26万元，增长38.18%，主要原因是预算不足，本单位按全口径缴纳公积金，相应支出增幅较大。</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71.55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57.96</w:t>
      </w:r>
      <w:r>
        <w:rPr>
          <w:rFonts w:ascii="方正仿宋_GBK" w:hAnsi="方正仿宋_GBK" w:eastAsia="方正仿宋_GBK" w:cs="方正仿宋_GBK"/>
          <w:sz w:val="32"/>
          <w:szCs w:val="32"/>
          <w:shd w:val="clear" w:color="auto" w:fill="FFFFFF"/>
        </w:rPr>
        <w:t>万元，较上年决算数增加17.03万元，增长41.61%，主要原因是本年度调入1人，相应的工资福利性开支有所增长，加之政策性的调资因素，人员经费较上年有所增长。人员经费用途主要包括工资、津贴、奖金、社会保险、公积金、医疗、体检等方面的费用。公用经费</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万元，较上年决算数增加4.97万元，增长57.59%，主要原因是新调入1人，对应的办公费，差旅费等公用开支会有所增加。公用经费用途主要包括办公费、差旅费、办公资产购置、福利费、工会经费、公务接待、租车、劳务费等费用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bCs/>
          <w:sz w:val="28"/>
          <w:szCs w:val="28"/>
        </w:rPr>
      </w:pPr>
      <w:r>
        <w:rPr>
          <w:rFonts w:ascii="Times New Roman" w:hAnsi="Times New Roman" w:eastAsia="方正仿宋_GBK"/>
          <w:color w:val="000000" w:themeColor="text1"/>
          <w:sz w:val="32"/>
          <w:szCs w:val="32"/>
          <w:shd w:val="clear" w:color="auto" w:fill="FFFFFF"/>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560" w:firstLineChars="200"/>
        <w:jc w:val="both"/>
        <w:rPr>
          <w:rFonts w:hint="default" w:ascii="仿宋" w:hAnsi="仿宋" w:eastAsia="仿宋" w:cs="仿宋"/>
          <w:bCs/>
          <w:color w:val="000000" w:themeColor="text1"/>
          <w:sz w:val="28"/>
          <w:szCs w:val="28"/>
        </w:rPr>
      </w:pPr>
      <w:r>
        <w:rPr>
          <w:rStyle w:val="8"/>
          <w:rFonts w:ascii="仿宋" w:hAnsi="仿宋" w:eastAsia="仿宋" w:cs="仿宋"/>
          <w:b w:val="0"/>
          <w:bCs/>
          <w:color w:val="000000" w:themeColor="text1"/>
          <w:sz w:val="28"/>
          <w:szCs w:val="28"/>
        </w:rPr>
        <w:t>本单位2023年度无国有资本经营预算财政拨款支出。</w:t>
      </w:r>
    </w:p>
    <w:p>
      <w:pPr>
        <w:pStyle w:val="6"/>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w:t>
      </w:r>
      <w:bookmarkStart w:id="0" w:name="_GoBack"/>
      <w:r>
        <w:rPr>
          <w:rStyle w:val="8"/>
          <w:rFonts w:ascii="黑体" w:hAnsi="黑体" w:eastAsia="黑体" w:cs="黑体"/>
          <w:sz w:val="32"/>
          <w:szCs w:val="32"/>
          <w:shd w:val="clear" w:color="auto" w:fill="FFFFFF"/>
        </w:rPr>
        <w:t>三公</w:t>
      </w:r>
      <w:bookmarkEnd w:id="0"/>
      <w:r>
        <w:rPr>
          <w:rStyle w:val="8"/>
          <w:rFonts w:ascii="黑体" w:hAnsi="黑体" w:eastAsia="黑体" w:cs="黑体"/>
          <w:sz w:val="32"/>
          <w:szCs w:val="32"/>
          <w:shd w:val="clear" w:color="auto" w:fill="FFFFFF"/>
        </w:rPr>
        <w:t>”经费情况说明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万元，较年初预算数增加0.45万元，增长100.00%，主要原因是年初未预算，本年度实际又发生了。较上年支出数增加0.45万元，增长100.00%，主要原因是上年度没有“三公</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pPr>
        <w:adjustRightInd w:val="0"/>
        <w:snapToGrid w:val="0"/>
        <w:spacing w:line="600" w:lineRule="exact"/>
        <w:ind w:firstLine="640" w:firstLineChars="200"/>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公务车购置费0.00万元。费用支出较年初预算数无增减，主要原因是年初预算数未安排且本年未发生公务车购置费用。较上年支出数无增减，主要原因是上年和本年均未发生公务车购置费用。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0.45</w:t>
      </w:r>
      <w:r>
        <w:rPr>
          <w:rFonts w:ascii="方正仿宋_GBK" w:hAnsi="方正仿宋_GBK" w:eastAsia="方正仿宋_GBK" w:cs="方正仿宋_GBK"/>
          <w:sz w:val="32"/>
          <w:szCs w:val="32"/>
          <w:shd w:val="clear" w:color="auto" w:fill="FFFFFF"/>
        </w:rPr>
        <w:t>万元，主要用于侨胞接待、招商引资接待等开支，费用支出较年初预算数增加0.45万元，增长100.00%，主要原因是年初未预算，本年度实际又发生了。较上年支出数增加0.45万元，增长100.00%，主要原因是上年度没有“三公</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经费开支。</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2023年度本单位因公出国（境）共计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8</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62</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人。2023年本单位人均接待费</w:t>
      </w:r>
      <w:r>
        <w:rPr>
          <w:rFonts w:ascii="方正仿宋_GBK" w:hAnsi="方正仿宋_GBK" w:eastAsia="方正仿宋_GBK" w:cs="方正仿宋_GBK"/>
          <w:sz w:val="32"/>
          <w:szCs w:val="32"/>
        </w:rPr>
        <w:t>73.35</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黑体" w:hAnsi="黑体" w:eastAsia="黑体" w:cs="黑体"/>
          <w:sz w:val="32"/>
          <w:szCs w:val="32"/>
          <w:shd w:val="clear" w:color="auto" w:fill="FFFFFF"/>
        </w:rPr>
        <w:t>四、其他需要说明的事项</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万元，较上年决算数减少2.10万元，下降100.00%，主要原因是本年度没有会议费用开支。本年度培训费支出</w:t>
      </w:r>
      <w:r>
        <w:rPr>
          <w:rFonts w:ascii="方正仿宋_GBK" w:hAnsi="方正仿宋_GBK" w:eastAsia="方正仿宋_GBK" w:cs="方正仿宋_GBK"/>
          <w:sz w:val="32"/>
          <w:szCs w:val="32"/>
        </w:rPr>
        <w:t>0.46</w:t>
      </w:r>
      <w:r>
        <w:rPr>
          <w:rFonts w:ascii="方正仿宋_GBK" w:hAnsi="方正仿宋_GBK" w:eastAsia="方正仿宋_GBK" w:cs="方正仿宋_GBK"/>
          <w:sz w:val="32"/>
          <w:szCs w:val="32"/>
          <w:shd w:val="clear" w:color="auto" w:fill="FFFFFF"/>
        </w:rPr>
        <w:t>万元，较上年决算数增加0.33万元，增长253.85%，主要原因是本年该项费用有所增加。</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2023年度本单位机关运行经费支出</w:t>
      </w:r>
      <w:r>
        <w:rPr>
          <w:rFonts w:ascii="方正仿宋_GBK" w:hAnsi="方正仿宋_GBK" w:eastAsia="方正仿宋_GBK" w:cs="方正仿宋_GBK"/>
          <w:sz w:val="32"/>
          <w:szCs w:val="32"/>
        </w:rPr>
        <w:t>13.60</w:t>
      </w:r>
      <w:r>
        <w:rPr>
          <w:rFonts w:ascii="方正仿宋_GBK" w:hAnsi="方正仿宋_GBK" w:eastAsia="方正仿宋_GBK" w:cs="方正仿宋_GBK"/>
          <w:sz w:val="32"/>
          <w:szCs w:val="32"/>
          <w:shd w:val="clear" w:color="auto" w:fill="FFFFFF"/>
        </w:rPr>
        <w:t>万元，机关运行经费主要用于开支办公费、差旅费、办公资产购置、福利费、工会经费、公务接待、租车、劳务费等费用。机关运行经费较上年支出数增加4.97万元，增长57.59%，主要原因是本年度调入1人，公务活动频次有所增加，运行经费较上年有所增长。</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截至2023年12月31日，本单位共有车辆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%。2023年度我单位未发生政府采购事项，无相关经费支出。</w:t>
      </w:r>
    </w:p>
    <w:p>
      <w:pPr>
        <w:pStyle w:val="6"/>
        <w:numPr>
          <w:ilvl w:val="0"/>
          <w:numId w:val="1"/>
        </w:numPr>
        <w:shd w:val="clear" w:color="auto" w:fill="FFFFFF"/>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预算绩效管理情况说明</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（一）单位自评情况</w:t>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根据预算绩效管理要求，我单位对5个二级项目开展了绩效自评，涉及财政拨款项目支出资金17.68万元。</w:t>
      </w:r>
    </w:p>
    <w:p>
      <w:pPr>
        <w:pStyle w:val="12"/>
        <w:autoSpaceDE w:val="0"/>
        <w:spacing w:before="0" w:beforeAutospacing="0"/>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8755" cy="4887595"/>
            <wp:effectExtent l="0" t="0" r="17145" b="8255"/>
            <wp:docPr id="8" name="图片 8" descr="00f955885dc3623646c81de7df83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0f955885dc3623646c81de7df8367f"/>
                    <pic:cNvPicPr>
                      <a:picLocks noChangeAspect="1"/>
                    </pic:cNvPicPr>
                  </pic:nvPicPr>
                  <pic:blipFill>
                    <a:blip r:embed="rId7"/>
                    <a:stretch>
                      <a:fillRect/>
                    </a:stretch>
                  </pic:blipFill>
                  <pic:spPr>
                    <a:xfrm>
                      <a:off x="0" y="0"/>
                      <a:ext cx="5278755" cy="4887595"/>
                    </a:xfrm>
                    <a:prstGeom prst="rect">
                      <a:avLst/>
                    </a:prstGeom>
                  </pic:spPr>
                </pic:pic>
              </a:graphicData>
            </a:graphic>
          </wp:inline>
        </w:drawing>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after="0" w:afterAutospacing="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drawing>
          <wp:inline distT="0" distB="0" distL="114300" distR="114300">
            <wp:extent cx="5277485" cy="5174615"/>
            <wp:effectExtent l="0" t="0" r="18415" b="6985"/>
            <wp:docPr id="11" name="图片 11" descr="6df200f756d7d6d394132c13a432b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df200f756d7d6d394132c13a432b79"/>
                    <pic:cNvPicPr>
                      <a:picLocks noChangeAspect="1"/>
                    </pic:cNvPicPr>
                  </pic:nvPicPr>
                  <pic:blipFill>
                    <a:blip r:embed="rId8"/>
                    <a:stretch>
                      <a:fillRect/>
                    </a:stretch>
                  </pic:blipFill>
                  <pic:spPr>
                    <a:xfrm>
                      <a:off x="0" y="0"/>
                      <a:ext cx="5277485" cy="5174615"/>
                    </a:xfrm>
                    <a:prstGeom prst="rect">
                      <a:avLst/>
                    </a:prstGeom>
                  </pic:spPr>
                </pic:pic>
              </a:graphicData>
            </a:graphic>
          </wp:inline>
        </w:drawing>
      </w: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2"/>
        <w:autoSpaceDE w:val="0"/>
        <w:spacing w:before="0" w:beforeAutospacing="0" w:line="600" w:lineRule="exact"/>
        <w:ind w:firstLine="640" w:firstLineChars="200"/>
        <w:rPr>
          <w:rFonts w:ascii="方正仿宋_GBK" w:hAnsi="方正仿宋_GBK" w:eastAsia="方正仿宋_GBK" w:cs="方正仿宋_GBK"/>
          <w:sz w:val="32"/>
          <w:szCs w:val="32"/>
          <w:shd w:val="clear" w:color="auto" w:fill="FFFFFF"/>
        </w:rPr>
      </w:pP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pPr>
        <w:pStyle w:val="11"/>
        <w:autoSpaceDE w:val="0"/>
        <w:ind w:firstLine="643"/>
        <w:rPr>
          <w:rFonts w:ascii="方正仿宋_GBK" w:hAnsi="方正仿宋_GBK" w:eastAsia="方正仿宋_GBK" w:cs="方正仿宋_GBK"/>
          <w:sz w:val="32"/>
          <w:szCs w:val="32"/>
        </w:rPr>
      </w:pPr>
      <w:r>
        <w:rPr>
          <w:rFonts w:hint="eastAsia" w:ascii="楷体" w:hAnsi="楷体" w:eastAsia="楷体" w:cs="楷体"/>
          <w:b/>
          <w:bCs/>
          <w:sz w:val="32"/>
          <w:szCs w:val="32"/>
        </w:rPr>
        <w:t>我单位未组织开展绩效评价。</w:t>
      </w:r>
    </w:p>
    <w:p>
      <w:pPr>
        <w:pStyle w:val="11"/>
        <w:autoSpaceDE w:val="0"/>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（三）财政绩效评价情况</w:t>
      </w:r>
    </w:p>
    <w:p>
      <w:pPr>
        <w:pStyle w:val="11"/>
        <w:autoSpaceDE w:val="0"/>
        <w:ind w:firstLine="643"/>
        <w:rPr>
          <w:rFonts w:ascii="方正仿宋_GBK" w:hAnsi="方正仿宋_GBK" w:eastAsia="方正仿宋_GBK" w:cs="方正仿宋_GBK"/>
          <w:sz w:val="32"/>
          <w:szCs w:val="32"/>
          <w:shd w:val="clear" w:color="auto" w:fill="FFFFFF"/>
        </w:rPr>
      </w:pPr>
      <w:r>
        <w:rPr>
          <w:rFonts w:hint="eastAsia" w:ascii="楷体" w:hAnsi="楷体" w:eastAsia="楷体" w:cs="楷体"/>
          <w:b/>
          <w:bCs/>
          <w:sz w:val="32"/>
          <w:szCs w:val="32"/>
          <w:shd w:val="clear" w:color="auto" w:fill="FFFFFF"/>
        </w:rPr>
        <w:t>县财政局未委托第三方对我单位开展绩效评价。</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b/>
          <w:bCs/>
          <w:sz w:val="32"/>
          <w:szCs w:val="32"/>
          <w:shd w:val="clear" w:color="auto" w:fill="FFFFFF"/>
        </w:rPr>
        <w:t> </w:t>
      </w: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 （十六）对个人和家庭的补助（支出经济分类科目类级）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 </w:t>
      </w: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 xml:space="preserve">  </w:t>
      </w:r>
      <w:r>
        <w:rPr>
          <w:rStyle w:val="8"/>
          <w:rFonts w:ascii="黑体" w:hAnsi="黑体" w:eastAsia="黑体" w:cs="黑体"/>
          <w:sz w:val="32"/>
          <w:szCs w:val="32"/>
          <w:shd w:val="clear" w:color="auto" w:fill="FFFFFF"/>
        </w:rPr>
        <w:t>七、决算公开联系方式及信息反馈渠道</w:t>
      </w:r>
    </w:p>
    <w:p>
      <w:pPr>
        <w:pStyle w:val="11"/>
        <w:autoSpaceDE w:val="0"/>
        <w:ind w:firstLine="0" w:firstLineChars="0"/>
        <w:rPr>
          <w:rStyle w:val="8"/>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rPr>
        <w:t>023-74606206</w:t>
      </w:r>
    </w:p>
    <w:p>
      <w:pPr>
        <w:rPr>
          <w:rFonts w:hint="default" w:cs="宋体"/>
          <w:sz w:val="21"/>
          <w:szCs w:val="21"/>
        </w:rPr>
      </w:pPr>
    </w:p>
    <w:tbl>
      <w:tblPr>
        <w:tblStyle w:val="9"/>
        <w:tblW w:w="15393" w:type="dxa"/>
        <w:tblInd w:w="0" w:type="dxa"/>
        <w:tblLayout w:type="fixed"/>
        <w:tblCellMar>
          <w:top w:w="0" w:type="dxa"/>
          <w:left w:w="0" w:type="dxa"/>
          <w:bottom w:w="0" w:type="dxa"/>
          <w:right w:w="0" w:type="dxa"/>
        </w:tblCellMar>
      </w:tblPr>
      <w:tblGrid>
        <w:gridCol w:w="5122"/>
        <w:gridCol w:w="2020"/>
        <w:gridCol w:w="4809"/>
        <w:gridCol w:w="3442"/>
      </w:tblGrid>
      <w:tr>
        <w:tblPrEx>
          <w:tblLayout w:type="fixed"/>
          <w:tblCellMar>
            <w:top w:w="0" w:type="dxa"/>
            <w:left w:w="0" w:type="dxa"/>
            <w:bottom w:w="0" w:type="dxa"/>
            <w:right w:w="0" w:type="dxa"/>
          </w:tblCellMar>
        </w:tblPrEx>
        <w:trPr>
          <w:trHeight w:val="232" w:hRule="atLeast"/>
        </w:trPr>
        <w:tc>
          <w:tcPr>
            <w:tcW w:w="15393"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Layout w:type="fixed"/>
          <w:tblCellMar>
            <w:top w:w="0" w:type="dxa"/>
            <w:left w:w="0" w:type="dxa"/>
            <w:bottom w:w="0" w:type="dxa"/>
            <w:right w:w="0" w:type="dxa"/>
          </w:tblCellMar>
        </w:tblPrEx>
        <w:trPr>
          <w:trHeight w:val="232" w:hRule="atLeast"/>
        </w:trPr>
        <w:tc>
          <w:tcPr>
            <w:tcW w:w="5122"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020"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公开01表</w:t>
            </w:r>
          </w:p>
        </w:tc>
      </w:tr>
      <w:tr>
        <w:tblPrEx>
          <w:tblLayout w:type="fixed"/>
          <w:tblCellMar>
            <w:top w:w="0" w:type="dxa"/>
            <w:left w:w="0" w:type="dxa"/>
            <w:bottom w:w="0" w:type="dxa"/>
            <w:right w:w="0" w:type="dxa"/>
          </w:tblCellMar>
        </w:tblPrEx>
        <w:trPr>
          <w:trHeight w:val="232" w:hRule="atLeast"/>
        </w:trPr>
        <w:tc>
          <w:tcPr>
            <w:tcW w:w="7142" w:type="dxa"/>
            <w:gridSpan w:val="2"/>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r>
              <w:rPr>
                <w:rFonts w:cs="宋体"/>
                <w:sz w:val="20"/>
                <w:szCs w:val="20"/>
              </w:rPr>
              <w:t>公开单位：</w:t>
            </w:r>
            <w:r>
              <w:rPr>
                <w:sz w:val="20"/>
              </w:rPr>
              <w:t>垫江县归侨侨眷联合会</w:t>
            </w:r>
          </w:p>
        </w:tc>
        <w:tc>
          <w:tcPr>
            <w:tcW w:w="4809"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3442"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243" w:hRule="atLeast"/>
        </w:trPr>
        <w:tc>
          <w:tcPr>
            <w:tcW w:w="71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8251"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202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3442"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一、一般公共服务支出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74.77</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二、政府性基金预算财政拨款收入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二、外交支出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三、国有资本经营预算财政拨款收入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三、国防支出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四、上级补助收入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四、公共安全支出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五、事业收入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五、教育支出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六、经营收入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六、科学技术支出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七、附属单位上缴收入</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七、文化旅游体育与传媒支出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八、其他收入</w:t>
            </w:r>
          </w:p>
        </w:tc>
        <w:tc>
          <w:tcPr>
            <w:tcW w:w="2020" w:type="dxa"/>
            <w:tcBorders>
              <w:top w:val="nil"/>
              <w:left w:val="nil"/>
              <w:bottom w:val="nil"/>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八、社会保障和就业支出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7.92</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九、卫生健康支出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十、节能环保支出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十一、城乡社区支出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40" w:lineRule="exact"/>
              <w:jc w:val="right"/>
              <w:rPr>
                <w:rFonts w:hint="default" w:ascii="Arial" w:hAnsi="Arial" w:cs="Arial"/>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十二、农林水支出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十三、交通运输支出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十四、资源勘探工业信息等支出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十五、商业服务业等支出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十六、金融支出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十七、援助其他地区支出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十八、自然资源海洋气象等支出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十九、住房保障支出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二十、粮油物资储备支出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二十一、国有资本经营预算支出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二十二、灾害防治及应急管理支出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二十三、其他支出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rPr>
                <w:rFonts w:hint="default" w:cs="宋体"/>
                <w:b/>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二十四、债务还本支出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二十五、债务付息支出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rPr>
                <w:rFonts w:hint="default" w:cs="宋体"/>
                <w:color w:val="000000"/>
                <w:sz w:val="20"/>
                <w:szCs w:val="20"/>
              </w:rPr>
            </w:pP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rPr>
                <w:rFonts w:hint="default" w:cs="宋体"/>
                <w:color w:val="000000"/>
                <w:sz w:val="20"/>
                <w:szCs w:val="20"/>
              </w:rPr>
            </w:pP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二十六、抗疫特别国债安排的支出</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本年收入合计</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88.84</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本年支出合计</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使用非财政拨款结余和专用结余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结余分配</w:t>
            </w:r>
          </w:p>
        </w:tc>
        <w:tc>
          <w:tcPr>
            <w:tcW w:w="344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4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年初结转和结余</w:t>
            </w:r>
          </w:p>
        </w:tc>
        <w:tc>
          <w:tcPr>
            <w:tcW w:w="20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1.00</w:t>
            </w:r>
            <w:r>
              <w:rPr>
                <w:color w:val="000000"/>
                <w:sz w:val="20"/>
              </w:rPr>
              <w:t xml:space="preserve"> </w:t>
            </w:r>
          </w:p>
        </w:tc>
        <w:tc>
          <w:tcPr>
            <w:tcW w:w="480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textAlignment w:val="center"/>
              <w:rPr>
                <w:rFonts w:hint="default" w:cs="宋体"/>
                <w:color w:val="000000"/>
                <w:sz w:val="20"/>
                <w:szCs w:val="20"/>
              </w:rPr>
            </w:pPr>
            <w:r>
              <w:rPr>
                <w:rFonts w:cs="宋体"/>
                <w:color w:val="000000"/>
                <w:sz w:val="20"/>
                <w:szCs w:val="20"/>
              </w:rPr>
              <w:t>年末结转和结余</w:t>
            </w:r>
          </w:p>
        </w:tc>
        <w:tc>
          <w:tcPr>
            <w:tcW w:w="344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253" w:hRule="atLeast"/>
        </w:trPr>
        <w:tc>
          <w:tcPr>
            <w:tcW w:w="5122"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0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c>
          <w:tcPr>
            <w:tcW w:w="4809"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44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40" w:lineRule="exact"/>
              <w:jc w:val="right"/>
              <w:textAlignment w:val="center"/>
              <w:rPr>
                <w:rFonts w:hint="default" w:cs="宋体"/>
                <w:color w:val="000000"/>
                <w:sz w:val="20"/>
                <w:szCs w:val="20"/>
              </w:rPr>
            </w:pPr>
            <w:r>
              <w:rPr>
                <w:rFonts w:cs="宋体"/>
                <w:color w:val="000000"/>
                <w:sz w:val="20"/>
                <w:szCs w:val="20"/>
              </w:rPr>
              <w:t>89.84</w:t>
            </w:r>
            <w:r>
              <w:rPr>
                <w:color w:val="000000"/>
                <w:sz w:val="20"/>
              </w:rPr>
              <w:t xml:space="preserve"> </w:t>
            </w:r>
          </w:p>
        </w:tc>
      </w:tr>
    </w:tbl>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9"/>
        <w:tblW w:w="15378" w:type="dxa"/>
        <w:tblInd w:w="0" w:type="dxa"/>
        <w:tblLayout w:type="fixed"/>
        <w:tblCellMar>
          <w:top w:w="0" w:type="dxa"/>
          <w:left w:w="0" w:type="dxa"/>
          <w:bottom w:w="0" w:type="dxa"/>
          <w:right w:w="0" w:type="dxa"/>
        </w:tblCellMar>
      </w:tblPr>
      <w:tblGrid>
        <w:gridCol w:w="1702"/>
        <w:gridCol w:w="3171"/>
        <w:gridCol w:w="1233"/>
        <w:gridCol w:w="1233"/>
        <w:gridCol w:w="1233"/>
        <w:gridCol w:w="1233"/>
        <w:gridCol w:w="1366"/>
        <w:gridCol w:w="1307"/>
        <w:gridCol w:w="1439"/>
        <w:gridCol w:w="1461"/>
      </w:tblGrid>
      <w:tr>
        <w:tblPrEx>
          <w:tblLayout w:type="fixed"/>
          <w:tblCellMar>
            <w:top w:w="0" w:type="dxa"/>
            <w:left w:w="0" w:type="dxa"/>
            <w:bottom w:w="0" w:type="dxa"/>
            <w:right w:w="0" w:type="dxa"/>
          </w:tblCellMar>
        </w:tblPrEx>
        <w:trPr>
          <w:trHeight w:val="641" w:hRule="atLeast"/>
        </w:trPr>
        <w:tc>
          <w:tcPr>
            <w:tcW w:w="15378"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Layout w:type="fixed"/>
          <w:tblCellMar>
            <w:top w:w="0" w:type="dxa"/>
            <w:left w:w="0" w:type="dxa"/>
            <w:bottom w:w="0" w:type="dxa"/>
            <w:right w:w="0" w:type="dxa"/>
          </w:tblCellMar>
        </w:tblPrEx>
        <w:trPr>
          <w:trHeight w:val="328" w:hRule="atLeast"/>
        </w:trPr>
        <w:tc>
          <w:tcPr>
            <w:tcW w:w="6106"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sz w:val="20"/>
              </w:rPr>
              <w:t>垫江县归侨侨眷联合会</w:t>
            </w: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公开02表</w:t>
            </w:r>
          </w:p>
        </w:tc>
      </w:tr>
      <w:tr>
        <w:tblPrEx>
          <w:tblLayout w:type="fixed"/>
          <w:tblCellMar>
            <w:top w:w="0" w:type="dxa"/>
            <w:left w:w="0" w:type="dxa"/>
            <w:bottom w:w="0" w:type="dxa"/>
            <w:right w:w="0" w:type="dxa"/>
          </w:tblCellMar>
        </w:tblPrEx>
        <w:trPr>
          <w:trHeight w:val="328" w:hRule="atLeast"/>
        </w:trPr>
        <w:tc>
          <w:tcPr>
            <w:tcW w:w="6106"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33"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6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6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31" w:hRule="atLeast"/>
        </w:trPr>
        <w:tc>
          <w:tcPr>
            <w:tcW w:w="4873"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59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3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4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46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Layout w:type="fixed"/>
          <w:tblCellMar>
            <w:top w:w="0" w:type="dxa"/>
            <w:left w:w="0" w:type="dxa"/>
            <w:bottom w:w="0" w:type="dxa"/>
            <w:right w:w="0" w:type="dxa"/>
          </w:tblCellMar>
        </w:tblPrEx>
        <w:trPr>
          <w:trHeight w:val="334" w:hRule="atLeast"/>
        </w:trPr>
        <w:tc>
          <w:tcPr>
            <w:tcW w:w="170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171"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36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4" w:hRule="atLeast"/>
        </w:trPr>
        <w:tc>
          <w:tcPr>
            <w:tcW w:w="170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171"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6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3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487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88.84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88.84</w:t>
            </w: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23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6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3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4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73.77</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73.29</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16.80</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48" w:hRule="atLeast"/>
        </w:trPr>
        <w:tc>
          <w:tcPr>
            <w:tcW w:w="170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17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2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3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4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9"/>
        <w:tblW w:w="15378" w:type="dxa"/>
        <w:tblInd w:w="0" w:type="dxa"/>
        <w:tblLayout w:type="fixed"/>
        <w:tblCellMar>
          <w:top w:w="0" w:type="dxa"/>
          <w:left w:w="0" w:type="dxa"/>
          <w:bottom w:w="0" w:type="dxa"/>
          <w:right w:w="0" w:type="dxa"/>
        </w:tblCellMar>
      </w:tblPr>
      <w:tblGrid>
        <w:gridCol w:w="1803"/>
        <w:gridCol w:w="3355"/>
        <w:gridCol w:w="1701"/>
        <w:gridCol w:w="1701"/>
        <w:gridCol w:w="1701"/>
        <w:gridCol w:w="1685"/>
        <w:gridCol w:w="1685"/>
        <w:gridCol w:w="1747"/>
      </w:tblGrid>
      <w:tr>
        <w:tblPrEx>
          <w:tblLayout w:type="fixed"/>
          <w:tblCellMar>
            <w:top w:w="0" w:type="dxa"/>
            <w:left w:w="0" w:type="dxa"/>
            <w:bottom w:w="0" w:type="dxa"/>
            <w:right w:w="0" w:type="dxa"/>
          </w:tblCellMar>
        </w:tblPrEx>
        <w:trPr>
          <w:trHeight w:val="65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Layout w:type="fixed"/>
          <w:tblCellMar>
            <w:top w:w="0" w:type="dxa"/>
            <w:left w:w="0" w:type="dxa"/>
            <w:bottom w:w="0" w:type="dxa"/>
            <w:right w:w="0" w:type="dxa"/>
          </w:tblCellMar>
        </w:tblPrEx>
        <w:trPr>
          <w:trHeight w:val="342" w:hRule="atLeast"/>
        </w:trPr>
        <w:tc>
          <w:tcPr>
            <w:tcW w:w="685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垫江县归侨侨眷联合会 </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公开03表</w:t>
            </w:r>
          </w:p>
        </w:tc>
      </w:tr>
      <w:tr>
        <w:tblPrEx>
          <w:tblLayout w:type="fixed"/>
          <w:tblCellMar>
            <w:top w:w="0" w:type="dxa"/>
            <w:left w:w="0" w:type="dxa"/>
            <w:bottom w:w="0" w:type="dxa"/>
            <w:right w:w="0" w:type="dxa"/>
          </w:tblCellMar>
        </w:tblPrEx>
        <w:trPr>
          <w:trHeight w:val="342" w:hRule="atLeast"/>
        </w:trPr>
        <w:tc>
          <w:tcPr>
            <w:tcW w:w="685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8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4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8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74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Layout w:type="fixed"/>
          <w:tblCellMar>
            <w:top w:w="0" w:type="dxa"/>
            <w:left w:w="0" w:type="dxa"/>
            <w:bottom w:w="0" w:type="dxa"/>
            <w:right w:w="0" w:type="dxa"/>
          </w:tblCellMar>
        </w:tblPrEx>
        <w:trPr>
          <w:trHeight w:val="338" w:hRule="atLeast"/>
        </w:trPr>
        <w:tc>
          <w:tcPr>
            <w:tcW w:w="1803"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355"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8" w:hRule="atLeast"/>
        </w:trPr>
        <w:tc>
          <w:tcPr>
            <w:tcW w:w="1803"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55"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68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4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62" w:hRule="atLeast"/>
        </w:trPr>
        <w:tc>
          <w:tcPr>
            <w:tcW w:w="51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89.84</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71.55</w:t>
            </w:r>
            <w:r>
              <w:rPr>
                <w:b/>
                <w:color w:val="000000"/>
                <w:sz w:val="20"/>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w:t>
            </w: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68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74.77</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18.28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0.48</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0.48</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74.29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56.49</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17.80</w:t>
            </w:r>
            <w:r>
              <w:rPr>
                <w:b/>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56.49</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17.80</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17.80</w:t>
            </w: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0.14</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0.14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7.92</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5.28</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2.64</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2.45</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2.45</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b/>
                <w:color w:val="000000"/>
                <w:sz w:val="20"/>
                <w:szCs w:val="20"/>
              </w:rPr>
              <w:t>4.56</w:t>
            </w:r>
            <w:r>
              <w:rPr>
                <w:b/>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82" w:hRule="atLeast"/>
        </w:trPr>
        <w:tc>
          <w:tcPr>
            <w:tcW w:w="180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35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0"/>
                <w:szCs w:val="20"/>
              </w:rPr>
              <w:t>4.56</w:t>
            </w:r>
            <w:r>
              <w:rPr>
                <w:color w:val="000000"/>
                <w:sz w:val="20"/>
              </w:rPr>
              <w:t xml:space="preserve"> </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c>
          <w:tcPr>
            <w:tcW w:w="1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9"/>
        <w:tblW w:w="14732" w:type="dxa"/>
        <w:tblInd w:w="0" w:type="dxa"/>
        <w:tblLayout w:type="fixed"/>
        <w:tblCellMar>
          <w:top w:w="0" w:type="dxa"/>
          <w:left w:w="0" w:type="dxa"/>
          <w:bottom w:w="0" w:type="dxa"/>
          <w:right w:w="0" w:type="dxa"/>
        </w:tblCellMar>
      </w:tblPr>
      <w:tblGrid>
        <w:gridCol w:w="2979"/>
        <w:gridCol w:w="1526"/>
        <w:gridCol w:w="3191"/>
        <w:gridCol w:w="1700"/>
        <w:gridCol w:w="1700"/>
        <w:gridCol w:w="1700"/>
        <w:gridCol w:w="1936"/>
      </w:tblGrid>
      <w:tr>
        <w:tblPrEx>
          <w:tblLayout w:type="fixed"/>
          <w:tblCellMar>
            <w:top w:w="0" w:type="dxa"/>
            <w:left w:w="0" w:type="dxa"/>
            <w:bottom w:w="0" w:type="dxa"/>
            <w:right w:w="0" w:type="dxa"/>
          </w:tblCellMar>
        </w:tblPrEx>
        <w:trPr>
          <w:trHeight w:val="90" w:hRule="atLeast"/>
        </w:trPr>
        <w:tc>
          <w:tcPr>
            <w:tcW w:w="14732"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Layout w:type="fixed"/>
          <w:tblCellMar>
            <w:top w:w="0" w:type="dxa"/>
            <w:left w:w="0" w:type="dxa"/>
            <w:bottom w:w="0" w:type="dxa"/>
            <w:right w:w="0" w:type="dxa"/>
          </w:tblCellMar>
        </w:tblPrEx>
        <w:trPr>
          <w:trHeight w:val="90" w:hRule="atLeast"/>
        </w:trPr>
        <w:tc>
          <w:tcPr>
            <w:tcW w:w="7696" w:type="dxa"/>
            <w:gridSpan w:val="3"/>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40" w:lineRule="exact"/>
              <w:jc w:val="right"/>
              <w:textAlignment w:val="bottom"/>
              <w:rPr>
                <w:rFonts w:hint="default" w:cs="宋体"/>
                <w:color w:val="000000"/>
                <w:sz w:val="20"/>
                <w:szCs w:val="20"/>
              </w:rPr>
            </w:pPr>
            <w:r>
              <w:rPr>
                <w:rFonts w:cs="宋体"/>
                <w:color w:val="000000"/>
                <w:sz w:val="20"/>
                <w:szCs w:val="20"/>
              </w:rPr>
              <w:t>公开04表</w:t>
            </w:r>
          </w:p>
        </w:tc>
      </w:tr>
      <w:tr>
        <w:tblPrEx>
          <w:tblLayout w:type="fixed"/>
          <w:tblCellMar>
            <w:top w:w="0" w:type="dxa"/>
            <w:left w:w="0" w:type="dxa"/>
            <w:bottom w:w="0" w:type="dxa"/>
            <w:right w:w="0" w:type="dxa"/>
          </w:tblCellMar>
        </w:tblPrEx>
        <w:trPr>
          <w:trHeight w:val="90" w:hRule="atLeast"/>
        </w:trPr>
        <w:tc>
          <w:tcPr>
            <w:tcW w:w="7696"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50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22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Layout w:type="fixed"/>
          <w:tblCellMar>
            <w:top w:w="0" w:type="dxa"/>
            <w:left w:w="0" w:type="dxa"/>
            <w:bottom w:w="0" w:type="dxa"/>
            <w:right w:w="0" w:type="dxa"/>
          </w:tblCellMar>
        </w:tblPrEx>
        <w:trPr>
          <w:trHeight w:val="90" w:hRule="atLeast"/>
        </w:trPr>
        <w:tc>
          <w:tcPr>
            <w:tcW w:w="297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9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3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Layout w:type="fixed"/>
          <w:tblCellMar>
            <w:top w:w="0" w:type="dxa"/>
            <w:left w:w="0" w:type="dxa"/>
            <w:bottom w:w="0" w:type="dxa"/>
            <w:right w:w="0" w:type="dxa"/>
          </w:tblCellMar>
        </w:tblPrEx>
        <w:trPr>
          <w:trHeight w:val="90" w:hRule="atLeast"/>
        </w:trPr>
        <w:tc>
          <w:tcPr>
            <w:tcW w:w="297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52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19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7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一、一般公共服务支出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74.77</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二、外交支出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三、国防支出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四、公共安全支出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五、教育支出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0.14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六、科学技术支出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七、文化旅游体育与传媒支出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八、社会保障和就业支出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7.92</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九、卫生健康支出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十、节能环保支出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十一、城乡社区支出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十二、农林水支出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十三、交通运输支出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十四、资源勘探工业信息等支出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十五、商业服务业等支出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十六、金融支出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十七、援助其他地区支出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十八、自然资源海洋气象等支出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十九、住房保障支出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二十、粮油物资储备支出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二十一、国有资本经营预算支出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二十二、灾害防治及应急管理支出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二十三、其他支出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二十四、债务还本支出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二十五、债务付息支出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二十六、抗疫特别国债安排的支出</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本年收入合计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88.84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本年支出合计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年初财政拨款结转和结余</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年末财政拨款结转和结余</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一般公共预算财政拨款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1.00</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政府性基金预算财政拨款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国有资本经营预算财政拨款</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297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3191"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89.84</w:t>
            </w:r>
            <w:r>
              <w:rPr>
                <w:color w:val="000000"/>
                <w:sz w:val="18"/>
              </w:rPr>
              <w:t xml:space="preserve"> </w:t>
            </w:r>
          </w:p>
        </w:tc>
        <w:tc>
          <w:tcPr>
            <w:tcW w:w="1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19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7"/>
        <w:gridCol w:w="3549"/>
        <w:gridCol w:w="3319"/>
        <w:gridCol w:w="3319"/>
        <w:gridCol w:w="3334"/>
      </w:tblGrid>
      <w:tr>
        <w:tblPrEx>
          <w:tblLayout w:type="fixed"/>
          <w:tblCellMar>
            <w:top w:w="0" w:type="dxa"/>
            <w:left w:w="0" w:type="dxa"/>
            <w:bottom w:w="0" w:type="dxa"/>
            <w:right w:w="0" w:type="dxa"/>
          </w:tblCellMar>
        </w:tblPrEx>
        <w:trPr>
          <w:trHeight w:val="510" w:hRule="atLeast"/>
        </w:trPr>
        <w:tc>
          <w:tcPr>
            <w:tcW w:w="1537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Layout w:type="fixed"/>
          <w:tblCellMar>
            <w:top w:w="0" w:type="dxa"/>
            <w:left w:w="0" w:type="dxa"/>
            <w:bottom w:w="0" w:type="dxa"/>
            <w:right w:w="0" w:type="dxa"/>
          </w:tblCellMar>
        </w:tblPrEx>
        <w:trPr>
          <w:trHeight w:val="255" w:hRule="atLeast"/>
        </w:trPr>
        <w:tc>
          <w:tcPr>
            <w:tcW w:w="872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公开05表</w:t>
            </w:r>
          </w:p>
        </w:tc>
      </w:tr>
      <w:tr>
        <w:tblPrEx>
          <w:tblLayout w:type="fixed"/>
          <w:tblCellMar>
            <w:top w:w="0" w:type="dxa"/>
            <w:left w:w="0" w:type="dxa"/>
            <w:bottom w:w="0" w:type="dxa"/>
            <w:right w:w="0" w:type="dxa"/>
          </w:tblCellMar>
        </w:tblPrEx>
        <w:trPr>
          <w:trHeight w:val="285" w:hRule="atLeast"/>
        </w:trPr>
        <w:tc>
          <w:tcPr>
            <w:tcW w:w="872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1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3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08" w:hRule="atLeast"/>
        </w:trPr>
        <w:tc>
          <w:tcPr>
            <w:tcW w:w="540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72"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26" w:hRule="atLeast"/>
        </w:trPr>
        <w:tc>
          <w:tcPr>
            <w:tcW w:w="1857"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4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3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26"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5" w:hRule="atLeast"/>
        </w:trPr>
        <w:tc>
          <w:tcPr>
            <w:tcW w:w="1857"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54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1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33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08" w:hRule="atLeast"/>
        </w:trPr>
        <w:tc>
          <w:tcPr>
            <w:tcW w:w="540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89.84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71.55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bCs/>
                <w:color w:val="000000"/>
                <w:sz w:val="20"/>
                <w:szCs w:val="20"/>
              </w:rPr>
              <w:t>18.28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一般公共服务支出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74.77</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18.28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政协事务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0.48</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2010202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0.48</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20134</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统战事务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74.29</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56.49</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17.80</w:t>
            </w:r>
            <w:r>
              <w:rPr>
                <w:b/>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56.49</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56.49</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2013402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一般行政管理事务</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17.80</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17.80</w:t>
            </w: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教育支出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20508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进修及培训</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0.14</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2050803</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培训支出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0.14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7.92</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5.28</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2.64</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2.45</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2.45</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b/>
                <w:color w:val="000000"/>
                <w:sz w:val="20"/>
                <w:szCs w:val="20"/>
              </w:rPr>
              <w:t>4.56</w:t>
            </w:r>
            <w:r>
              <w:rPr>
                <w:b/>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r>
        <w:tblPrEx>
          <w:tblLayout w:type="fixed"/>
          <w:tblCellMar>
            <w:top w:w="0" w:type="dxa"/>
            <w:left w:w="0" w:type="dxa"/>
            <w:bottom w:w="0" w:type="dxa"/>
            <w:right w:w="0" w:type="dxa"/>
          </w:tblCellMar>
        </w:tblPrEx>
        <w:trPr>
          <w:trHeight w:val="308" w:hRule="atLeast"/>
        </w:trPr>
        <w:tc>
          <w:tcPr>
            <w:tcW w:w="185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5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w:t>
            </w:r>
            <w:r>
              <w:rPr>
                <w:color w:val="000000"/>
                <w:sz w:val="20"/>
              </w:rPr>
              <w:t xml:space="preserve"> </w:t>
            </w:r>
          </w:p>
        </w:tc>
        <w:tc>
          <w:tcPr>
            <w:tcW w:w="33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rFonts w:cs="宋体"/>
                <w:color w:val="000000"/>
                <w:sz w:val="20"/>
                <w:szCs w:val="20"/>
              </w:rPr>
              <w:t>4.56</w:t>
            </w:r>
            <w:r>
              <w:rPr>
                <w:color w:val="000000"/>
                <w:sz w:val="20"/>
              </w:rPr>
              <w:t xml:space="preserve"> </w:t>
            </w:r>
          </w:p>
        </w:tc>
        <w:tc>
          <w:tcPr>
            <w:tcW w:w="333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9"/>
        <w:tblW w:w="15360" w:type="dxa"/>
        <w:tblInd w:w="0" w:type="dxa"/>
        <w:tblLayout w:type="fixed"/>
        <w:tblCellMar>
          <w:top w:w="0" w:type="dxa"/>
          <w:left w:w="0" w:type="dxa"/>
          <w:bottom w:w="0" w:type="dxa"/>
          <w:right w:w="0" w:type="dxa"/>
        </w:tblCellMar>
      </w:tblPr>
      <w:tblGrid>
        <w:gridCol w:w="605"/>
        <w:gridCol w:w="2740"/>
        <w:gridCol w:w="1376"/>
        <w:gridCol w:w="836"/>
        <w:gridCol w:w="1923"/>
        <w:gridCol w:w="1656"/>
        <w:gridCol w:w="808"/>
        <w:gridCol w:w="3527"/>
        <w:gridCol w:w="1889"/>
      </w:tblGrid>
      <w:tr>
        <w:tblPrEx>
          <w:tblLayout w:type="fixed"/>
          <w:tblCellMar>
            <w:top w:w="0" w:type="dxa"/>
            <w:left w:w="0" w:type="dxa"/>
            <w:bottom w:w="0" w:type="dxa"/>
            <w:right w:w="0" w:type="dxa"/>
          </w:tblCellMar>
        </w:tblPrEx>
        <w:trPr>
          <w:trHeight w:val="90" w:hRule="atLeast"/>
        </w:trPr>
        <w:tc>
          <w:tcPr>
            <w:tcW w:w="15360" w:type="dxa"/>
            <w:gridSpan w:val="9"/>
            <w:tcBorders>
              <w:top w:val="nil"/>
              <w:left w:val="nil"/>
              <w:bottom w:val="nil"/>
              <w:right w:val="nil"/>
            </w:tcBorders>
            <w:shd w:val="clear" w:color="auto" w:fill="auto"/>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Layout w:type="fixed"/>
          <w:tblCellMar>
            <w:top w:w="0" w:type="dxa"/>
            <w:left w:w="0" w:type="dxa"/>
            <w:bottom w:w="0" w:type="dxa"/>
            <w:right w:w="0" w:type="dxa"/>
          </w:tblCellMar>
        </w:tblPrEx>
        <w:trPr>
          <w:trHeight w:val="90" w:hRule="atLeast"/>
        </w:trPr>
        <w:tc>
          <w:tcPr>
            <w:tcW w:w="5557" w:type="dxa"/>
            <w:gridSpan w:val="4"/>
            <w:vMerge w:val="restart"/>
            <w:tcBorders>
              <w:top w:val="nil"/>
              <w:left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公开06表</w:t>
            </w:r>
          </w:p>
        </w:tc>
      </w:tr>
      <w:tr>
        <w:tblPrEx>
          <w:tblLayout w:type="fixed"/>
          <w:tblCellMar>
            <w:top w:w="0" w:type="dxa"/>
            <w:left w:w="0" w:type="dxa"/>
            <w:bottom w:w="0" w:type="dxa"/>
            <w:right w:w="0" w:type="dxa"/>
          </w:tblCellMar>
        </w:tblPrEx>
        <w:trPr>
          <w:trHeight w:val="90" w:hRule="atLeast"/>
        </w:trPr>
        <w:tc>
          <w:tcPr>
            <w:tcW w:w="5557" w:type="dxa"/>
            <w:gridSpan w:val="4"/>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3"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56"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08"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3527"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889"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90" w:hRule="atLeast"/>
        </w:trPr>
        <w:tc>
          <w:tcPr>
            <w:tcW w:w="4721"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w:t>
            </w:r>
          </w:p>
        </w:tc>
        <w:tc>
          <w:tcPr>
            <w:tcW w:w="10639"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w:t>
            </w:r>
          </w:p>
        </w:tc>
      </w:tr>
      <w:tr>
        <w:tblPrEx>
          <w:tblLayout w:type="fixed"/>
          <w:tblCellMar>
            <w:top w:w="0" w:type="dxa"/>
            <w:left w:w="0" w:type="dxa"/>
            <w:bottom w:w="0" w:type="dxa"/>
            <w:right w:w="0" w:type="dxa"/>
          </w:tblCellMar>
        </w:tblPrEx>
        <w:trPr>
          <w:trHeight w:val="312" w:hRule="atLeast"/>
        </w:trPr>
        <w:tc>
          <w:tcPr>
            <w:tcW w:w="605"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74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3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9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6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c>
          <w:tcPr>
            <w:tcW w:w="8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52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188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金额</w:t>
            </w:r>
          </w:p>
        </w:tc>
      </w:tr>
      <w:tr>
        <w:tblPrEx>
          <w:tblLayout w:type="fixed"/>
          <w:tblCellMar>
            <w:top w:w="0" w:type="dxa"/>
            <w:left w:w="0" w:type="dxa"/>
            <w:bottom w:w="0" w:type="dxa"/>
            <w:right w:w="0" w:type="dxa"/>
          </w:tblCellMar>
        </w:tblPrEx>
        <w:trPr>
          <w:trHeight w:val="312" w:hRule="atLeast"/>
        </w:trPr>
        <w:tc>
          <w:tcPr>
            <w:tcW w:w="605"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274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3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9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6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8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352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c>
          <w:tcPr>
            <w:tcW w:w="188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cs="宋体"/>
                <w:b/>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57.96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12.87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基本工资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12.98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房屋建筑物购建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津贴补贴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9.28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印刷费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办公设备购置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0.73</w:t>
            </w: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19.22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咨询费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专用设备购置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伙食补助费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手续费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基础设施建设</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绩效工资</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水费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31006</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大型修缮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5.28</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职业年金缴费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2.64</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邮电费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0.80</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物资储备</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2.45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取暖费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土地补偿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30209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物业管理费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安置补助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其他社会保障缴费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0.07</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差旅费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1.56</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住房公积金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4.56</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因公出国（境）费用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拆迁补偿</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30114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1.12</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维修（护）费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30199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其他工资福利支出</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0.35</w:t>
            </w: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租赁费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31019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其他交通工具购置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会议费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文物和陈列品购置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离休费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培训费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0.03</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31022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无形资产购置</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30302</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退休费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公务接待费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0.21</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31099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其他资本性支出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30303</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退职（役）费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30218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专用材料费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30304</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抚恤金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被装购置费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31201</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资本金注入</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30305</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生活补助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30225</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专用燃料费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31203</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30306</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救济费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30226</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劳务费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31204</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费用补贴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30307</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医疗费补助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委托业务费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31205</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利息补贴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30308</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助学金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30228</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工会经费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2.84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31299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其他对企业补助</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30309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奖励金</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30229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福利费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2.14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30310</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个人农业生产补贴</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39907</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国家赔偿费用支出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30311</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代缴社会保险费</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30239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其他交通费用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4.07</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39908</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30399</w:t>
            </w: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30240</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税金及附加费用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39909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经常性赠与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30299</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0.04</w:t>
            </w: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39910</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资本性赠与</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债务利息及费用支出</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39999</w:t>
            </w: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其他支出</w:t>
            </w: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30701</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30702</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国外债务付息</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30703</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国内债务发行费用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60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27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8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30704</w:t>
            </w:r>
          </w:p>
        </w:tc>
        <w:tc>
          <w:tcPr>
            <w:tcW w:w="192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8"/>
                <w:szCs w:val="18"/>
              </w:rPr>
            </w:pPr>
            <w:r>
              <w:rPr>
                <w:rFonts w:cs="宋体"/>
                <w:color w:val="000000"/>
                <w:sz w:val="18"/>
                <w:szCs w:val="18"/>
              </w:rPr>
              <w:t xml:space="preserve">  国外债务发行费用</w:t>
            </w:r>
          </w:p>
        </w:tc>
        <w:tc>
          <w:tcPr>
            <w:tcW w:w="16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color w:val="000000"/>
                <w:sz w:val="18"/>
              </w:rPr>
              <w:t xml:space="preserve"> </w:t>
            </w:r>
          </w:p>
        </w:tc>
        <w:tc>
          <w:tcPr>
            <w:tcW w:w="8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3527"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rPr>
                <w:rFonts w:hint="default" w:cs="宋体"/>
                <w:color w:val="000000"/>
                <w:sz w:val="18"/>
                <w:szCs w:val="18"/>
              </w:rPr>
            </w:pPr>
          </w:p>
        </w:tc>
        <w:tc>
          <w:tcPr>
            <w:tcW w:w="18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cs="宋体"/>
                <w:color w:val="000000"/>
                <w:sz w:val="18"/>
                <w:szCs w:val="18"/>
              </w:rPr>
            </w:pPr>
          </w:p>
        </w:tc>
      </w:tr>
      <w:tr>
        <w:tblPrEx>
          <w:tblLayout w:type="fixed"/>
          <w:tblCellMar>
            <w:top w:w="0" w:type="dxa"/>
            <w:left w:w="0" w:type="dxa"/>
            <w:bottom w:w="0" w:type="dxa"/>
            <w:right w:w="0" w:type="dxa"/>
          </w:tblCellMar>
        </w:tblPrEx>
        <w:trPr>
          <w:trHeight w:val="90" w:hRule="atLeast"/>
        </w:trPr>
        <w:tc>
          <w:tcPr>
            <w:tcW w:w="33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人员经费合计</w:t>
            </w:r>
          </w:p>
        </w:tc>
        <w:tc>
          <w:tcPr>
            <w:tcW w:w="13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bottom"/>
              <w:rPr>
                <w:rFonts w:hint="default" w:cs="宋体"/>
                <w:color w:val="000000"/>
                <w:sz w:val="18"/>
                <w:szCs w:val="18"/>
              </w:rPr>
            </w:pPr>
            <w:r>
              <w:rPr>
                <w:rFonts w:cs="宋体"/>
                <w:color w:val="000000"/>
                <w:sz w:val="18"/>
                <w:szCs w:val="18"/>
              </w:rPr>
              <w:t>57.96</w:t>
            </w:r>
            <w:r>
              <w:rPr>
                <w:color w:val="000000"/>
                <w:sz w:val="18"/>
              </w:rPr>
              <w:t xml:space="preserve"> </w:t>
            </w:r>
          </w:p>
        </w:tc>
        <w:tc>
          <w:tcPr>
            <w:tcW w:w="875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公用经费合计</w:t>
            </w:r>
          </w:p>
        </w:tc>
        <w:tc>
          <w:tcPr>
            <w:tcW w:w="18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cs="宋体"/>
                <w:color w:val="000000"/>
                <w:sz w:val="18"/>
                <w:szCs w:val="18"/>
              </w:rPr>
            </w:pPr>
            <w:r>
              <w:rPr>
                <w:rFonts w:cs="宋体"/>
                <w:color w:val="000000"/>
                <w:sz w:val="18"/>
                <w:szCs w:val="18"/>
              </w:rPr>
              <w:t>13.60</w:t>
            </w:r>
            <w:r>
              <w:rPr>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54"/>
        <w:gridCol w:w="3088"/>
        <w:gridCol w:w="1707"/>
        <w:gridCol w:w="1707"/>
        <w:gridCol w:w="1707"/>
        <w:gridCol w:w="1707"/>
        <w:gridCol w:w="1772"/>
        <w:gridCol w:w="1836"/>
      </w:tblGrid>
      <w:tr>
        <w:tblPrEx>
          <w:tblLayout w:type="fixed"/>
          <w:tblCellMar>
            <w:top w:w="0" w:type="dxa"/>
            <w:left w:w="0" w:type="dxa"/>
            <w:bottom w:w="0" w:type="dxa"/>
            <w:right w:w="0" w:type="dxa"/>
          </w:tblCellMar>
        </w:tblPrEx>
        <w:trPr>
          <w:trHeight w:val="644" w:hRule="atLeast"/>
        </w:trPr>
        <w:tc>
          <w:tcPr>
            <w:tcW w:w="15378"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6649"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公开07表</w:t>
            </w:r>
          </w:p>
        </w:tc>
      </w:tr>
      <w:tr>
        <w:tblPrEx>
          <w:tblLayout w:type="fixed"/>
          <w:tblCellMar>
            <w:top w:w="0" w:type="dxa"/>
            <w:left w:w="0" w:type="dxa"/>
            <w:bottom w:w="0" w:type="dxa"/>
            <w:right w:w="0" w:type="dxa"/>
          </w:tblCellMar>
        </w:tblPrEx>
        <w:trPr>
          <w:trHeight w:val="329" w:hRule="atLeast"/>
        </w:trPr>
        <w:tc>
          <w:tcPr>
            <w:tcW w:w="6649"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7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339"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7"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86"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Layout w:type="fixed"/>
          <w:tblCellMar>
            <w:top w:w="0" w:type="dxa"/>
            <w:left w:w="0" w:type="dxa"/>
            <w:bottom w:w="0" w:type="dxa"/>
            <w:right w:w="0" w:type="dxa"/>
          </w:tblCellMar>
        </w:tblPrEx>
        <w:trPr>
          <w:trHeight w:val="335" w:hRule="atLeast"/>
        </w:trPr>
        <w:tc>
          <w:tcPr>
            <w:tcW w:w="185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7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45" w:hRule="atLeast"/>
        </w:trPr>
        <w:tc>
          <w:tcPr>
            <w:tcW w:w="185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0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77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494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77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18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9"/>
        <w:tblW w:w="15378" w:type="dxa"/>
        <w:tblInd w:w="0" w:type="dxa"/>
        <w:tblLayout w:type="fixed"/>
        <w:tblCellMar>
          <w:top w:w="0" w:type="dxa"/>
          <w:left w:w="0" w:type="dxa"/>
          <w:bottom w:w="0" w:type="dxa"/>
          <w:right w:w="0" w:type="dxa"/>
        </w:tblCellMar>
      </w:tblPr>
      <w:tblGrid>
        <w:gridCol w:w="1882"/>
        <w:gridCol w:w="3060"/>
        <w:gridCol w:w="3276"/>
        <w:gridCol w:w="200"/>
        <w:gridCol w:w="3475"/>
        <w:gridCol w:w="77"/>
        <w:gridCol w:w="3408"/>
      </w:tblGrid>
      <w:tr>
        <w:tblPrEx>
          <w:tblLayout w:type="fixed"/>
          <w:tblCellMar>
            <w:top w:w="0" w:type="dxa"/>
            <w:left w:w="0" w:type="dxa"/>
            <w:bottom w:w="0" w:type="dxa"/>
            <w:right w:w="0" w:type="dxa"/>
          </w:tblCellMar>
        </w:tblPrEx>
        <w:trPr>
          <w:trHeight w:val="650" w:hRule="atLeast"/>
        </w:trPr>
        <w:tc>
          <w:tcPr>
            <w:tcW w:w="15378"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8218"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公开08表</w:t>
            </w:r>
          </w:p>
        </w:tc>
      </w:tr>
      <w:tr>
        <w:tblPrEx>
          <w:tblLayout w:type="fixed"/>
          <w:tblCellMar>
            <w:top w:w="0" w:type="dxa"/>
            <w:left w:w="0" w:type="dxa"/>
            <w:bottom w:w="0" w:type="dxa"/>
            <w:right w:w="0" w:type="dxa"/>
          </w:tblCellMar>
        </w:tblPrEx>
        <w:trPr>
          <w:trHeight w:val="332" w:hRule="atLeast"/>
        </w:trPr>
        <w:tc>
          <w:tcPr>
            <w:tcW w:w="8218"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52"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8"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0" w:type="dxa"/>
            <w:bottom w:w="0" w:type="dxa"/>
            <w:right w:w="0" w:type="dxa"/>
          </w:tblCellMar>
        </w:tblPrEx>
        <w:trPr>
          <w:trHeight w:val="422"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36" w:type="dxa"/>
            <w:gridSpan w:val="5"/>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Layout w:type="fixed"/>
          <w:tblCellMar>
            <w:top w:w="0" w:type="dxa"/>
            <w:left w:w="0" w:type="dxa"/>
            <w:bottom w:w="0" w:type="dxa"/>
            <w:right w:w="0" w:type="dxa"/>
          </w:tblCellMar>
        </w:tblPrEx>
        <w:trPr>
          <w:trHeight w:val="339" w:hRule="atLeast"/>
        </w:trPr>
        <w:tc>
          <w:tcPr>
            <w:tcW w:w="18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06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76" w:type="dxa"/>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5" w:type="dxa"/>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39"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326" w:hRule="atLeast"/>
        </w:trPr>
        <w:tc>
          <w:tcPr>
            <w:tcW w:w="18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06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6" w:type="dxa"/>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7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c>
          <w:tcPr>
            <w:tcW w:w="3485" w:type="dxa"/>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0"/>
                <w:szCs w:val="20"/>
              </w:rPr>
            </w:pPr>
          </w:p>
        </w:tc>
      </w:tr>
      <w:tr>
        <w:tblPrEx>
          <w:tblLayout w:type="fixed"/>
          <w:tblCellMar>
            <w:top w:w="0" w:type="dxa"/>
            <w:left w:w="0" w:type="dxa"/>
            <w:bottom w:w="0" w:type="dxa"/>
            <w:right w:w="0" w:type="dxa"/>
          </w:tblCellMar>
        </w:tblPrEx>
        <w:trPr>
          <w:trHeight w:val="611" w:hRule="atLeast"/>
        </w:trPr>
        <w:tc>
          <w:tcPr>
            <w:tcW w:w="49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76"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c>
          <w:tcPr>
            <w:tcW w:w="347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0"/>
                <w:szCs w:val="20"/>
              </w:rPr>
            </w:pPr>
          </w:p>
        </w:tc>
        <w:tc>
          <w:tcPr>
            <w:tcW w:w="3485"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0"/>
                <w:szCs w:val="20"/>
              </w:rPr>
            </w:pPr>
            <w:r>
              <w:rPr>
                <w:b/>
                <w:color w:val="000000"/>
                <w:sz w:val="20"/>
              </w:rPr>
              <w:t xml:space="preserve">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r>
        <w:rPr>
          <w:rFonts w:hint="default" w:cs="宋体"/>
          <w:sz w:val="21"/>
          <w:szCs w:val="21"/>
        </w:rPr>
        <w:br w:type="page"/>
      </w:r>
    </w:p>
    <w:tbl>
      <w:tblPr>
        <w:tblStyle w:val="9"/>
        <w:tblW w:w="15000" w:type="dxa"/>
        <w:tblInd w:w="0" w:type="dxa"/>
        <w:tblLayout w:type="fixed"/>
        <w:tblCellMar>
          <w:top w:w="0" w:type="dxa"/>
          <w:left w:w="170" w:type="dxa"/>
          <w:bottom w:w="0" w:type="dxa"/>
          <w:right w:w="170" w:type="dxa"/>
        </w:tblCellMar>
      </w:tblPr>
      <w:tblGrid>
        <w:gridCol w:w="4041"/>
        <w:gridCol w:w="2166"/>
        <w:gridCol w:w="2115"/>
        <w:gridCol w:w="4524"/>
        <w:gridCol w:w="2154"/>
      </w:tblGrid>
      <w:tr>
        <w:tblPrEx>
          <w:tblLayout w:type="fixed"/>
          <w:tblCellMar>
            <w:top w:w="0" w:type="dxa"/>
            <w:left w:w="170" w:type="dxa"/>
            <w:bottom w:w="0" w:type="dxa"/>
            <w:right w:w="170" w:type="dxa"/>
          </w:tblCellMar>
        </w:tblPrEx>
        <w:trPr>
          <w:trHeight w:val="343" w:hRule="atLeast"/>
        </w:trPr>
        <w:tc>
          <w:tcPr>
            <w:tcW w:w="15000" w:type="dxa"/>
            <w:gridSpan w:val="5"/>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机构运行信息表</w:t>
            </w:r>
          </w:p>
        </w:tc>
      </w:tr>
      <w:tr>
        <w:tblPrEx>
          <w:tblLayout w:type="fixed"/>
          <w:tblCellMar>
            <w:top w:w="0" w:type="dxa"/>
            <w:left w:w="170" w:type="dxa"/>
            <w:bottom w:w="0" w:type="dxa"/>
            <w:right w:w="170" w:type="dxa"/>
          </w:tblCellMar>
        </w:tblPrEx>
        <w:trPr>
          <w:trHeight w:val="244" w:hRule="atLeast"/>
        </w:trPr>
        <w:tc>
          <w:tcPr>
            <w:tcW w:w="4041"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66" w:type="dxa"/>
            <w:tcBorders>
              <w:top w:val="nil"/>
              <w:left w:val="nil"/>
              <w:bottom w:val="nil"/>
              <w:right w:val="nil"/>
            </w:tcBorders>
            <w:shd w:val="clear" w:color="auto" w:fill="auto"/>
            <w:tcMar>
              <w:top w:w="15" w:type="dxa"/>
              <w:left w:w="15" w:type="dxa"/>
              <w:right w:w="15" w:type="dxa"/>
            </w:tcMar>
            <w:vAlign w:val="bottom"/>
          </w:tcPr>
          <w:p>
            <w:pPr>
              <w:spacing w:line="280" w:lineRule="exact"/>
              <w:jc w:val="center"/>
              <w:rPr>
                <w:rFonts w:hint="default" w:cs="宋体"/>
                <w:color w:val="000000"/>
                <w:sz w:val="20"/>
                <w:szCs w:val="20"/>
              </w:rPr>
            </w:pPr>
          </w:p>
        </w:tc>
        <w:tc>
          <w:tcPr>
            <w:tcW w:w="2115"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nil"/>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nil"/>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公开09表</w:t>
            </w:r>
          </w:p>
        </w:tc>
      </w:tr>
      <w:tr>
        <w:tblPrEx>
          <w:tblLayout w:type="fixed"/>
          <w:tblCellMar>
            <w:top w:w="0" w:type="dxa"/>
            <w:left w:w="170" w:type="dxa"/>
            <w:bottom w:w="0" w:type="dxa"/>
            <w:right w:w="170" w:type="dxa"/>
          </w:tblCellMar>
        </w:tblPrEx>
        <w:trPr>
          <w:trHeight w:val="244" w:hRule="atLeast"/>
        </w:trPr>
        <w:tc>
          <w:tcPr>
            <w:tcW w:w="6207"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公开单位</w:t>
            </w:r>
            <w:r>
              <w:rPr>
                <w:rFonts w:cs="宋体"/>
                <w:color w:val="000000"/>
                <w:sz w:val="20"/>
                <w:szCs w:val="20"/>
              </w:rPr>
              <w:t xml:space="preserve">： </w:t>
            </w:r>
            <w:r>
              <w:rPr>
                <w:color w:val="000000"/>
                <w:sz w:val="20"/>
              </w:rPr>
              <w:t>垫江县归侨侨眷联合会</w:t>
            </w:r>
          </w:p>
        </w:tc>
        <w:tc>
          <w:tcPr>
            <w:tcW w:w="211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sz w:val="20"/>
                <w:szCs w:val="20"/>
              </w:rPr>
            </w:pPr>
          </w:p>
        </w:tc>
        <w:tc>
          <w:tcPr>
            <w:tcW w:w="452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sz w:val="20"/>
                <w:szCs w:val="20"/>
              </w:rPr>
            </w:pPr>
          </w:p>
        </w:tc>
        <w:tc>
          <w:tcPr>
            <w:tcW w:w="215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66"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预算数</w:t>
            </w:r>
          </w:p>
        </w:tc>
        <w:tc>
          <w:tcPr>
            <w:tcW w:w="2115"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项  目</w:t>
            </w:r>
          </w:p>
        </w:tc>
        <w:tc>
          <w:tcPr>
            <w:tcW w:w="215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jc w:val="center"/>
              <w:textAlignment w:val="center"/>
              <w:rPr>
                <w:rFonts w:hint="default" w:cs="宋体"/>
                <w:b/>
                <w:color w:val="000000"/>
                <w:sz w:val="16"/>
                <w:szCs w:val="16"/>
              </w:rPr>
            </w:pPr>
            <w:r>
              <w:rPr>
                <w:rFonts w:cs="宋体"/>
                <w:b/>
                <w:color w:val="000000"/>
                <w:sz w:val="16"/>
                <w:szCs w:val="16"/>
              </w:rPr>
              <w:t>决算数</w:t>
            </w:r>
          </w:p>
        </w:tc>
      </w:tr>
      <w:tr>
        <w:tblPrEx>
          <w:tblLayout w:type="fixed"/>
          <w:tblCellMar>
            <w:top w:w="0" w:type="dxa"/>
            <w:left w:w="170" w:type="dxa"/>
            <w:bottom w:w="0" w:type="dxa"/>
            <w:right w:w="170" w:type="dxa"/>
          </w:tblCellMar>
        </w:tblPrEx>
        <w:trPr>
          <w:trHeight w:val="28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一、“三公”经费支出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四、机关运行经费</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13.60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（一）支出合计</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（一）行政单位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13.60</w:t>
            </w: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（二）参照公务员法管理事业单位</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2．公务用车购置及运行维护费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五、资产信息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（1）公务用车购置费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（一）车辆数合计（辆）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（2）公务用车运行维护费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1．副部（省）级及以上领导用车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2．主要领导干部用车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（1）国内接待费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0.45</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3．机要通信用车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4．应急保障用车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（2）国（境）外接待费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5．执法执勤用车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（二）相关统计数</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6．特种专业技术用车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1．因公出国（境）团组数（个）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7．离退休干部用车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2．因公出国（境）人次数（人）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8．其他用车</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3．公务用车购置数（辆）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（二）单价100万元（含）以上设备（不含车辆）</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4．公务用车保有量（辆）</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六、政府采购支出信息</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5．国内公务接待批次（个）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8</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（一）政府采购支出合计</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1．政府采购货物支出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6．国内公务接待人次（人）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62</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2．政府采购工程支出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其中：外事接待人次（人）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3．政府采购服务支出</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7．国（境）外公务接待批次（个）</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（二）政府采购授予中小企业合同金额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92" w:hRule="atLeast"/>
        </w:trPr>
        <w:tc>
          <w:tcPr>
            <w:tcW w:w="4041" w:type="dxa"/>
            <w:tcBorders>
              <w:top w:val="single" w:color="auto" w:sz="4" w:space="0"/>
              <w:left w:val="single" w:color="auto" w:sz="4" w:space="0"/>
              <w:bottom w:val="single" w:color="auto" w:sz="4" w:space="0"/>
              <w:right w:val="single" w:color="auto" w:sz="4" w:space="0"/>
            </w:tcBorders>
            <w:shd w:val="clear" w:color="FFFFFF" w:fill="BFBFBF"/>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8．国（境）外公务接待人次（人）</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 xml:space="preserve">        其中：授予小微企业合同金额</w:t>
            </w: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r>
      <w:tr>
        <w:tblPrEx>
          <w:tblLayout w:type="fixed"/>
          <w:tblCellMar>
            <w:top w:w="0" w:type="dxa"/>
            <w:left w:w="170" w:type="dxa"/>
            <w:bottom w:w="0" w:type="dxa"/>
            <w:right w:w="170" w:type="dxa"/>
          </w:tblCellMar>
        </w:tblPrEx>
        <w:trPr>
          <w:trHeight w:val="286"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二、会议费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r>
        <w:tblPrEx>
          <w:tblLayout w:type="fixed"/>
          <w:tblCellMar>
            <w:top w:w="0" w:type="dxa"/>
            <w:left w:w="170" w:type="dxa"/>
            <w:bottom w:w="0" w:type="dxa"/>
            <w:right w:w="170" w:type="dxa"/>
          </w:tblCellMar>
        </w:tblPrEx>
        <w:trPr>
          <w:trHeight w:val="389" w:hRule="atLeast"/>
        </w:trPr>
        <w:tc>
          <w:tcPr>
            <w:tcW w:w="4041"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textAlignment w:val="center"/>
              <w:rPr>
                <w:rFonts w:hint="default" w:cs="宋体"/>
                <w:color w:val="000000"/>
                <w:sz w:val="16"/>
                <w:szCs w:val="16"/>
              </w:rPr>
            </w:pPr>
            <w:r>
              <w:rPr>
                <w:rFonts w:cs="宋体"/>
                <w:color w:val="000000"/>
                <w:sz w:val="16"/>
                <w:szCs w:val="16"/>
              </w:rPr>
              <w:t>三、培训费</w:t>
            </w:r>
          </w:p>
        </w:tc>
        <w:tc>
          <w:tcPr>
            <w:tcW w:w="216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spacing w:line="200" w:lineRule="exact"/>
              <w:jc w:val="center"/>
              <w:textAlignment w:val="center"/>
              <w:rPr>
                <w:rFonts w:hint="default" w:cs="宋体"/>
                <w:color w:val="000000"/>
                <w:sz w:val="16"/>
                <w:szCs w:val="16"/>
              </w:rPr>
            </w:pPr>
            <w:r>
              <w:rPr>
                <w:rFonts w:cs="宋体"/>
                <w:color w:val="000000"/>
                <w:sz w:val="16"/>
                <w:szCs w:val="16"/>
              </w:rPr>
              <w:t>—</w:t>
            </w:r>
          </w:p>
        </w:tc>
        <w:tc>
          <w:tcPr>
            <w:tcW w:w="211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textAlignment w:val="bottom"/>
              <w:rPr>
                <w:rFonts w:hint="default" w:cs="宋体"/>
                <w:color w:val="000000"/>
                <w:sz w:val="16"/>
                <w:szCs w:val="16"/>
              </w:rPr>
            </w:pPr>
            <w:r>
              <w:rPr>
                <w:rFonts w:cs="宋体"/>
                <w:color w:val="000000"/>
                <w:sz w:val="16"/>
                <w:szCs w:val="16"/>
              </w:rPr>
              <w:t>0.46</w:t>
            </w:r>
            <w:r>
              <w:rPr>
                <w:color w:val="000000"/>
                <w:sz w:val="16"/>
              </w:rPr>
              <w:t xml:space="preserve"> </w:t>
            </w:r>
          </w:p>
        </w:tc>
        <w:tc>
          <w:tcPr>
            <w:tcW w:w="4524" w:type="dxa"/>
            <w:tcBorders>
              <w:top w:val="single" w:color="auto" w:sz="4" w:space="0"/>
              <w:left w:val="single" w:color="auto" w:sz="4" w:space="0"/>
              <w:bottom w:val="single" w:color="auto" w:sz="4" w:space="0"/>
              <w:right w:val="single" w:color="auto" w:sz="4" w:space="0"/>
            </w:tcBorders>
            <w:shd w:val="clear" w:color="FFFFFF" w:fill="C0C0C0"/>
            <w:tcMar>
              <w:top w:w="15" w:type="dxa"/>
              <w:left w:w="15" w:type="dxa"/>
              <w:right w:w="15" w:type="dxa"/>
            </w:tcMar>
            <w:vAlign w:val="center"/>
          </w:tcPr>
          <w:p>
            <w:pPr>
              <w:spacing w:line="200" w:lineRule="exact"/>
              <w:rPr>
                <w:rFonts w:hint="default" w:cs="宋体"/>
                <w:color w:val="000000"/>
                <w:sz w:val="16"/>
                <w:szCs w:val="16"/>
              </w:rPr>
            </w:pPr>
          </w:p>
        </w:tc>
        <w:tc>
          <w:tcPr>
            <w:tcW w:w="215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spacing w:line="200" w:lineRule="exact"/>
              <w:jc w:val="right"/>
              <w:rPr>
                <w:rFonts w:hint="default" w:cs="宋体"/>
                <w:color w:val="000000"/>
                <w:sz w:val="16"/>
                <w:szCs w:val="16"/>
              </w:rPr>
            </w:pPr>
          </w:p>
        </w:tc>
      </w:tr>
    </w:tbl>
    <w:p>
      <w:pPr>
        <w:rPr>
          <w:rFonts w:hint="default" w:cs="宋体"/>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sectPr>
      <w:headerReference r:id="rId4" w:type="default"/>
      <w:footerReference r:id="rId5" w:type="default"/>
      <w:pgSz w:w="16839" w:h="11907"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path/>
          <v:fill on="f" focussize="0,0"/>
          <v:stroke on="f" weight="0.5pt" joinstyle="miter"/>
          <v:imagedata o:title=""/>
          <o:lock v:ext="edit"/>
          <v:textbox inset="0mm,0mm,0mm,0mm" style="mso-fit-shape-to-text:t;">
            <w:txbxContent>
              <w:p>
                <w:pPr>
                  <w:pStyle w:val="3"/>
                  <w:rPr>
                    <w:rFonts w:hint="default"/>
                  </w:rPr>
                </w:pPr>
                <w:r>
                  <w:rPr>
                    <w:rFonts w:hint="default"/>
                  </w:rPr>
                  <w:fldChar w:fldCharType="begin"/>
                </w:r>
                <w:r>
                  <w:instrText xml:space="preserve"> PAGE  \* MERGEFORMAT </w:instrText>
                </w:r>
                <w:r>
                  <w:rPr>
                    <w:rFonts w:hint="default"/>
                  </w:rPr>
                  <w:fldChar w:fldCharType="separate"/>
                </w:r>
                <w:r>
                  <w:rPr>
                    <w:rFonts w:hint="default"/>
                  </w:rPr>
                  <w:t>- 12 -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path/>
          <v:fill on="f" focussize="0,0"/>
          <v:stroke on="f" weight="0.5pt" joinstyle="miter"/>
          <v:imagedata o:title=""/>
          <o:lock v:ext="edit"/>
          <v:textbox inset="0mm,0mm,0mm,0mm" style="mso-fit-shape-to-text:t;">
            <w:txbxContent>
              <w:p>
                <w:pPr>
                  <w:pStyle w:val="3"/>
                  <w:rPr>
                    <w:rFonts w:hint="default"/>
                  </w:rPr>
                </w:pPr>
                <w:r>
                  <w:t xml:space="preserve"> </w:t>
                </w: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21 -</w:t>
                </w:r>
                <w:r>
                  <w:rPr>
                    <w:rFonts w:hint="default"/>
                  </w:rPr>
                  <w:fldChar w:fldCharType="end"/>
                </w:r>
                <w:r>
                  <w:t xml:space="preserve"> </w:t>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documentProtection w:enforcement="0"/>
  <w:defaultTabStop w:val="420"/>
  <w:drawingGridHorizontalSpacing w:val="120"/>
  <w:drawingGridVerticalSpacing w:val="163"/>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1D3BB7"/>
    <w:rsid w:val="002B254B"/>
    <w:rsid w:val="003F54BE"/>
    <w:rsid w:val="00466C9B"/>
    <w:rsid w:val="0049490E"/>
    <w:rsid w:val="00550ABE"/>
    <w:rsid w:val="00586AC8"/>
    <w:rsid w:val="00770383"/>
    <w:rsid w:val="007819D4"/>
    <w:rsid w:val="007B16D0"/>
    <w:rsid w:val="007B419D"/>
    <w:rsid w:val="007B7C4B"/>
    <w:rsid w:val="007D3D39"/>
    <w:rsid w:val="008E49B3"/>
    <w:rsid w:val="00994AF7"/>
    <w:rsid w:val="009B67B8"/>
    <w:rsid w:val="009D2B67"/>
    <w:rsid w:val="009E6177"/>
    <w:rsid w:val="00A566F9"/>
    <w:rsid w:val="00AF2751"/>
    <w:rsid w:val="00B03CCD"/>
    <w:rsid w:val="00BE2B89"/>
    <w:rsid w:val="00C015CD"/>
    <w:rsid w:val="00C10E9E"/>
    <w:rsid w:val="00C20C3E"/>
    <w:rsid w:val="00E6044A"/>
    <w:rsid w:val="00EA1827"/>
    <w:rsid w:val="00F73F90"/>
    <w:rsid w:val="01474EBF"/>
    <w:rsid w:val="01F3521E"/>
    <w:rsid w:val="03B87EA0"/>
    <w:rsid w:val="03E3214F"/>
    <w:rsid w:val="044C50BA"/>
    <w:rsid w:val="04B7012B"/>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CA2FBE"/>
    <w:rsid w:val="11ED0F98"/>
    <w:rsid w:val="11F03528"/>
    <w:rsid w:val="12C921C4"/>
    <w:rsid w:val="13871C70"/>
    <w:rsid w:val="13A71CB4"/>
    <w:rsid w:val="13AF1D43"/>
    <w:rsid w:val="13CE1647"/>
    <w:rsid w:val="13FD55AB"/>
    <w:rsid w:val="14200702"/>
    <w:rsid w:val="163A6CEE"/>
    <w:rsid w:val="16B32B21"/>
    <w:rsid w:val="173708E3"/>
    <w:rsid w:val="17C374FC"/>
    <w:rsid w:val="18120A83"/>
    <w:rsid w:val="182E4AB6"/>
    <w:rsid w:val="189079DC"/>
    <w:rsid w:val="189B0D0B"/>
    <w:rsid w:val="18B43F7C"/>
    <w:rsid w:val="194A1770"/>
    <w:rsid w:val="19B537C4"/>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6E3002"/>
    <w:rsid w:val="25791755"/>
    <w:rsid w:val="26396DF4"/>
    <w:rsid w:val="27167136"/>
    <w:rsid w:val="271B442C"/>
    <w:rsid w:val="27B23302"/>
    <w:rsid w:val="29310A5F"/>
    <w:rsid w:val="29BF3E30"/>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BD05D0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46026E"/>
    <w:rsid w:val="44C37687"/>
    <w:rsid w:val="45CB699A"/>
    <w:rsid w:val="465B470D"/>
    <w:rsid w:val="469D6AD4"/>
    <w:rsid w:val="471E6C84"/>
    <w:rsid w:val="4748792B"/>
    <w:rsid w:val="475D719D"/>
    <w:rsid w:val="47674801"/>
    <w:rsid w:val="48225EF7"/>
    <w:rsid w:val="488F422B"/>
    <w:rsid w:val="48C773B5"/>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6A689C"/>
    <w:rsid w:val="52F163D4"/>
    <w:rsid w:val="531A2DB4"/>
    <w:rsid w:val="53C0244D"/>
    <w:rsid w:val="53DD4D4E"/>
    <w:rsid w:val="53E578CE"/>
    <w:rsid w:val="541330F0"/>
    <w:rsid w:val="54272666"/>
    <w:rsid w:val="543B029D"/>
    <w:rsid w:val="54861779"/>
    <w:rsid w:val="54945E6A"/>
    <w:rsid w:val="552256E1"/>
    <w:rsid w:val="554E5773"/>
    <w:rsid w:val="555829E0"/>
    <w:rsid w:val="555A3CBC"/>
    <w:rsid w:val="5582012B"/>
    <w:rsid w:val="558E4E05"/>
    <w:rsid w:val="55BE2E85"/>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7408B2"/>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 w:val="F7AFB6D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link w:val="16"/>
    <w:qFormat/>
    <w:uiPriority w:val="99"/>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字符"/>
    <w:basedOn w:val="7"/>
    <w:link w:val="2"/>
    <w:qFormat/>
    <w:uiPriority w:val="0"/>
    <w:rPr>
      <w:rFonts w:ascii="宋体" w:hAnsi="宋体"/>
      <w:sz w:val="18"/>
      <w:szCs w:val="18"/>
    </w:rPr>
  </w:style>
  <w:style w:type="character" w:customStyle="1" w:styleId="16">
    <w:name w:val="页眉 字符"/>
    <w:basedOn w:val="7"/>
    <w:link w:val="4"/>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26</Pages>
  <Words>2090</Words>
  <Characters>11915</Characters>
  <Lines>99</Lines>
  <Paragraphs>27</Paragraphs>
  <TotalTime>0</TotalTime>
  <ScaleCrop>false</ScaleCrop>
  <LinksUpToDate>false</LinksUpToDate>
  <CharactersWithSpaces>13978</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2024-07-11T10:00:00Z</dcterms:created>
  <dc:creator>Administrator</dc:creator>
  <cp:lastModifiedBy>龙妍旭</cp:lastModifiedBy>
  <dcterms:modified xsi:type="dcterms:W3CDTF">2024-12-26T02:01:36Z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