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垫江县科学技术协会</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ind w:firstLine="643" w:firstLineChars="200"/>
        <w:rPr>
          <w:rFonts w:hint="default" w:ascii="方正黑体_GBK" w:hAnsi="Times New Roman" w:eastAsia="方正黑体_GBK"/>
          <w:sz w:val="32"/>
          <w:szCs w:val="32"/>
        </w:rPr>
      </w:pPr>
      <w:r>
        <w:rPr>
          <w:rStyle w:val="9"/>
          <w:rFonts w:ascii="黑体" w:hAnsi="黑体" w:eastAsia="黑体" w:cs="黑体"/>
          <w:sz w:val="32"/>
          <w:szCs w:val="32"/>
          <w:shd w:val="clear" w:color="auto" w:fill="FFFFFF"/>
        </w:rPr>
        <w:t>一、部门基本情况</w:t>
      </w:r>
    </w:p>
    <w:p>
      <w:pPr>
        <w:widowControl w:val="0"/>
        <w:numPr>
          <w:ilvl w:val="0"/>
          <w:numId w:val="1"/>
        </w:numPr>
        <w:autoSpaceDE w:val="0"/>
        <w:spacing w:line="594" w:lineRule="exact"/>
        <w:ind w:firstLine="643" w:firstLineChars="200"/>
        <w:jc w:val="both"/>
        <w:rPr>
          <w:rFonts w:hint="default" w:ascii="方正楷体_GBK" w:hAnsi="Times New Roman" w:eastAsia="方正楷体_GBK"/>
          <w:b/>
          <w:sz w:val="32"/>
          <w:szCs w:val="32"/>
          <w:shd w:val="clear" w:color="auto" w:fill="FFFFFF"/>
        </w:rPr>
      </w:pPr>
      <w:r>
        <w:rPr>
          <w:rStyle w:val="14"/>
          <w:rFonts w:hint="eastAsia" w:ascii="方正楷体_GBK" w:hAnsi="方正楷体_GBK" w:eastAsia="方正楷体_GBK" w:cs="方正楷体_GBK"/>
          <w:sz w:val="32"/>
          <w:szCs w:val="32"/>
          <w:shd w:val="clear" w:color="auto" w:fill="FFFFFF"/>
        </w:rPr>
        <w:t>职能职责</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1.</w:t>
      </w:r>
      <w:r>
        <w:rPr>
          <w:rFonts w:ascii="方正仿宋_GBK" w:hAnsi="方正仿宋_GBK" w:eastAsia="方正仿宋_GBK" w:cs="方正仿宋_GBK"/>
          <w:b/>
          <w:sz w:val="32"/>
          <w:szCs w:val="32"/>
        </w:rPr>
        <w:t>增强政治性导向。</w:t>
      </w:r>
      <w:r>
        <w:rPr>
          <w:rFonts w:ascii="方正仿宋_GBK" w:hAnsi="方正仿宋_GBK" w:eastAsia="方正仿宋_GBK" w:cs="方正仿宋_GBK"/>
          <w:sz w:val="32"/>
          <w:szCs w:val="32"/>
        </w:rPr>
        <w:t>坚持党的领导，增强科协组织的政治性导向，贯彻落实党的意志和主张，坚定不移走中国特色社会主义群团发展道路，牢牢把握团结服务科技工作者的工作生命线，充分发挥党与科技工作者联系的桥梁和纽带作用。</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2.</w:t>
      </w:r>
      <w:r>
        <w:rPr>
          <w:rFonts w:ascii="方正仿宋_GBK" w:hAnsi="方正仿宋_GBK" w:eastAsia="方正仿宋_GBK" w:cs="方正仿宋_GBK"/>
          <w:b/>
          <w:sz w:val="32"/>
          <w:szCs w:val="32"/>
        </w:rPr>
        <w:t>突出基本定位。</w:t>
      </w:r>
      <w:r>
        <w:rPr>
          <w:rFonts w:ascii="方正仿宋_GBK" w:hAnsi="方正仿宋_GBK" w:eastAsia="方正仿宋_GBK" w:cs="方正仿宋_GBK"/>
          <w:sz w:val="32"/>
          <w:szCs w:val="32"/>
        </w:rPr>
        <w:t>强化四服务一加强，坚持服务科技工作者、服务创新驱动发展战略、服务公民科学素质提高、服务党委和政府科学决策，进一步加强自身建设，建成科技工作者之家、当好科技工作者之友。</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3.</w:t>
      </w:r>
      <w:r>
        <w:rPr>
          <w:rFonts w:ascii="方正仿宋_GBK" w:hAnsi="方正仿宋_GBK" w:eastAsia="方正仿宋_GBK" w:cs="方正仿宋_GBK"/>
          <w:b/>
          <w:sz w:val="32"/>
          <w:szCs w:val="32"/>
        </w:rPr>
        <w:t>拓展基层科协组织。</w:t>
      </w:r>
      <w:r>
        <w:rPr>
          <w:rFonts w:ascii="方正仿宋_GBK" w:hAnsi="方正仿宋_GBK" w:eastAsia="方正仿宋_GBK" w:cs="方正仿宋_GBK"/>
          <w:sz w:val="32"/>
          <w:szCs w:val="32"/>
        </w:rPr>
        <w:t>以科技工作者为主要工作对象，强化学会主体地位，强化专业技术协会建设，以学会、协会、园区、企业、农村等为主阵地，加强对新经济组织等领域的组织覆盖、工作覆盖。</w:t>
      </w:r>
    </w:p>
    <w:p>
      <w:pPr>
        <w:widowControl w:val="0"/>
        <w:autoSpaceDE w:val="0"/>
        <w:spacing w:line="594" w:lineRule="exact"/>
        <w:ind w:firstLine="643" w:firstLineChars="200"/>
        <w:jc w:val="both"/>
        <w:rPr>
          <w:rFonts w:hint="default" w:ascii="方正楷体_GBK" w:hAnsi="Times New Roman" w:eastAsia="方正楷体_GBK"/>
          <w:b/>
          <w:sz w:val="32"/>
          <w:szCs w:val="32"/>
        </w:rPr>
      </w:pPr>
      <w:r>
        <w:rPr>
          <w:rFonts w:ascii="方正楷体_GBK" w:hAnsi="方正楷体_GBK" w:eastAsia="方正楷体_GBK" w:cs="方正楷体_GBK"/>
          <w:b/>
          <w:sz w:val="32"/>
          <w:szCs w:val="32"/>
        </w:rPr>
        <w:t>主要职责：</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开展学术交流。组织学术报告和学术研讨活动，促进科学技术的繁荣和发展。</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开展科普工作。组织开展五大重点人群科学素质行动，实施四大科普基础工程，提高全民科学素质，推进科普示范县建设；组织全县性大型科普宣传活动；开展青少年科技教育活动，切实加强各类科普宣传教育。</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对县级学会进行管理，对乡镇（街道）科协和企事业科协进行业务指导，</w:t>
      </w:r>
      <w:r>
        <w:rPr>
          <w:rFonts w:hint="default" w:ascii="Times New Roman" w:hAnsi="Times New Roman" w:eastAsia="方正仿宋_GBK"/>
          <w:sz w:val="32"/>
          <w:szCs w:val="32"/>
        </w:rPr>
        <w:t xml:space="preserve"> </w:t>
      </w:r>
      <w:r>
        <w:rPr>
          <w:rFonts w:ascii="方正仿宋_GBK" w:hAnsi="方正仿宋_GBK" w:eastAsia="方正仿宋_GBK" w:cs="方正仿宋_GBK"/>
          <w:sz w:val="32"/>
          <w:szCs w:val="32"/>
        </w:rPr>
        <w:t>负责基层科普行动计划的组织实施。</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开展对科技工作者的专业技术培训和继续教育工作，培养农村和企业的科技实用人才，促进知识经济型人才的成长与提高。</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方正仿宋_GBK" w:hAnsi="方正仿宋_GBK" w:eastAsia="方正仿宋_GBK" w:cs="方正仿宋_GBK"/>
          <w:sz w:val="32"/>
          <w:szCs w:val="32"/>
        </w:rPr>
        <w:t>组织全县科技工作者建立以企业为主体的技术创新体系，为全面提升企业的自主创新能力作贡献。推广先进技术，开展科学论证、咨询服务，提出政策建议，促进科学技术成果的转化。</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w:t>
      </w:r>
      <w:r>
        <w:rPr>
          <w:rFonts w:ascii="方正仿宋_GBK" w:hAnsi="方正仿宋_GBK" w:eastAsia="方正仿宋_GBK" w:cs="方正仿宋_GBK"/>
          <w:sz w:val="32"/>
          <w:szCs w:val="32"/>
        </w:rPr>
        <w:t>组织科技工作者开展学术活动，推动学科发展；参与科学技术政策、重大科学技术项目的科学论证工作，开展软科学研究和决策咨询活动；组织科技工作者面向社会开展技术开发、技术组织、成果转化、技术咨询、技术承包等技术服务。</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方正仿宋_GBK" w:hAnsi="方正仿宋_GBK" w:eastAsia="方正仿宋_GBK" w:cs="方正仿宋_GBK"/>
          <w:sz w:val="32"/>
          <w:szCs w:val="32"/>
        </w:rPr>
        <w:t>向科技人员宣传党和国家的方针政策和法律法规；反映科技工作者建议、意见和诉求；举荐科技人才。</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w:t>
      </w:r>
      <w:r>
        <w:rPr>
          <w:rFonts w:ascii="方正仿宋_GBK" w:hAnsi="方正仿宋_GBK" w:eastAsia="方正仿宋_GBK" w:cs="方正仿宋_GBK"/>
          <w:sz w:val="32"/>
          <w:szCs w:val="32"/>
        </w:rPr>
        <w:t>举办符合科协宗旨的社会公益性事业。推动学会与企业的协作，发挥学会和企业、事业单位科协的作用。</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w:t>
      </w:r>
      <w:r>
        <w:rPr>
          <w:rFonts w:ascii="方正仿宋_GBK" w:hAnsi="方正仿宋_GBK" w:eastAsia="方正仿宋_GBK" w:cs="方正仿宋_GBK"/>
          <w:sz w:val="32"/>
          <w:szCs w:val="32"/>
        </w:rPr>
        <w:t>维护科技工作者的合法权益，科技工作者的合法权益受到侵犯时，应对其支持和帮助，向行为发生单位或有关部门提出处理建议。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w:t>
      </w:r>
      <w:r>
        <w:rPr>
          <w:rFonts w:ascii="方正仿宋_GBK" w:hAnsi="方正仿宋_GBK" w:eastAsia="方正仿宋_GBK" w:cs="方正仿宋_GBK"/>
          <w:sz w:val="32"/>
          <w:szCs w:val="32"/>
        </w:rPr>
        <w:t>完成县委、县政府交办的其他事项。</w:t>
      </w:r>
    </w:p>
    <w:p>
      <w:pPr>
        <w:pStyle w:val="15"/>
        <w:widowControl w:val="0"/>
        <w:spacing w:beforeAutospacing="0" w:afterAutospacing="0" w:line="594" w:lineRule="exact"/>
        <w:ind w:firstLine="643" w:firstLineChars="200"/>
        <w:jc w:val="both"/>
        <w:rPr>
          <w:rFonts w:hint="default" w:ascii="方正楷体_GBK" w:hAnsi="Times New Roman" w:eastAsia="方正楷体_GBK"/>
          <w:sz w:val="32"/>
          <w:szCs w:val="32"/>
        </w:rPr>
      </w:pPr>
      <w:r>
        <w:rPr>
          <w:rStyle w:val="14"/>
          <w:rFonts w:hint="eastAsia" w:ascii="方正楷体_GBK" w:hAnsi="方正楷体_GBK" w:eastAsia="方正楷体_GBK" w:cs="方正楷体_GBK"/>
          <w:sz w:val="32"/>
          <w:szCs w:val="32"/>
          <w:shd w:val="clear" w:color="auto" w:fill="FFFFFF"/>
        </w:rPr>
        <w:t>（二）机构设置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按照优化协同高效的原则，调整设置相关内设机构。调整后，共计设置内设机构</w:t>
      </w:r>
      <w:r>
        <w:rPr>
          <w:rFonts w:hint="default" w:ascii="Times New Roman" w:hAnsi="Times New Roman" w:eastAsia="方正仿宋_GBK"/>
          <w:sz w:val="32"/>
          <w:szCs w:val="32"/>
        </w:rPr>
        <w:t>2</w:t>
      </w:r>
      <w:r>
        <w:rPr>
          <w:rFonts w:ascii="方正仿宋_GBK" w:hAnsi="方正仿宋_GBK" w:eastAsia="方正仿宋_GBK" w:cs="方正仿宋_GBK"/>
          <w:sz w:val="32"/>
          <w:szCs w:val="32"/>
        </w:rPr>
        <w:t>个。具体设置及主要职责分别是：</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办公室：</w:t>
      </w:r>
      <w:r>
        <w:rPr>
          <w:rFonts w:ascii="方正仿宋_GBK" w:hAnsi="方正仿宋_GBK" w:eastAsia="方正仿宋_GBK" w:cs="方正仿宋_GBK"/>
          <w:sz w:val="32"/>
          <w:szCs w:val="32"/>
        </w:rPr>
        <w:t>综合协调机关工作。负责机关干部政工人事、劳资、福利工作。负责机关政务督办、政务信息、政务接待工作。负责机关文秘、档案、信访、普法、提案（议案）、计划生育、综合治理、保卫保密、安全卫生、精神文明等工作。负责机关行政管理、财务管理和后勤服务工作。参与全县性大型科普宣传活动，推动科普网络建设。</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普及科：</w:t>
      </w:r>
      <w:r>
        <w:rPr>
          <w:rFonts w:ascii="方正仿宋_GBK" w:hAnsi="方正仿宋_GBK" w:eastAsia="方正仿宋_GBK" w:cs="方正仿宋_GBK"/>
          <w:sz w:val="32"/>
          <w:szCs w:val="32"/>
        </w:rPr>
        <w:t>推进全民科学素质提高，实施四大科普基础工程。组织全县性大型科普宣传活动，组织实施基层科普行动计划。推动青少年科普工作，组织青少年参加科技创新大赛、科技模型大赛等大型科技活动。对各学会（协会）及乡镇（街道）科协和企事业科协进行业务指导。开展学术交流，组织学术报告和学术研讨活动。举荐科技人才，维护科技工作者的合法权益。开展对科技工作者的专业技术培训和继续教育工作，培养农村和企业科技实用人才。推广先进技术，开展科学论证、咨询服务，促进科学技术成果的转化。推动金融机构为农技协和科协会员的金融服务，举办符合科协宗旨的社会公益性事业。</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2023年度收入总计197.57万元，支出总计</w:t>
      </w:r>
      <w:r>
        <w:rPr>
          <w:rFonts w:ascii="方正仿宋_GBK" w:hAnsi="方正仿宋_GBK" w:eastAsia="方正仿宋_GBK" w:cs="方正仿宋_GBK"/>
          <w:sz w:val="32"/>
          <w:szCs w:val="32"/>
        </w:rPr>
        <w:t>197.57</w:t>
      </w:r>
      <w:r>
        <w:rPr>
          <w:rFonts w:ascii="方正仿宋_GBK" w:hAnsi="方正仿宋_GBK" w:eastAsia="方正仿宋_GBK" w:cs="方正仿宋_GBK"/>
          <w:sz w:val="32"/>
          <w:szCs w:val="32"/>
          <w:shd w:val="clear" w:color="auto" w:fill="FFFFFF"/>
        </w:rPr>
        <w:t>万元。收支较上年决算数增加197.57万元，增长100.00%，主要原因是部门为新增单位，上年度无数据。</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2023年度收入合计196.71万元，较上年决算数增加196.71万元，增长100.00%，主要原因是部门为新增单位，上年度无数据。其中：财政拨款收入</w:t>
      </w:r>
      <w:r>
        <w:rPr>
          <w:rFonts w:ascii="方正仿宋_GBK" w:hAnsi="方正仿宋_GBK" w:eastAsia="方正仿宋_GBK" w:cs="方正仿宋_GBK"/>
          <w:sz w:val="32"/>
          <w:szCs w:val="32"/>
        </w:rPr>
        <w:t>196.71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195.78</w:t>
      </w:r>
      <w:r>
        <w:rPr>
          <w:rFonts w:ascii="方正仿宋_GBK" w:hAnsi="方正仿宋_GBK" w:eastAsia="方正仿宋_GBK" w:cs="方正仿宋_GBK"/>
          <w:sz w:val="32"/>
          <w:szCs w:val="32"/>
          <w:shd w:val="clear" w:color="auto" w:fill="FFFFFF"/>
        </w:rPr>
        <w:t>万元，较上年决算数增加195.78万元，增长100.00%，主要原因是部门为新增单位，上年度无数据。其中：基本支出</w:t>
      </w:r>
      <w:r>
        <w:rPr>
          <w:rFonts w:ascii="方正仿宋_GBK" w:hAnsi="方正仿宋_GBK" w:eastAsia="方正仿宋_GBK" w:cs="方正仿宋_GBK"/>
          <w:sz w:val="32"/>
          <w:szCs w:val="32"/>
        </w:rPr>
        <w:t>91.73</w:t>
      </w:r>
      <w:r>
        <w:rPr>
          <w:rFonts w:ascii="方正仿宋_GBK" w:hAnsi="方正仿宋_GBK" w:eastAsia="方正仿宋_GBK" w:cs="方正仿宋_GBK"/>
          <w:sz w:val="32"/>
          <w:szCs w:val="32"/>
          <w:shd w:val="clear" w:color="auto" w:fill="FFFFFF"/>
        </w:rPr>
        <w:t>万元，占46.85%；项目支出</w:t>
      </w:r>
      <w:r>
        <w:rPr>
          <w:rFonts w:ascii="方正仿宋_GBK" w:hAnsi="方正仿宋_GBK" w:eastAsia="方正仿宋_GBK" w:cs="方正仿宋_GBK"/>
          <w:sz w:val="32"/>
          <w:szCs w:val="32"/>
        </w:rPr>
        <w:t>104.05</w:t>
      </w:r>
      <w:r>
        <w:rPr>
          <w:rFonts w:ascii="方正仿宋_GBK" w:hAnsi="方正仿宋_GBK" w:eastAsia="方正仿宋_GBK" w:cs="方正仿宋_GBK"/>
          <w:sz w:val="32"/>
          <w:szCs w:val="32"/>
          <w:shd w:val="clear" w:color="auto" w:fill="FFFFFF"/>
        </w:rPr>
        <w:t>万元，占53.15%；经营支出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万元，较上年决算数增加1.79万元，增长100.00%，主要原因是部门为新增单位，上年度无数据。</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2023年度财政拨款收、支总计197.57万元。与2022年相比，财政拨款收、支总计各增加197.57万元，增长100.00%。主要原因是部门为新增单位，上年度无数据。</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196.71</w:t>
      </w:r>
      <w:r>
        <w:rPr>
          <w:rFonts w:ascii="方正仿宋_GBK" w:hAnsi="方正仿宋_GBK" w:eastAsia="方正仿宋_GBK" w:cs="方正仿宋_GBK"/>
          <w:sz w:val="32"/>
          <w:szCs w:val="32"/>
          <w:shd w:val="clear" w:color="auto" w:fill="FFFFFF"/>
        </w:rPr>
        <w:t>万元，较上年决算数增加196.71万元，增长100.00%。主要原因是部门为新增单位，上年度无数据。较年初预算数减少74.16万元，下降27.38%。主要原因是减少科普项目经费。此外，年初财政拨款结转和结余</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195.78</w:t>
      </w:r>
      <w:r>
        <w:rPr>
          <w:rFonts w:ascii="方正仿宋_GBK" w:hAnsi="方正仿宋_GBK" w:eastAsia="方正仿宋_GBK" w:cs="方正仿宋_GBK"/>
          <w:sz w:val="32"/>
          <w:szCs w:val="32"/>
          <w:shd w:val="clear" w:color="auto" w:fill="FFFFFF"/>
        </w:rPr>
        <w:t>万元，较上年决算数增加195.78万元，增长100.00%。主要原因是部门为新增单位，上年度无数据。较年初预算数减少75.09万元，下降27.72%。主要原因是减少科普项目经费。</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万元，较上年决算数增加1.79万元，增长100.00%，主要原因是部门为新增单位，上年度无数据。</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15"/>
        <w:widowControl w:val="0"/>
        <w:spacing w:beforeAutospacing="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%，较年初预算数减少0.19万元，下降90.48%，主要原因是减少职工培训支出。</w:t>
      </w:r>
    </w:p>
    <w:p>
      <w:pPr>
        <w:pStyle w:val="15"/>
        <w:widowControl w:val="0"/>
        <w:spacing w:beforeAutospacing="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（2）科学技术支出</w:t>
      </w:r>
      <w:r>
        <w:rPr>
          <w:rFonts w:ascii="方正仿宋_GBK" w:hAnsi="方正仿宋_GBK" w:eastAsia="方正仿宋_GBK" w:cs="方正仿宋_GBK"/>
          <w:sz w:val="32"/>
          <w:szCs w:val="32"/>
        </w:rPr>
        <w:t>179.55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91.71</w:t>
      </w:r>
      <w:r>
        <w:rPr>
          <w:rFonts w:ascii="方正仿宋_GBK" w:hAnsi="方正仿宋_GBK" w:eastAsia="方正仿宋_GBK" w:cs="方正仿宋_GBK"/>
          <w:sz w:val="32"/>
          <w:szCs w:val="32"/>
          <w:shd w:val="clear" w:color="auto" w:fill="FFFFFF"/>
        </w:rPr>
        <w:t>%，较年初预算数减少78.09万元，下降30.31%，主要原因是调整科普项目经费指标到乡镇街道及县教委。</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4.06</w:t>
      </w:r>
      <w:r>
        <w:rPr>
          <w:rFonts w:ascii="方正仿宋_GBK" w:hAnsi="方正仿宋_GBK" w:eastAsia="方正仿宋_GBK" w:cs="方正仿宋_GBK"/>
          <w:sz w:val="32"/>
          <w:szCs w:val="32"/>
          <w:shd w:val="clear" w:color="auto" w:fill="FFFFFF"/>
        </w:rPr>
        <w:t>%，较年初预算数增加1.14万元，增长16.76%，主要原因是2023年1月遴选增加1名工作人员，增加社会保障与就业支出。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%，较年初预算数增加0.47万元，增长16.61%，主要原因是2023年1月遴选增加1名工作人员，增加卫生健康支出。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住房保障支出4.97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%，较年初预算数增加1.57万元，增长46.18%，主要原因是2023年1月遴选增加1名工作人员，增加住房保障支出。</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11"/>
        <w:widowControl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91.73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84.19</w:t>
      </w:r>
      <w:r>
        <w:rPr>
          <w:rFonts w:ascii="方正仿宋_GBK" w:hAnsi="方正仿宋_GBK" w:eastAsia="方正仿宋_GBK" w:cs="方正仿宋_GBK"/>
          <w:sz w:val="32"/>
          <w:szCs w:val="32"/>
          <w:shd w:val="clear" w:color="auto" w:fill="FFFFFF"/>
        </w:rPr>
        <w:t>万元，较上年决算数增加84.19万元，增长100.00%，主要原</w:t>
      </w:r>
      <w:r>
        <w:rPr>
          <w:rFonts w:hint="eastAsia" w:ascii="方正仿宋_GBK" w:hAnsi="方正仿宋_GBK" w:eastAsia="方正仿宋_GBK" w:cs="方正仿宋_GBK"/>
          <w:sz w:val="32"/>
          <w:szCs w:val="32"/>
          <w:shd w:val="clear" w:color="auto" w:fill="FFFFFF"/>
        </w:rPr>
        <w:t>因是部门为新增单位，上年度无数据。人员经费用途主要包括基本工资、津贴补贴、绩效工资、养老保险、医疗保险、其他社会保障缴费、职业年金、住房公积金、医疗费。公用经费7.54万元，较上年决算数增加7.54万元，增长100.00%，主要原因是部门为新增单位，上年度无数据。公用经费用途主要包括办公费、邮电费、印刷费、差旅费、会议费、培训费、公务接待费、工会经费、劳务费、其他交通费、其他商品和服务支出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w:t>
      </w: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年度无政府性基金预算财政拨款收支。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w:t>
      </w:r>
      <w:r>
        <w:rPr>
          <w:rFonts w:ascii="方正仿宋_GBK" w:hAnsi="方正仿宋_GBK" w:eastAsia="方正仿宋_GBK" w:cs="方正仿宋_GBK"/>
          <w:sz w:val="32"/>
          <w:szCs w:val="32"/>
          <w:shd w:val="clear" w:color="auto" w:fill="FFFFFF"/>
        </w:rPr>
        <w:t>本部门2023年度无国有资本经营预算财政拨款支出。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较年初预算数减少0.20万元，下降25.00%，主要原因是认真贯彻落实中央八项规定精神和厉行减少要求。强化公务接待支出管理，严格遵守公务接待开支范围和开支标准，严格控制陪餐人数，对应由接待对象承担的费用一律由接待对象自行支付。较上年支出数增加0.60万元，增长100.00%，主要原因是部门为新增单位，上年度无数据。</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0.60万元，主要用于接待市科协领导莅临垫江调研、专家教授到垫江开展科技教育乡村行活动、市科协领导莅临垫江检查市级科普基地等接待费。费用支出较年初预算数减少0.20万元，下降25.00%，主要原因是</w:t>
      </w:r>
      <w:bookmarkStart w:id="0" w:name="_GoBack"/>
      <w:bookmarkEnd w:id="0"/>
      <w:r>
        <w:rPr>
          <w:rFonts w:ascii="方正仿宋_GBK" w:hAnsi="方正仿宋_GBK" w:eastAsia="方正仿宋_GBK" w:cs="方正仿宋_GBK"/>
          <w:sz w:val="32"/>
          <w:szCs w:val="32"/>
          <w:shd w:val="clear" w:color="auto" w:fill="FFFFFF"/>
        </w:rPr>
        <w:t>认真贯彻落实中央八项规定精神和厉行减少要求。较上年支出数增加0.60万元，增长100.00%，主要原因是部门为新增单位，上年度无数据。</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94.67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万元，较上年决算数增加0.13万元，增长100.00%，主要原因是部门为新增单位，上年度无数据。本年度培训费支出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万元，较上年决算数增加0.02万元，增长100.00%，主要原因是部门为新增单位，上年度无数据。</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10"/>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2023年度本部门机关运行经费支出0.00万元，机关运行经费较上年支出数无增减，主要原因是按照部门决算列报口径，我单位不在机关运行经费统计范围之内。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%。2023年度我部门未发生政府采购事项，无相关经费支出。</w:t>
      </w:r>
    </w:p>
    <w:p>
      <w:pPr>
        <w:pStyle w:val="5"/>
        <w:numPr>
          <w:ilvl w:val="0"/>
          <w:numId w:val="2"/>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根据预算绩效管理要求，我单位对部门整体和2个二级项目开展了绩效自评，涉及财政拨款项目支出资金104.98万元；</w:t>
      </w:r>
      <w:r>
        <w:rPr>
          <w:rFonts w:hint="eastAsia" w:ascii="方正仿宋_GBK" w:hAnsi="方正仿宋_GBK" w:eastAsia="方正仿宋_GBK" w:cs="方正仿宋_GBK"/>
          <w:sz w:val="32"/>
          <w:szCs w:val="32"/>
          <w:shd w:val="clear" w:color="auto" w:fill="FFFFFF"/>
        </w:rPr>
        <w:t>我单位坚持</w:t>
      </w:r>
      <w:r>
        <w:rPr>
          <w:rFonts w:hint="eastAsia" w:ascii="方正仿宋_GBK" w:hAnsi="Times New Roman" w:eastAsia="方正仿宋_GBK"/>
          <w:sz w:val="32"/>
          <w:szCs w:val="32"/>
          <w:shd w:val="clear" w:color="auto" w:fill="FFFFFF"/>
        </w:rPr>
        <w:t>“统筹兼顾、收支平衡”的总</w:t>
      </w:r>
      <w:r>
        <w:rPr>
          <w:rFonts w:hint="eastAsia" w:ascii="方正仿宋_GBK" w:hAnsi="方正仿宋_GBK" w:eastAsia="方正仿宋_GBK" w:cs="方正仿宋_GBK"/>
          <w:sz w:val="32"/>
          <w:szCs w:val="32"/>
          <w:shd w:val="clear" w:color="auto" w:fill="FFFFFF"/>
        </w:rPr>
        <w:t>原则，采取目标责任制的预算管理方式，指定专人负责，确保资金申报、审核、审批、拨付环节有人签。严格按流程审批，实施单位专款专用，不存在截留、挤占、挪用。</w:t>
      </w:r>
    </w:p>
    <w:p>
      <w:pPr>
        <w:pStyle w:val="11"/>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object>
          <v:shape id="_x0000_i1025" o:spt="75" type="#_x0000_t75" style="height:339.6pt;width:416.7pt;" o:ole="t" filled="f" o:preferrelative="t" stroked="f" coordsize="21600,21600">
            <v:path/>
            <v:fill on="f" focussize="0,0"/>
            <v:stroke on="f"/>
            <v:imagedata r:id="rId8" o:title=""/>
            <o:lock v:ext="edit" aspectratio="f"/>
            <w10:wrap type="none"/>
            <w10:anchorlock/>
          </v:shape>
          <o:OLEObject Type="Embed" ProgID="Excel.Sheet.12" ShapeID="_x0000_i1025" DrawAspect="Content" ObjectID="_1468075725" r:id="rId7">
            <o:LockedField>false</o:LockedField>
          </o:OLEObject>
        </w:object>
      </w:r>
      <w:r>
        <w:rPr>
          <w:rFonts w:hint="eastAsia" w:ascii="方正仿宋_GBK" w:hAnsi="方正仿宋_GBK" w:eastAsia="方正仿宋_GBK" w:cs="方正仿宋_GBK"/>
          <w:sz w:val="28"/>
          <w:szCs w:val="28"/>
          <w:shd w:val="clear" w:color="auto" w:fill="FFFFFF"/>
          <w:lang w:bidi="ar"/>
        </w:rPr>
        <w:t>项目支出绩效自评表（二级项目）</w:t>
      </w:r>
    </w:p>
    <w:p>
      <w:pPr>
        <w:pStyle w:val="11"/>
        <w:spacing w:before="0" w:beforeAutospacing="0"/>
        <w:rPr>
          <w:rFonts w:ascii="方正仿宋_GBK" w:hAnsi="方正仿宋_GBK" w:eastAsia="方正仿宋_GBK" w:cs="方正仿宋_GBK"/>
          <w:sz w:val="28"/>
          <w:szCs w:val="28"/>
          <w:shd w:val="clear" w:color="auto" w:fill="FFFFFF"/>
          <w:lang w:bidi="ar"/>
        </w:rPr>
      </w:pPr>
      <w:r>
        <w:rPr>
          <w:rFonts w:ascii="方正仿宋_GBK" w:hAnsi="方正仿宋_GBK" w:eastAsia="方正仿宋_GBK" w:cs="方正仿宋_GBK"/>
          <w:sz w:val="32"/>
          <w:szCs w:val="32"/>
          <w:shd w:val="clear" w:color="auto" w:fill="FFFFFF"/>
        </w:rPr>
        <w:pict>
          <v:shape id="_x0000_s1027" o:spid="_x0000_s1027" o:spt="75" type="#_x0000_t75" style="position:absolute;left:0pt;margin-left:-13.2pt;margin-top:43.5pt;height:606.5pt;width:468.85pt;mso-wrap-distance-bottom:0pt;mso-wrap-distance-top:0pt;z-index:251658240;mso-width-relative:page;mso-height-relative:page;" o:ole="t" filled="f" o:preferrelative="t" stroked="f" coordsize="21600,21600">
            <v:path/>
            <v:fill on="f" focussize="0,0"/>
            <v:stroke on="f"/>
            <v:imagedata r:id="rId10" o:title=""/>
            <o:lock v:ext="edit" aspectratio="f"/>
            <w10:wrap type="topAndBottom"/>
          </v:shape>
          <o:OLEObject Type="Embed" ProgID="Excel.Sheet.12" ShapeID="_x0000_s1027" DrawAspect="Content" ObjectID="_1468075726" r:id="rId9">
            <o:LockedField>false</o:LockedField>
          </o:OLEObject>
        </w:pict>
      </w:r>
      <w:r>
        <w:rPr>
          <w:rFonts w:hint="eastAsia" w:ascii="方正仿宋_GBK" w:hAnsi="方正仿宋_GBK" w:eastAsia="方正仿宋_GBK" w:cs="方正仿宋_GBK"/>
          <w:sz w:val="32"/>
          <w:szCs w:val="32"/>
          <w:shd w:val="clear" w:color="auto" w:fill="FFFFFF"/>
        </w:rPr>
        <w:t xml:space="preserve"> </w:t>
      </w:r>
    </w:p>
    <w:p>
      <w:pPr>
        <w:pStyle w:val="10"/>
        <w:autoSpaceDE w:val="0"/>
        <w:ind w:firstLine="64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object>
          <v:shape id="_x0000_i1026" o:spt="75" type="#_x0000_t75" style="height:232.6pt;width:416.7pt;" o:ole="t" filled="f" o:preferrelative="t" stroked="f" coordsize="21600,21600">
            <v:path/>
            <v:fill on="f" focussize="0,0"/>
            <v:stroke on="f"/>
            <v:imagedata r:id="rId12" o:title=""/>
            <o:lock v:ext="edit" aspectratio="t"/>
            <w10:wrap type="none"/>
            <w10:anchorlock/>
          </v:shape>
          <o:OLEObject Type="Embed" ProgID="Excel.Sheet.12" ShapeID="_x0000_i1026" DrawAspect="Content" ObjectID="_1468075727" r:id="rId11">
            <o:LockedField>false</o:LockedField>
          </o:OLEObject>
        </w:object>
      </w:r>
      <w:r>
        <w:rPr>
          <w:rFonts w:hint="eastAsia" w:ascii="方正仿宋_GBK" w:hAnsi="方正仿宋_GBK" w:eastAsia="方正仿宋_GBK" w:cs="方正仿宋_GBK"/>
          <w:sz w:val="32"/>
          <w:szCs w:val="32"/>
          <w:shd w:val="clear" w:color="auto" w:fill="FFFFFF"/>
        </w:rPr>
        <w:t xml:space="preserve">  </w:t>
      </w:r>
      <w:r>
        <w:rPr>
          <w:rFonts w:hint="eastAsia" w:ascii="楷体" w:hAnsi="楷体" w:eastAsia="楷体" w:cs="楷体"/>
          <w:b/>
          <w:bCs/>
          <w:sz w:val="32"/>
          <w:szCs w:val="32"/>
          <w:shd w:val="clear" w:color="auto" w:fill="FFFFFF"/>
          <w:lang w:bidi="ar"/>
        </w:rPr>
        <w:t>（二）部门绩效评价情况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0"/>
        <w:tabs>
          <w:tab w:val="left" w:pos="0"/>
        </w:tabs>
        <w:autoSpaceDE w:val="0"/>
        <w:ind w:left="480" w:leftChars="200"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本单位决算公开信息反馈和联系方式：刘老师，023-74527956</w:t>
      </w: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公开部门：垫江县科学技术协会</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195.78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0.86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197.57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197.57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公开部门：垫江县科学技术协会</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196.71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196.71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机构运行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垫江县科学技术协会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195.78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91.73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104.05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机构运行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垫江县科学技术协会</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195.78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195.78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0.86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197.57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197.57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197.57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垫江县科学技术协会</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195.78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91.73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104.05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179.55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机构运行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99.25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99.25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99.25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垫江县科学技术协会</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0.59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0.59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84.19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7.54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垫江县科学技术协会</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垫江县科学技术协会</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垫江县科学技术协会</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0.13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0.02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908DA"/>
    <w:multiLevelType w:val="multilevel"/>
    <w:tmpl w:val="AC5908DA"/>
    <w:lvl w:ilvl="0" w:tentative="0">
      <w:start w:val="1"/>
      <w:numFmt w:val="chineseCounting"/>
      <w:suff w:val="nothing"/>
      <w:lvlText w:val="（%1）"/>
      <w:lvlJc w:val="left"/>
      <w:pPr>
        <w:tabs>
          <w:tab w:val="left" w:pos="0"/>
        </w:tabs>
        <w:ind w:left="0" w:firstLine="0"/>
      </w:pPr>
      <w:rPr>
        <w:rFonts w:hint="eastAsia" w:ascii="方正楷体_GBK" w:hAnsi="宋体" w:eastAsia="方正楷体_GBK" w:cs="方正楷体_GBK"/>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B46C2"/>
    <w:rsid w:val="002E5443"/>
    <w:rsid w:val="003327EB"/>
    <w:rsid w:val="0033647E"/>
    <w:rsid w:val="00550ABE"/>
    <w:rsid w:val="00572BF9"/>
    <w:rsid w:val="005A6996"/>
    <w:rsid w:val="0061348C"/>
    <w:rsid w:val="007B419D"/>
    <w:rsid w:val="009B67B8"/>
    <w:rsid w:val="00B03CCD"/>
    <w:rsid w:val="00B70228"/>
    <w:rsid w:val="00E62F62"/>
    <w:rsid w:val="00E76362"/>
    <w:rsid w:val="00F73F90"/>
    <w:rsid w:val="01474EBF"/>
    <w:rsid w:val="01F3521E"/>
    <w:rsid w:val="024706A3"/>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25169"/>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737C76"/>
    <w:rsid w:val="13871C70"/>
    <w:rsid w:val="13A71CB4"/>
    <w:rsid w:val="13AF1D43"/>
    <w:rsid w:val="13CE1647"/>
    <w:rsid w:val="13FD55AB"/>
    <w:rsid w:val="14200702"/>
    <w:rsid w:val="163A6CEE"/>
    <w:rsid w:val="173708E3"/>
    <w:rsid w:val="17C374FC"/>
    <w:rsid w:val="18520A0A"/>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8D22FB"/>
    <w:rsid w:val="2EBF7B3E"/>
    <w:rsid w:val="2FCA4B37"/>
    <w:rsid w:val="2FE029D7"/>
    <w:rsid w:val="2FF06E00"/>
    <w:rsid w:val="30562E26"/>
    <w:rsid w:val="30586FEC"/>
    <w:rsid w:val="315F0B22"/>
    <w:rsid w:val="319D022C"/>
    <w:rsid w:val="31C90022"/>
    <w:rsid w:val="31D84415"/>
    <w:rsid w:val="32285F6F"/>
    <w:rsid w:val="32770556"/>
    <w:rsid w:val="329C0913"/>
    <w:rsid w:val="32AA0460"/>
    <w:rsid w:val="32B57A91"/>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BD5B6E"/>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3DE7485"/>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5AEF"/>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F85C97"/>
    <w:rsid w:val="56530F5D"/>
    <w:rsid w:val="567700D3"/>
    <w:rsid w:val="56FF7E9E"/>
    <w:rsid w:val="578867FC"/>
    <w:rsid w:val="5842572D"/>
    <w:rsid w:val="58B64217"/>
    <w:rsid w:val="5A3B59D6"/>
    <w:rsid w:val="5AD134D8"/>
    <w:rsid w:val="5B2B2457"/>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56151"/>
    <w:rsid w:val="72DB435C"/>
    <w:rsid w:val="72E2613A"/>
    <w:rsid w:val="72F771F4"/>
    <w:rsid w:val="736650B0"/>
    <w:rsid w:val="73934AD2"/>
    <w:rsid w:val="750837F0"/>
    <w:rsid w:val="754758CF"/>
    <w:rsid w:val="75CD68BD"/>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9"/>
    <w:basedOn w:val="8"/>
    <w:qFormat/>
    <w:uiPriority w:val="0"/>
    <w:rPr>
      <w:rFonts w:hint="default" w:ascii="Times New Roman" w:hAnsi="Times New Roman" w:cs="Times New Roman"/>
      <w:b/>
    </w:rPr>
  </w:style>
  <w:style w:type="paragraph" w:customStyle="1" w:styleId="15">
    <w:name w:val="普通(网站) Char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2207</Words>
  <Characters>12582</Characters>
  <Lines>104</Lines>
  <Paragraphs>29</Paragraphs>
  <TotalTime>12</TotalTime>
  <ScaleCrop>false</ScaleCrop>
  <LinksUpToDate>false</LinksUpToDate>
  <CharactersWithSpaces>14760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2024-12-24T03:58:13Z</dcterms:modified>
  <dc:title>垫江县科学技术协会2023年度决算公开说明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