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4" w:lineRule="exact"/>
        <w:jc w:val="center"/>
        <w:rPr>
          <w:rFonts w:hint="default" w:ascii="Times New Roman" w:hAnsi="Times New Roman" w:eastAsia="方正小标宋_GBK"/>
          <w:sz w:val="44"/>
          <w:szCs w:val="44"/>
        </w:rPr>
      </w:pPr>
      <w:r>
        <w:rPr>
          <w:rFonts w:hint="default" w:ascii="Times New Roman" w:hAnsi="Times New Roman" w:eastAsia="方正小标宋_GBK"/>
          <w:sz w:val="44"/>
          <w:szCs w:val="44"/>
        </w:rPr>
        <w:t>垫江县法学会</w:t>
      </w:r>
    </w:p>
    <w:p>
      <w:pPr>
        <w:pStyle w:val="6"/>
        <w:spacing w:before="0" w:beforeAutospacing="0" w:after="0" w:afterAutospacing="0" w:line="594" w:lineRule="exact"/>
        <w:jc w:val="center"/>
        <w:rPr>
          <w:rFonts w:hint="default" w:ascii="Times New Roman" w:hAnsi="Times New Roman" w:eastAsia="方正小标宋_GBK"/>
          <w:sz w:val="44"/>
          <w:szCs w:val="44"/>
          <w:shd w:val="clear" w:color="auto" w:fill="FFFFFF"/>
        </w:rPr>
      </w:pPr>
      <w:r>
        <w:rPr>
          <w:rFonts w:hint="default" w:ascii="Times New Roman" w:hAnsi="Times New Roman" w:eastAsia="方正小标宋_GBK"/>
          <w:sz w:val="44"/>
          <w:szCs w:val="44"/>
          <w:shd w:val="clear" w:color="auto" w:fill="FFFFFF"/>
        </w:rPr>
        <w:t>2024年度决算公开说明</w:t>
      </w:r>
    </w:p>
    <w:p>
      <w:pPr>
        <w:pStyle w:val="6"/>
        <w:shd w:val="clear" w:color="auto" w:fill="FFFFFF"/>
        <w:spacing w:before="0" w:beforeAutospacing="0" w:after="0" w:afterAutospacing="0" w:line="594" w:lineRule="exact"/>
        <w:ind w:firstLine="643" w:firstLineChars="200"/>
        <w:jc w:val="both"/>
        <w:rPr>
          <w:rStyle w:val="10"/>
          <w:rFonts w:hint="default" w:ascii="Times New Roman" w:hAnsi="Times New Roman" w:eastAsia="黑体"/>
          <w:sz w:val="32"/>
          <w:szCs w:val="32"/>
          <w:shd w:val="clear" w:color="auto" w:fill="FFFFFF"/>
        </w:rPr>
      </w:pPr>
      <w:r>
        <w:rPr>
          <w:rStyle w:val="10"/>
          <w:rFonts w:hint="default" w:ascii="Times New Roman" w:hAnsi="Times New Roman" w:eastAsia="黑体"/>
          <w:sz w:val="32"/>
          <w:szCs w:val="32"/>
          <w:shd w:val="clear" w:color="auto" w:fill="FFFFFF"/>
        </w:rPr>
        <w:t>一、单位基本情况</w:t>
      </w:r>
    </w:p>
    <w:p>
      <w:pPr>
        <w:pStyle w:val="6"/>
        <w:shd w:val="clear" w:color="auto" w:fill="FFFFFF"/>
        <w:spacing w:beforeAutospacing="0" w:afterAutospacing="0" w:line="594" w:lineRule="exact"/>
        <w:ind w:firstLine="420"/>
        <w:jc w:val="both"/>
        <w:rPr>
          <w:rFonts w:hint="default" w:ascii="Times New Roman" w:hAnsi="Times New Roman" w:eastAsia="方正仿宋_GBK"/>
          <w:sz w:val="32"/>
          <w:szCs w:val="32"/>
        </w:rPr>
      </w:pPr>
      <w:r>
        <w:rPr>
          <w:rStyle w:val="10"/>
          <w:rFonts w:hint="default" w:ascii="Times New Roman" w:hAnsi="Times New Roman" w:eastAsia="楷体"/>
          <w:sz w:val="32"/>
          <w:szCs w:val="32"/>
          <w:shd w:val="clear" w:color="auto" w:fill="FFFFFF"/>
        </w:rPr>
        <w:t>（一）职能职责</w:t>
      </w:r>
    </w:p>
    <w:p>
      <w:pPr>
        <w:pStyle w:val="6"/>
        <w:shd w:val="clear" w:color="auto" w:fill="FFFFFF"/>
        <w:spacing w:beforeAutospacing="0" w:afterAutospacing="0" w:line="594" w:lineRule="exact"/>
        <w:ind w:firstLine="42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1.组织法学工作者、法律工作者学习和贯彻党的基本理论、基本路线、基本纲领、基本经验，学习社会主义法治理念和宪法法律，提高政治素质和业务素质，坚持正确的政治方向。</w:t>
      </w:r>
    </w:p>
    <w:p>
      <w:pPr>
        <w:pStyle w:val="6"/>
        <w:shd w:val="clear" w:color="auto" w:fill="FFFFFF"/>
        <w:spacing w:beforeAutospacing="0" w:afterAutospacing="0" w:line="594" w:lineRule="exact"/>
        <w:ind w:firstLine="42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2.推进基层法学研究、法学理论创新、法律制度创新和法治文化创新，促进法学研究成果的推广和应用转化，为社会主义民主法治建设提供理论支持和智力服务。</w:t>
      </w:r>
    </w:p>
    <w:p>
      <w:pPr>
        <w:pStyle w:val="6"/>
        <w:shd w:val="clear" w:color="auto" w:fill="FFFFFF"/>
        <w:spacing w:beforeAutospacing="0" w:afterAutospacing="0" w:line="594" w:lineRule="exact"/>
        <w:ind w:firstLine="42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3.参与政治协商、科学决策、民主监督和地方性、行业性法治评估工作，对本县改革开放和法治垫江建设中的实践问题，进行调查</w:t>
      </w:r>
      <w:r>
        <w:rPr>
          <w:rFonts w:hint="eastAsia" w:ascii="Times New Roman" w:hAnsi="Times New Roman" w:eastAsia="方正仿宋_GBK"/>
          <w:sz w:val="32"/>
          <w:szCs w:val="32"/>
          <w:shd w:val="clear" w:color="auto" w:fill="FFFFFF"/>
          <w:lang w:eastAsia="zh-CN"/>
        </w:rPr>
        <w:t>研究</w:t>
      </w:r>
      <w:r>
        <w:rPr>
          <w:rFonts w:hint="default" w:ascii="Times New Roman" w:hAnsi="Times New Roman" w:eastAsia="方正仿宋_GBK"/>
          <w:sz w:val="32"/>
          <w:szCs w:val="32"/>
          <w:shd w:val="clear" w:color="auto" w:fill="FFFFFF"/>
        </w:rPr>
        <w:t>、学术研讨，提出对策和建议，加强信息交流和传播。</w:t>
      </w:r>
    </w:p>
    <w:p>
      <w:pPr>
        <w:pStyle w:val="6"/>
        <w:shd w:val="clear" w:color="auto" w:fill="FFFFFF"/>
        <w:spacing w:beforeAutospacing="0" w:afterAutospacing="0" w:line="594" w:lineRule="exact"/>
        <w:ind w:firstLine="42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4.参与法治宣传、法治教育和法律法规修改、咨询、论证工作。</w:t>
      </w:r>
    </w:p>
    <w:p>
      <w:pPr>
        <w:pStyle w:val="6"/>
        <w:shd w:val="clear" w:color="auto" w:fill="FFFFFF"/>
        <w:spacing w:beforeAutospacing="0" w:afterAutospacing="0" w:line="594" w:lineRule="exact"/>
        <w:ind w:firstLine="42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5.协助政法部门开展调研、平安创建和法治创建工作。</w:t>
      </w:r>
    </w:p>
    <w:p>
      <w:pPr>
        <w:pStyle w:val="6"/>
        <w:shd w:val="clear" w:color="auto" w:fill="FFFFFF"/>
        <w:spacing w:beforeAutospacing="0" w:afterAutospacing="0" w:line="594" w:lineRule="exact"/>
        <w:ind w:firstLine="42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6.发挥人才、智力优势，开展多种形式的法律服务，向党政机关和其他组织推荐法律顾问，参与法律顾问工作。</w:t>
      </w:r>
    </w:p>
    <w:p>
      <w:pPr>
        <w:pStyle w:val="6"/>
        <w:shd w:val="clear" w:color="auto" w:fill="FFFFFF"/>
        <w:spacing w:beforeAutospacing="0" w:afterAutospacing="0" w:line="594" w:lineRule="exact"/>
        <w:ind w:firstLine="42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7.组织评选和表彰优秀法学人才和优秀法学成果等活动，反映会员和法学界、法律界的意见与要求，维护会员的合法权益，营造尊重人才、鼓励创新的良好环境。</w:t>
      </w:r>
    </w:p>
    <w:p>
      <w:pPr>
        <w:pStyle w:val="6"/>
        <w:shd w:val="clear" w:color="auto" w:fill="FFFFFF"/>
        <w:spacing w:beforeAutospacing="0" w:afterAutospacing="0" w:line="594" w:lineRule="exact"/>
        <w:ind w:firstLine="42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8.承担县委交办的其他工作。</w:t>
      </w:r>
    </w:p>
    <w:p>
      <w:pPr>
        <w:pStyle w:val="6"/>
        <w:shd w:val="clear" w:color="auto" w:fill="FFFFFF"/>
        <w:spacing w:beforeAutospacing="0" w:afterAutospacing="0" w:line="594" w:lineRule="exact"/>
        <w:ind w:firstLine="420"/>
        <w:jc w:val="both"/>
        <w:rPr>
          <w:rFonts w:hint="default" w:ascii="Times New Roman" w:hAnsi="Times New Roman" w:eastAsia="楷体"/>
          <w:sz w:val="32"/>
          <w:szCs w:val="32"/>
        </w:rPr>
      </w:pPr>
      <w:r>
        <w:rPr>
          <w:rStyle w:val="10"/>
          <w:rFonts w:hint="default" w:ascii="Times New Roman" w:hAnsi="Times New Roman" w:eastAsia="楷体"/>
          <w:sz w:val="32"/>
          <w:szCs w:val="32"/>
          <w:shd w:val="clear" w:color="auto" w:fill="FFFFFF"/>
        </w:rPr>
        <w:t>（二）机构设置</w:t>
      </w:r>
    </w:p>
    <w:p>
      <w:pPr>
        <w:pStyle w:val="6"/>
        <w:shd w:val="clear" w:color="auto" w:fill="FFFFFF"/>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1.办公室</w:t>
      </w:r>
    </w:p>
    <w:p>
      <w:pPr>
        <w:pStyle w:val="6"/>
        <w:shd w:val="clear" w:color="auto" w:fill="FFFFFF"/>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负责法学会机关党建和政工人事工作，承担文秘、内外联系、综合协调、会务、档案、信息、宣传、后勤、安全、信访等管理工作。</w:t>
      </w:r>
    </w:p>
    <w:p>
      <w:pPr>
        <w:pStyle w:val="6"/>
        <w:shd w:val="clear" w:color="auto" w:fill="FFFFFF"/>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2.会员联络科</w:t>
      </w:r>
    </w:p>
    <w:p>
      <w:pPr>
        <w:pStyle w:val="6"/>
        <w:shd w:val="clear" w:color="auto" w:fill="FFFFFF"/>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负责会员的发展、管理、联系和服务工作；组织、推动各种形式的法学研究和学术交流活动；组织专业研究会及会员参与对法律法规修改、咨询和论证工作；组织、推动与县外法学、法律界的交流与合作；组织评选和表彰优秀法学人才和优秀法学成果等活动。</w:t>
      </w:r>
    </w:p>
    <w:p>
      <w:pPr>
        <w:pStyle w:val="6"/>
        <w:shd w:val="clear" w:color="auto" w:fill="FFFFFF"/>
        <w:spacing w:before="0" w:beforeAutospacing="0" w:after="0" w:afterAutospacing="0" w:line="594" w:lineRule="exact"/>
        <w:ind w:firstLine="643" w:firstLineChars="200"/>
        <w:jc w:val="both"/>
        <w:rPr>
          <w:rStyle w:val="10"/>
          <w:rFonts w:hint="default" w:ascii="Times New Roman" w:hAnsi="Times New Roman" w:eastAsia="黑体"/>
          <w:sz w:val="32"/>
          <w:szCs w:val="32"/>
          <w:shd w:val="clear" w:color="auto" w:fill="FFFFFF"/>
        </w:rPr>
      </w:pPr>
      <w:r>
        <w:rPr>
          <w:rStyle w:val="10"/>
          <w:rFonts w:hint="default" w:ascii="Times New Roman" w:hAnsi="Times New Roman" w:eastAsia="黑体"/>
          <w:sz w:val="32"/>
          <w:szCs w:val="32"/>
          <w:shd w:val="clear" w:color="auto" w:fill="FFFFFF"/>
        </w:rPr>
        <w:t>二、单位决算收支情况说明</w:t>
      </w:r>
    </w:p>
    <w:p>
      <w:pPr>
        <w:pStyle w:val="11"/>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（一）收入支出决算总体情况说明。</w:t>
      </w:r>
    </w:p>
    <w:p>
      <w:pPr>
        <w:pStyle w:val="6"/>
        <w:shd w:val="clear" w:color="auto" w:fill="FFFFFF"/>
        <w:spacing w:beforeAutospacing="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1.总体情况。</w:t>
      </w:r>
      <w:r>
        <w:rPr>
          <w:rFonts w:hint="default" w:ascii="Times New Roman" w:hAnsi="Times New Roman" w:eastAsia="方正仿宋_GBK"/>
          <w:sz w:val="32"/>
          <w:szCs w:val="32"/>
          <w:shd w:val="clear" w:color="auto" w:fill="FFFFFF"/>
        </w:rPr>
        <w:t>2024年度收入总计76.49万元，支出总计</w:t>
      </w:r>
      <w:r>
        <w:rPr>
          <w:rFonts w:hint="default" w:ascii="Times New Roman" w:hAnsi="Times New Roman" w:eastAsia="方正仿宋_GBK"/>
          <w:sz w:val="32"/>
          <w:szCs w:val="32"/>
        </w:rPr>
        <w:t>76.49</w:t>
      </w:r>
      <w:r>
        <w:rPr>
          <w:rFonts w:hint="default" w:ascii="Times New Roman" w:hAnsi="Times New Roman" w:eastAsia="方正仿宋_GBK"/>
          <w:sz w:val="32"/>
          <w:szCs w:val="32"/>
          <w:shd w:val="clear" w:color="auto" w:fill="FFFFFF"/>
        </w:rPr>
        <w:t>万元。收、支与2023年度相比，减少15.64万元，下降16.98%，主要原因是2023年度清算了以前年度超额绩效，导致2024年收入较上年变动浮动较大。</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2.收入情况。</w:t>
      </w:r>
      <w:r>
        <w:rPr>
          <w:rFonts w:hint="default" w:ascii="Times New Roman" w:hAnsi="Times New Roman" w:eastAsia="方正仿宋_GBK"/>
          <w:sz w:val="32"/>
          <w:szCs w:val="32"/>
          <w:shd w:val="clear" w:color="auto" w:fill="FFFFFF"/>
        </w:rPr>
        <w:t>2024年度收入合计76.49万元，与2023年度相比，减少15.64万元，下降16.98%，主要原因是2023年度清算了以前年度超额绩效，导致2024年收入较上年变动浮动较大。其中：财政拨款收入</w:t>
      </w:r>
      <w:r>
        <w:rPr>
          <w:rFonts w:hint="default" w:ascii="Times New Roman" w:hAnsi="Times New Roman" w:eastAsia="方正仿宋_GBK"/>
          <w:sz w:val="32"/>
          <w:szCs w:val="32"/>
        </w:rPr>
        <w:t>76.49</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%；事业收入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万元，占0.00%；经营收入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万元，占0.00%；其他收入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万元，占0.00%。此外，使用非财政拨款结余和专用结余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万元，年初结转和结余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3.支出情况。</w:t>
      </w:r>
      <w:r>
        <w:rPr>
          <w:rFonts w:hint="default" w:ascii="Times New Roman" w:hAnsi="Times New Roman" w:eastAsia="方正仿宋_GBK"/>
          <w:sz w:val="32"/>
          <w:szCs w:val="32"/>
          <w:shd w:val="clear" w:color="auto" w:fill="FFFFFF"/>
        </w:rPr>
        <w:t>2024年度支出合计</w:t>
      </w:r>
      <w:r>
        <w:rPr>
          <w:rFonts w:hint="default" w:ascii="Times New Roman" w:hAnsi="Times New Roman" w:eastAsia="方正仿宋_GBK"/>
          <w:sz w:val="32"/>
          <w:szCs w:val="32"/>
        </w:rPr>
        <w:t>76.49</w:t>
      </w:r>
      <w:r>
        <w:rPr>
          <w:rFonts w:hint="default" w:ascii="Times New Roman" w:hAnsi="Times New Roman" w:eastAsia="方正仿宋_GBK"/>
          <w:sz w:val="32"/>
          <w:szCs w:val="32"/>
          <w:shd w:val="clear" w:color="auto" w:fill="FFFFFF"/>
        </w:rPr>
        <w:t>万元，与2023年度相比，减少15.64万元，下降16.98%，主要原因是2023年度清算了以前年度超额绩效，导致2024年收入较上年变动浮动较大。其中：基本支出</w:t>
      </w:r>
      <w:r>
        <w:rPr>
          <w:rFonts w:hint="default" w:ascii="Times New Roman" w:hAnsi="Times New Roman" w:eastAsia="方正仿宋_GBK"/>
          <w:sz w:val="32"/>
          <w:szCs w:val="32"/>
        </w:rPr>
        <w:t>76.49</w:t>
      </w:r>
      <w:r>
        <w:rPr>
          <w:rFonts w:hint="default" w:ascii="Times New Roman" w:hAnsi="Times New Roman" w:eastAsia="方正仿宋_GBK"/>
          <w:sz w:val="32"/>
          <w:szCs w:val="32"/>
          <w:shd w:val="clear" w:color="auto" w:fill="FFFFFF"/>
        </w:rPr>
        <w:t>万元，占100.00%；项目支出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万元，占0.00%。此外，结余分配</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4.结转结余情况。</w:t>
      </w:r>
      <w:r>
        <w:rPr>
          <w:rFonts w:hint="default" w:ascii="Times New Roman" w:hAnsi="Times New Roman" w:eastAsia="方正仿宋_GBK"/>
          <w:sz w:val="32"/>
          <w:szCs w:val="32"/>
          <w:shd w:val="clear" w:color="auto" w:fill="FFFFFF"/>
        </w:rPr>
        <w:t>2024年度年末结转和结余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万元，与2023年度相比，无增减，主要原因是2024年度本单位年末无结转和结余。</w:t>
      </w:r>
    </w:p>
    <w:p>
      <w:pPr>
        <w:pStyle w:val="11"/>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（二）财政拨款收入支出决算总体情况说明</w:t>
      </w:r>
    </w:p>
    <w:p>
      <w:pPr>
        <w:pStyle w:val="11"/>
        <w:autoSpaceDE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2024年度财政拨款收、支总计76.49万元。与2023年相比，财政拨款收、支总计各减少15.64万元，下降16.98%。主要原因是2023年度清算了以前年度超额绩效，导致2024年收入较上年变动浮动较大。</w:t>
      </w:r>
    </w:p>
    <w:p>
      <w:pPr>
        <w:pStyle w:val="11"/>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（三）一般公共预算财政拨款收入支出决算情况说明</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w:t>
      </w:r>
      <w:r>
        <w:rPr>
          <w:rFonts w:hint="default" w:ascii="Times New Roman" w:hAnsi="Times New Roman" w:eastAsia="方正仿宋_GBK"/>
          <w:sz w:val="32"/>
          <w:szCs w:val="32"/>
        </w:rPr>
        <w:t>76.49</w:t>
      </w:r>
      <w:r>
        <w:rPr>
          <w:rFonts w:hint="default" w:ascii="Times New Roman" w:hAnsi="Times New Roman" w:eastAsia="方正仿宋_GBK"/>
          <w:sz w:val="32"/>
          <w:szCs w:val="32"/>
          <w:shd w:val="clear" w:color="auto" w:fill="FFFFFF"/>
        </w:rPr>
        <w:t>万元，与2023年度相比，减少15.64万元，下降16.98%。主要原因是2023年度清算了以前年度超额绩效，导致2024年收入较上年变动浮动较大。较年初预算数增加1.73万元，增长2.31%。主要原因是正常增资、政策性调资等。此外，年初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w:t>
      </w:r>
      <w:r>
        <w:rPr>
          <w:rFonts w:hint="default" w:ascii="Times New Roman" w:hAnsi="Times New Roman" w:eastAsia="方正仿宋_GBK"/>
          <w:sz w:val="32"/>
          <w:szCs w:val="32"/>
        </w:rPr>
        <w:t>76.49</w:t>
      </w:r>
      <w:r>
        <w:rPr>
          <w:rFonts w:hint="default" w:ascii="Times New Roman" w:hAnsi="Times New Roman" w:eastAsia="方正仿宋_GBK"/>
          <w:sz w:val="32"/>
          <w:szCs w:val="32"/>
          <w:shd w:val="clear" w:color="auto" w:fill="FFFFFF"/>
        </w:rPr>
        <w:t>万元，与2023年度相比，减少15.64万元，下降16.98%。主要原因是2023年度清算了以前年度超额绩效，导致2024年收入较上年变动浮动较大。较年初预算数增加1.73万元，增长2.31%。主要原因是正常增资、政策性调资等。</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2024年度年末一般公共预算财政拨款结转和结余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万元，与2023年度相比，无增减，主要原因是2024年度本单位年末无结转和结余。</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color w:val="FF0000"/>
          <w:sz w:val="32"/>
          <w:szCs w:val="32"/>
          <w:highlight w:val="cyan"/>
          <w:shd w:val="clear" w:color="auto" w:fill="FFFFFF"/>
        </w:rPr>
      </w:pPr>
      <w:r>
        <w:rPr>
          <w:rStyle w:val="10"/>
          <w:rFonts w:hint="default" w:ascii="Times New Roman" w:hAnsi="Times New Roman" w:eastAsia="方正仿宋_GBK"/>
          <w:sz w:val="32"/>
          <w:szCs w:val="32"/>
          <w:shd w:val="clear" w:color="auto" w:fill="FFFFFF"/>
        </w:rPr>
        <w:t xml:space="preserve"> 4.比较情况。</w:t>
      </w:r>
      <w:r>
        <w:rPr>
          <w:rFonts w:hint="default" w:ascii="Times New Roman" w:hAnsi="Times New Roman" w:eastAsia="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（1）一般公共服务支出</w:t>
      </w:r>
      <w:r>
        <w:rPr>
          <w:rFonts w:hint="default" w:ascii="Times New Roman" w:hAnsi="Times New Roman" w:eastAsia="方正仿宋_GBK"/>
          <w:sz w:val="32"/>
          <w:szCs w:val="32"/>
        </w:rPr>
        <w:t>57.69</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75.43</w:t>
      </w:r>
      <w:r>
        <w:rPr>
          <w:rFonts w:hint="default" w:ascii="Times New Roman" w:hAnsi="Times New Roman" w:eastAsia="方正仿宋_GBK"/>
          <w:sz w:val="32"/>
          <w:szCs w:val="32"/>
          <w:shd w:val="clear" w:color="auto" w:fill="FFFFFF"/>
        </w:rPr>
        <w:t>%，较年初预算数减少3.58万元，下降5.84%，主要原因是2023年度清算了以前年度超额绩效，导致2024年收入较上年变动浮动较大。</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（2）教育支出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%，较年初预算数减少0.22万元，下降100.00%，主要原因是本年度未开展培训。</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（3）社会保障与就业支出</w:t>
      </w:r>
      <w:r>
        <w:rPr>
          <w:rFonts w:hint="default" w:ascii="Times New Roman" w:hAnsi="Times New Roman" w:eastAsia="方正仿宋_GBK"/>
          <w:sz w:val="32"/>
          <w:szCs w:val="32"/>
        </w:rPr>
        <w:t>10.12</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13.23</w:t>
      </w:r>
      <w:r>
        <w:rPr>
          <w:rFonts w:hint="default" w:ascii="Times New Roman" w:hAnsi="Times New Roman" w:eastAsia="方正仿宋_GBK"/>
          <w:sz w:val="32"/>
          <w:szCs w:val="32"/>
          <w:shd w:val="clear" w:color="auto" w:fill="FFFFFF"/>
        </w:rPr>
        <w:t>%，较年初预算数增加3.20万元，增长46.24%，主要原因是根据最新政策社保基数调增。</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（4）卫生健康支出</w:t>
      </w:r>
      <w:r>
        <w:rPr>
          <w:rFonts w:hint="default" w:ascii="Times New Roman" w:hAnsi="Times New Roman" w:eastAsia="方正仿宋_GBK"/>
          <w:sz w:val="32"/>
          <w:szCs w:val="32"/>
        </w:rPr>
        <w:t>2.84</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3.71</w:t>
      </w:r>
      <w:r>
        <w:rPr>
          <w:rFonts w:hint="default" w:ascii="Times New Roman" w:hAnsi="Times New Roman" w:eastAsia="方正仿宋_GBK"/>
          <w:sz w:val="32"/>
          <w:szCs w:val="32"/>
          <w:shd w:val="clear" w:color="auto" w:fill="FFFFFF"/>
        </w:rPr>
        <w:t>%，较年初预算数减少0.04万元，下降1.39%，主要原因是实际支付医疗保险数据与年初预算数有细微偏差。</w:t>
      </w:r>
    </w:p>
    <w:p>
      <w:pPr>
        <w:spacing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（5）</w:t>
      </w:r>
      <w:r>
        <w:rPr>
          <w:rFonts w:hint="default" w:ascii="Times New Roman" w:hAnsi="Times New Roman" w:eastAsia="方正仿宋_GBK"/>
          <w:sz w:val="32"/>
          <w:szCs w:val="32"/>
        </w:rPr>
        <w:t>住房保障支出5.84</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7.63</w:t>
      </w:r>
      <w:r>
        <w:rPr>
          <w:rFonts w:hint="default" w:ascii="Times New Roman" w:hAnsi="Times New Roman" w:eastAsia="方正仿宋_GBK"/>
          <w:sz w:val="32"/>
          <w:szCs w:val="32"/>
          <w:shd w:val="clear" w:color="auto" w:fill="FFFFFF"/>
        </w:rPr>
        <w:t>%，较年初预算数增加2.38万元，增长68.79%，主要原因是正常增资、政策性调资等调增基数。</w:t>
      </w:r>
    </w:p>
    <w:p>
      <w:pPr>
        <w:pStyle w:val="11"/>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（四）一般公共预算财政拨款基本支出决算情况说明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2024年度一般公共财政拨款基本支出</w:t>
      </w:r>
      <w:r>
        <w:rPr>
          <w:rFonts w:hint="default" w:ascii="Times New Roman" w:hAnsi="Times New Roman" w:eastAsia="方正仿宋_GBK"/>
          <w:sz w:val="32"/>
          <w:szCs w:val="32"/>
        </w:rPr>
        <w:t>76.49</w:t>
      </w:r>
      <w:r>
        <w:rPr>
          <w:rFonts w:hint="default" w:ascii="Times New Roman" w:hAnsi="Times New Roman" w:eastAsia="方正仿宋_GBK"/>
          <w:sz w:val="32"/>
          <w:szCs w:val="32"/>
          <w:shd w:val="clear" w:color="auto" w:fill="FFFFFF"/>
        </w:rPr>
        <w:t>万元。其中：人员经费</w:t>
      </w:r>
      <w:r>
        <w:rPr>
          <w:rFonts w:hint="default" w:ascii="Times New Roman" w:hAnsi="Times New Roman" w:eastAsia="方正仿宋_GBK"/>
          <w:sz w:val="32"/>
          <w:szCs w:val="32"/>
        </w:rPr>
        <w:t>73.42</w:t>
      </w:r>
      <w:r>
        <w:rPr>
          <w:rFonts w:hint="default" w:ascii="Times New Roman" w:hAnsi="Times New Roman" w:eastAsia="方正仿宋_GBK"/>
          <w:sz w:val="32"/>
          <w:szCs w:val="32"/>
          <w:shd w:val="clear" w:color="auto" w:fill="FFFFFF"/>
        </w:rPr>
        <w:t>万元，与2023年度相比，减少7.32万元，下降9.07%，主要原因是2023年清算了以前年度超额绩效，导致2024年的收入较上年变动浮动较大。人员经费用途主要包括基本工资、津贴补贴、绩效工资、社会保障缴费、住房公积金、医疗费。公用经费</w:t>
      </w:r>
      <w:r>
        <w:rPr>
          <w:rFonts w:hint="default" w:ascii="Times New Roman" w:hAnsi="Times New Roman" w:eastAsia="方正仿宋_GBK"/>
          <w:sz w:val="32"/>
          <w:szCs w:val="32"/>
        </w:rPr>
        <w:t>3.06</w:t>
      </w:r>
      <w:r>
        <w:rPr>
          <w:rFonts w:hint="default" w:ascii="Times New Roman" w:hAnsi="Times New Roman" w:eastAsia="方正仿宋_GBK"/>
          <w:sz w:val="32"/>
          <w:szCs w:val="32"/>
          <w:shd w:val="clear" w:color="auto" w:fill="FFFFFF"/>
        </w:rPr>
        <w:t>万元，与2023年度相比，减少8.33万元，下降73.13%，主要原因是认真贯彻落实中央八项规定精神和厉行节约要求，加强了公用经费使用管理。公用经费用途主要包括办公费、邮电费、差旅费、培训费、工会经费、福利费等。</w:t>
      </w:r>
    </w:p>
    <w:p>
      <w:pPr>
        <w:pStyle w:val="11"/>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（五）政府性基金预算收支决算情况说明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w:t>
      </w:r>
      <w:bookmarkStart w:id="0" w:name="_GoBack"/>
      <w:bookmarkEnd w:id="0"/>
      <w:r>
        <w:rPr>
          <w:rFonts w:ascii="Times New Roman" w:hAnsi="Times New Roman" w:eastAsia="方正仿宋_GBK"/>
          <w:color w:val="000000" w:themeColor="text1"/>
          <w:sz w:val="32"/>
          <w:szCs w:val="32"/>
          <w:shd w:val="clear" w:color="auto" w:fill="FFFFFF"/>
        </w:rPr>
        <w:t>是本年度无政府性基金预算财政拨款支出。本单位2024年度无政府性基金预算财政拨款收支。</w:t>
      </w:r>
    </w:p>
    <w:p>
      <w:pPr>
        <w:pStyle w:val="11"/>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（六）国有资本经营预算财政拨款支出决算情况说明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 2024年度国有资本经营预算财政拨</w:t>
      </w:r>
      <w:r>
        <w:rPr>
          <w:rFonts w:hint="eastAsia" w:ascii="方正仿宋_GBK" w:hAnsi="方正仿宋_GBK" w:eastAsia="方正仿宋_GBK" w:cs="方正仿宋_GBK"/>
          <w:sz w:val="32"/>
          <w:szCs w:val="32"/>
          <w:shd w:val="clear" w:color="auto" w:fill="FFFFFF"/>
          <w:lang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shd w:val="clear" w:color="auto" w:fill="FFFFFF"/>
        <w:spacing w:before="0" w:beforeAutospacing="0" w:after="0" w:afterAutospacing="0" w:line="594" w:lineRule="exact"/>
        <w:ind w:firstLine="643" w:firstLineChars="200"/>
        <w:jc w:val="both"/>
        <w:rPr>
          <w:rStyle w:val="10"/>
          <w:rFonts w:hint="default" w:ascii="Times New Roman" w:hAnsi="Times New Roman" w:eastAsia="黑体"/>
          <w:sz w:val="32"/>
          <w:szCs w:val="32"/>
          <w:shd w:val="clear" w:color="auto" w:fill="FFFFFF"/>
        </w:rPr>
      </w:pPr>
      <w:r>
        <w:rPr>
          <w:rStyle w:val="10"/>
          <w:rFonts w:hint="default" w:ascii="Times New Roman" w:hAnsi="Times New Roman" w:eastAsia="黑体"/>
          <w:sz w:val="32"/>
          <w:szCs w:val="32"/>
          <w:shd w:val="clear" w:color="auto" w:fill="FFFFFF"/>
        </w:rPr>
        <w:t>三、财政拨款</w:t>
      </w:r>
      <w:r>
        <w:rPr>
          <w:rStyle w:val="10"/>
          <w:rFonts w:hint="eastAsia" w:ascii="Times New Roman" w:hAnsi="Times New Roman" w:eastAsia="黑体"/>
          <w:sz w:val="32"/>
          <w:szCs w:val="32"/>
          <w:shd w:val="clear" w:color="auto" w:fill="FFFFFF"/>
          <w:lang w:eastAsia="zh-CN"/>
        </w:rPr>
        <w:t>三公</w:t>
      </w:r>
      <w:r>
        <w:rPr>
          <w:rStyle w:val="10"/>
          <w:rFonts w:hint="default" w:ascii="Times New Roman" w:hAnsi="Times New Roman" w:eastAsia="黑体"/>
          <w:sz w:val="32"/>
          <w:szCs w:val="32"/>
          <w:shd w:val="clear" w:color="auto" w:fill="FFFFFF"/>
        </w:rPr>
        <w:t>经费情况说明</w:t>
      </w:r>
    </w:p>
    <w:p>
      <w:pPr>
        <w:pStyle w:val="11"/>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 xml:space="preserve"> （一）</w:t>
      </w:r>
      <w:r>
        <w:rPr>
          <w:rFonts w:hint="eastAsia" w:ascii="Times New Roman" w:hAnsi="Times New Roman" w:eastAsia="楷体"/>
          <w:b/>
          <w:bCs/>
          <w:sz w:val="32"/>
          <w:szCs w:val="32"/>
          <w:shd w:val="clear" w:color="auto" w:fill="FFFFFF"/>
          <w:lang w:eastAsia="zh-CN"/>
        </w:rPr>
        <w:t>三公</w:t>
      </w:r>
      <w:r>
        <w:rPr>
          <w:rFonts w:ascii="Times New Roman" w:hAnsi="Times New Roman" w:eastAsia="楷体"/>
          <w:b/>
          <w:bCs/>
          <w:sz w:val="32"/>
          <w:szCs w:val="32"/>
          <w:shd w:val="clear" w:color="auto" w:fill="FFFFFF"/>
        </w:rPr>
        <w:t>经费支出总体情况说明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w:t>
      </w:r>
      <w:r>
        <w:rPr>
          <w:rFonts w:hint="eastAsia" w:ascii="Times New Roman" w:hAnsi="Times New Roman" w:eastAsia="方正仿宋_GBK"/>
          <w:sz w:val="32"/>
          <w:szCs w:val="32"/>
          <w:shd w:val="clear" w:color="auto" w:fill="FFFFFF"/>
          <w:lang w:eastAsia="zh-CN"/>
        </w:rPr>
        <w:t>三公</w:t>
      </w:r>
      <w:r>
        <w:rPr>
          <w:rFonts w:hint="default" w:ascii="Times New Roman" w:hAnsi="Times New Roman" w:eastAsia="方正仿宋_GBK"/>
          <w:sz w:val="32"/>
          <w:szCs w:val="32"/>
          <w:shd w:val="clear" w:color="auto" w:fill="FFFFFF"/>
        </w:rPr>
        <w:t>经费支出共计</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万元，较年初预算数减少1.00万元，下降100.00%，主要原因是本单位</w:t>
      </w:r>
      <w:r>
        <w:rPr>
          <w:rFonts w:ascii="Times New Roman" w:hAnsi="Times New Roman" w:eastAsia="方正仿宋_GBK"/>
          <w:sz w:val="32"/>
          <w:szCs w:val="32"/>
          <w:shd w:val="clear" w:color="auto" w:fill="FFFFFF"/>
        </w:rPr>
        <w:t>本年度无</w:t>
      </w:r>
      <w:r>
        <w:rPr>
          <w:rFonts w:hint="eastAsia" w:ascii="Times New Roman" w:hAnsi="Times New Roman" w:eastAsia="方正仿宋_GBK"/>
          <w:sz w:val="32"/>
          <w:szCs w:val="32"/>
          <w:shd w:val="clear" w:color="auto" w:fill="FFFFFF"/>
          <w:lang w:eastAsia="zh-CN"/>
        </w:rPr>
        <w:t>三公</w:t>
      </w:r>
      <w:r>
        <w:rPr>
          <w:rFonts w:hint="default" w:ascii="Times New Roman" w:hAnsi="Times New Roman" w:eastAsia="方正仿宋_GBK"/>
          <w:sz w:val="32"/>
          <w:szCs w:val="32"/>
          <w:shd w:val="clear" w:color="auto" w:fill="FFFFFF"/>
        </w:rPr>
        <w:t>经费支出。较上年支出数无增减，</w:t>
      </w:r>
      <w:r>
        <w:rPr>
          <w:rFonts w:ascii="方正仿宋_GBK" w:hAnsi="方正仿宋_GBK" w:eastAsia="方正仿宋_GBK" w:cs="方正仿宋_GBK"/>
          <w:sz w:val="32"/>
          <w:szCs w:val="32"/>
          <w:shd w:val="clear" w:color="auto" w:fill="FFFFFF"/>
        </w:rPr>
        <w:t>主要原因是我单位本年及上年均未发生</w:t>
      </w:r>
      <w:r>
        <w:rPr>
          <w:rFonts w:hint="eastAsia" w:ascii="方正仿宋_GBK" w:hAnsi="方正仿宋_GBK" w:eastAsia="方正仿宋_GBK" w:cs="方正仿宋_GBK"/>
          <w:sz w:val="32"/>
          <w:szCs w:val="32"/>
          <w:shd w:val="clear" w:color="auto" w:fill="FFFFFF"/>
          <w:lang w:eastAsia="zh-CN"/>
        </w:rPr>
        <w:t>三公</w:t>
      </w:r>
      <w:r>
        <w:rPr>
          <w:rFonts w:ascii="方正仿宋_GBK" w:hAnsi="方正仿宋_GBK" w:eastAsia="方正仿宋_GBK" w:cs="方正仿宋_GBK"/>
          <w:sz w:val="32"/>
          <w:szCs w:val="32"/>
          <w:shd w:val="clear" w:color="auto" w:fill="FFFFFF"/>
        </w:rPr>
        <w:t>经费支出。</w:t>
      </w:r>
    </w:p>
    <w:p>
      <w:pPr>
        <w:pStyle w:val="11"/>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w:t>
      </w:r>
      <w:r>
        <w:rPr>
          <w:rFonts w:hint="eastAsia" w:ascii="Times New Roman" w:hAnsi="Times New Roman" w:eastAsia="楷体"/>
          <w:b/>
          <w:bCs/>
          <w:sz w:val="32"/>
          <w:szCs w:val="32"/>
          <w:shd w:val="clear" w:color="auto" w:fill="FFFFFF"/>
          <w:lang w:eastAsia="zh-CN"/>
        </w:rPr>
        <w:t>三公</w:t>
      </w:r>
      <w:r>
        <w:rPr>
          <w:rFonts w:ascii="Times New Roman" w:hAnsi="Times New Roman" w:eastAsia="楷体"/>
          <w:b/>
          <w:bCs/>
          <w:sz w:val="32"/>
          <w:szCs w:val="32"/>
          <w:shd w:val="clear" w:color="auto" w:fill="FFFFFF"/>
        </w:rPr>
        <w:t>经费分项支出情况</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公务车运行维护费0.00万元。费用支出较年初预算数无增减，主要原因是年初预算未安排且本年未发生公务车运行维护费用。较上年支出数无增减，主要原因是上年和本年均未发生公务车运行维护费用。</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公务接待费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万元，费用支出较年初预算数减少1.00万元，下降100.00%，主要原因是本单位</w:t>
      </w:r>
      <w:r>
        <w:rPr>
          <w:rFonts w:ascii="方正仿宋_GBK" w:eastAsia="方正仿宋_GBK"/>
          <w:sz w:val="32"/>
          <w:szCs w:val="32"/>
        </w:rPr>
        <w:t>本年未发生公务接待费用</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w:t>
      </w:r>
      <w:r>
        <w:rPr>
          <w:rFonts w:hint="eastAsia" w:ascii="Times New Roman" w:hAnsi="Times New Roman" w:eastAsia="楷体"/>
          <w:b/>
          <w:bCs/>
          <w:sz w:val="32"/>
          <w:szCs w:val="32"/>
          <w:shd w:val="clear" w:color="auto" w:fill="FFFFFF"/>
          <w:lang w:eastAsia="zh-CN"/>
        </w:rPr>
        <w:t>三公</w:t>
      </w:r>
      <w:r>
        <w:rPr>
          <w:rFonts w:ascii="Times New Roman" w:hAnsi="Times New Roman" w:eastAsia="楷体"/>
          <w:b/>
          <w:bCs/>
          <w:sz w:val="32"/>
          <w:szCs w:val="32"/>
          <w:shd w:val="clear" w:color="auto" w:fill="FFFFFF"/>
        </w:rPr>
        <w:t>经费实物量情况</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2024年度本单位因公出国（境）共计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人。2024年本单位人均接待费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w:t>
      </w:r>
    </w:p>
    <w:p>
      <w:pPr>
        <w:pStyle w:val="6"/>
        <w:shd w:val="clear" w:color="auto" w:fill="FFFFFF"/>
        <w:spacing w:before="0" w:beforeAutospacing="0" w:after="0" w:afterAutospacing="0" w:line="594" w:lineRule="exact"/>
        <w:ind w:firstLine="643" w:firstLineChars="200"/>
        <w:jc w:val="both"/>
        <w:rPr>
          <w:rStyle w:val="10"/>
          <w:rFonts w:hint="default" w:ascii="Times New Roman" w:hAnsi="Times New Roman" w:eastAsia="黑体"/>
          <w:sz w:val="32"/>
          <w:szCs w:val="32"/>
          <w:shd w:val="clear" w:color="auto" w:fill="FFFFFF"/>
        </w:rPr>
      </w:pPr>
      <w:r>
        <w:rPr>
          <w:rStyle w:val="10"/>
          <w:rFonts w:hint="default" w:ascii="Times New Roman" w:hAnsi="Times New Roman" w:eastAsia="黑体"/>
          <w:sz w:val="32"/>
          <w:szCs w:val="32"/>
          <w:shd w:val="clear" w:color="auto" w:fill="FFFFFF"/>
        </w:rPr>
        <w:t>四、其他需要说明的事项</w:t>
      </w:r>
    </w:p>
    <w:p>
      <w:pPr>
        <w:pStyle w:val="11"/>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 xml:space="preserve"> （一）财政拨款会议费和培训费情况说明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本年度会议费支出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本年度培训费支出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万元，与2023年度相比，减少0.22万元，下降100.00%，主要原因是</w:t>
      </w:r>
      <w:r>
        <w:rPr>
          <w:rFonts w:ascii="Times New Roman" w:hAnsi="Times New Roman" w:eastAsia="方正仿宋_GBK"/>
          <w:sz w:val="32"/>
          <w:szCs w:val="32"/>
          <w:shd w:val="clear" w:color="auto" w:fill="FFFFFF"/>
        </w:rPr>
        <w:t>本年度法学会未开展培训</w:t>
      </w:r>
      <w:r>
        <w:rPr>
          <w:rFonts w:hint="default" w:ascii="Times New Roman" w:hAnsi="Times New Roman" w:eastAsia="方正仿宋_GBK"/>
          <w:sz w:val="32"/>
          <w:szCs w:val="32"/>
          <w:shd w:val="clear" w:color="auto" w:fill="FFFFFF"/>
        </w:rPr>
        <w:t>。</w:t>
      </w:r>
    </w:p>
    <w:p>
      <w:pPr>
        <w:pStyle w:val="11"/>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（二）机关运行经费情况说明</w:t>
      </w:r>
    </w:p>
    <w:p>
      <w:pPr>
        <w:pStyle w:val="11"/>
        <w:autoSpaceDE w:val="0"/>
        <w:ind w:firstLine="640"/>
        <w:rPr>
          <w:rFonts w:ascii="Times New Roman" w:hAnsi="Times New Roman" w:eastAsia="方正仿宋_GBK"/>
          <w:color w:val="FF0000"/>
          <w:sz w:val="32"/>
          <w:szCs w:val="32"/>
        </w:rPr>
      </w:pPr>
      <w:r>
        <w:rPr>
          <w:rFonts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pPr>
        <w:pStyle w:val="11"/>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（三）国有资产占用情况说明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截至2024年12月31日，本单位共有车辆</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辆，其中，副部（省）级及以上领导用车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辆、主要负责人用车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辆、机要通信用车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辆、应急保障用车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辆、执法执勤用车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辆，特种专业技术用车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辆。单价100万元（含）以上专用设备</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台（套）。</w:t>
      </w:r>
    </w:p>
    <w:p>
      <w:pPr>
        <w:pStyle w:val="11"/>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（四）政府采购支出情况说明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pPr>
        <w:pStyle w:val="12"/>
        <w:spacing w:before="0" w:beforeAutospacing="0" w:after="0" w:afterAutospacing="0" w:line="594" w:lineRule="exact"/>
        <w:ind w:firstLine="643" w:firstLineChars="200"/>
        <w:jc w:val="both"/>
        <w:rPr>
          <w:rStyle w:val="10"/>
          <w:rFonts w:ascii="Times New Roman" w:hAnsi="Times New Roman" w:eastAsia="黑体"/>
          <w:sz w:val="32"/>
          <w:szCs w:val="32"/>
          <w:shd w:val="clear" w:color="auto" w:fill="FFFFFF"/>
        </w:rPr>
      </w:pPr>
      <w:r>
        <w:rPr>
          <w:rStyle w:val="10"/>
          <w:rFonts w:ascii="Times New Roman" w:hAnsi="Times New Roman" w:eastAsia="黑体"/>
          <w:sz w:val="32"/>
          <w:szCs w:val="32"/>
          <w:shd w:val="clear" w:color="auto" w:fill="FFFFFF"/>
        </w:rPr>
        <w:t>五、2024年度预算绩效管理情况说明</w:t>
      </w:r>
    </w:p>
    <w:p>
      <w:pPr>
        <w:pStyle w:val="12"/>
        <w:autoSpaceDE w:val="0"/>
        <w:spacing w:before="0" w:beforeAutospacing="0" w:after="0" w:afterAutospacing="0" w:line="594" w:lineRule="exact"/>
        <w:ind w:firstLine="643" w:firstLineChars="200"/>
        <w:jc w:val="both"/>
        <w:rPr>
          <w:rFonts w:ascii="Times New Roman" w:hAnsi="Times New Roman" w:eastAsia="楷体"/>
          <w:b/>
          <w:bCs/>
          <w:sz w:val="32"/>
          <w:szCs w:val="32"/>
          <w:shd w:val="clear" w:color="060000" w:fill="FFFFFF"/>
        </w:rPr>
      </w:pPr>
      <w:r>
        <w:rPr>
          <w:rFonts w:ascii="Times New Roman" w:hAnsi="Times New Roman" w:eastAsia="楷体"/>
          <w:b/>
          <w:bCs/>
          <w:sz w:val="32"/>
          <w:szCs w:val="32"/>
          <w:shd w:val="clear" w:color="060000" w:fill="FFFFFF"/>
        </w:rPr>
        <w:t>（一）单位自评情况</w:t>
      </w:r>
    </w:p>
    <w:p>
      <w:pPr>
        <w:pStyle w:val="12"/>
        <w:autoSpaceDE w:val="0"/>
        <w:spacing w:before="0" w:beforeAutospacing="0" w:line="600" w:lineRule="exact"/>
        <w:ind w:firstLine="640" w:firstLineChars="200"/>
        <w:rPr>
          <w:rFonts w:ascii="Times New Roman" w:hAnsi="Times New Roman" w:eastAsia="方正仿宋_GBK"/>
          <w:sz w:val="32"/>
          <w:szCs w:val="32"/>
          <w:highlight w:val="yellow"/>
          <w:shd w:val="clear" w:color="auto" w:fill="FFFFFF"/>
          <w:lang w:bidi="ar"/>
        </w:rPr>
      </w:pPr>
      <w:r>
        <w:rPr>
          <w:rFonts w:ascii="Times New Roman" w:hAnsi="Times New Roman" w:eastAsia="方正仿宋_GBK"/>
          <w:sz w:val="32"/>
          <w:szCs w:val="32"/>
          <w:shd w:val="clear" w:color="auto" w:fill="FFFFFF"/>
          <w:lang w:bidi="ar"/>
        </w:rPr>
        <w:t>根据预算绩效管理要求，</w:t>
      </w:r>
      <w:r>
        <w:rPr>
          <w:rFonts w:hint="eastAsia" w:ascii="Times New Roman" w:hAnsi="Times New Roman" w:eastAsia="方正仿宋_GBK"/>
          <w:sz w:val="32"/>
          <w:szCs w:val="32"/>
          <w:shd w:val="clear" w:color="auto" w:fill="FFFFFF"/>
          <w:lang w:bidi="ar"/>
        </w:rPr>
        <w:t>我单位</w:t>
      </w:r>
      <w:r>
        <w:rPr>
          <w:rFonts w:ascii="Times New Roman" w:hAnsi="Times New Roman" w:eastAsia="方正仿宋_GBK"/>
          <w:sz w:val="32"/>
          <w:szCs w:val="32"/>
          <w:shd w:val="clear" w:color="auto" w:fill="FFFFFF"/>
          <w:lang w:bidi="ar"/>
        </w:rPr>
        <w:t>涉及项目支出资金</w:t>
      </w:r>
      <w:r>
        <w:rPr>
          <w:rFonts w:hint="eastAsia" w:ascii="Times New Roman" w:hAnsi="Times New Roman" w:eastAsia="方正仿宋_GBK"/>
          <w:sz w:val="32"/>
          <w:szCs w:val="32"/>
          <w:shd w:val="clear" w:color="auto" w:fill="FFFFFF"/>
          <w:lang w:bidi="ar"/>
        </w:rPr>
        <w:t>0</w:t>
      </w:r>
      <w:r>
        <w:rPr>
          <w:rFonts w:ascii="Times New Roman" w:hAnsi="Times New Roman" w:eastAsia="方正仿宋_GBK"/>
          <w:sz w:val="32"/>
          <w:szCs w:val="32"/>
          <w:shd w:val="clear" w:color="auto" w:fill="FFFFFF"/>
          <w:lang w:bidi="ar"/>
        </w:rPr>
        <w:t>万元</w:t>
      </w:r>
      <w:r>
        <w:rPr>
          <w:rFonts w:hint="eastAsia" w:ascii="Times New Roman" w:hAnsi="Times New Roman" w:eastAsia="方正仿宋_GBK"/>
          <w:sz w:val="32"/>
          <w:szCs w:val="32"/>
          <w:shd w:val="clear" w:color="auto" w:fill="FFFFFF"/>
          <w:lang w:bidi="ar"/>
        </w:rPr>
        <w:t>。</w:t>
      </w:r>
    </w:p>
    <w:p>
      <w:pPr>
        <w:pStyle w:val="12"/>
        <w:autoSpaceDE w:val="0"/>
        <w:spacing w:before="0" w:beforeAutospacing="0" w:after="0" w:afterAutospacing="0" w:line="594" w:lineRule="exact"/>
        <w:ind w:firstLine="643" w:firstLineChars="200"/>
        <w:jc w:val="both"/>
        <w:rPr>
          <w:rFonts w:ascii="Times New Roman" w:hAnsi="Times New Roman" w:eastAsia="楷体"/>
          <w:b/>
          <w:bCs/>
          <w:sz w:val="32"/>
          <w:szCs w:val="32"/>
          <w:shd w:val="clear" w:color="060000" w:fill="FFFFFF"/>
        </w:rPr>
      </w:pPr>
      <w:r>
        <w:rPr>
          <w:rFonts w:ascii="Times New Roman" w:hAnsi="Times New Roman" w:eastAsia="楷体"/>
          <w:b/>
          <w:bCs/>
          <w:sz w:val="32"/>
          <w:szCs w:val="32"/>
          <w:shd w:val="clear" w:color="060000" w:fill="FFFFFF"/>
        </w:rPr>
        <w:t>（二）部门绩效评价情况</w:t>
      </w:r>
    </w:p>
    <w:p>
      <w:pPr>
        <w:pStyle w:val="11"/>
        <w:autoSpaceDE w:val="0"/>
        <w:ind w:firstLine="640"/>
        <w:rPr>
          <w:rFonts w:ascii="Times New Roman" w:hAnsi="Times New Roman" w:eastAsia="方正仿宋_GBK"/>
          <w:sz w:val="32"/>
          <w:szCs w:val="32"/>
          <w:shd w:val="clear" w:color="auto" w:fill="FFFFFF"/>
          <w:lang w:bidi="ar"/>
        </w:rPr>
      </w:pPr>
      <w:r>
        <w:rPr>
          <w:rFonts w:ascii="Times New Roman" w:hAnsi="Times New Roman" w:eastAsia="方正仿宋_GBK"/>
          <w:sz w:val="32"/>
          <w:szCs w:val="32"/>
          <w:shd w:val="clear" w:color="auto" w:fill="FFFFFF"/>
          <w:lang w:bidi="ar"/>
        </w:rPr>
        <w:t>我单位未组织开展绩效评价。</w:t>
      </w:r>
    </w:p>
    <w:p>
      <w:pPr>
        <w:pStyle w:val="14"/>
        <w:autoSpaceDE w:val="0"/>
        <w:spacing w:line="594" w:lineRule="exact"/>
        <w:ind w:firstLine="643"/>
        <w:jc w:val="both"/>
        <w:rPr>
          <w:rFonts w:hint="default" w:ascii="Times New Roman" w:hAnsi="Times New Roman" w:eastAsia="方正仿宋_GBK" w:cs="Times New Roman"/>
          <w:sz w:val="32"/>
          <w:szCs w:val="32"/>
          <w:shd w:val="clear" w:color="060000" w:fill="FFFFFF"/>
        </w:rPr>
      </w:pPr>
      <w:r>
        <w:rPr>
          <w:rFonts w:hint="default" w:ascii="Times New Roman" w:hAnsi="Times New Roman" w:eastAsia="楷体" w:cs="Times New Roman"/>
          <w:b/>
          <w:bCs/>
          <w:sz w:val="32"/>
          <w:szCs w:val="32"/>
          <w:shd w:val="clear" w:color="060000" w:fill="FFFFFF"/>
        </w:rPr>
        <w:t>（三）财政绩效评价情况</w:t>
      </w:r>
    </w:p>
    <w:p>
      <w:pPr>
        <w:pStyle w:val="11"/>
        <w:autoSpaceDE w:val="0"/>
        <w:ind w:firstLine="640"/>
        <w:rPr>
          <w:rFonts w:ascii="Times New Roman" w:hAnsi="Times New Roman" w:eastAsia="方正仿宋_GBK"/>
          <w:sz w:val="32"/>
          <w:szCs w:val="32"/>
          <w:shd w:val="clear" w:color="auto" w:fill="FFFFFF"/>
          <w:lang w:bidi="ar"/>
        </w:rPr>
      </w:pPr>
      <w:r>
        <w:rPr>
          <w:rFonts w:hint="eastAsia" w:ascii="Times New Roman" w:hAnsi="Times New Roman" w:eastAsia="方正仿宋_GBK"/>
          <w:sz w:val="32"/>
          <w:szCs w:val="32"/>
          <w:shd w:val="clear" w:color="auto" w:fill="FFFFFF"/>
          <w:lang w:bidi="ar"/>
        </w:rPr>
        <w:t>县</w:t>
      </w:r>
      <w:r>
        <w:rPr>
          <w:rFonts w:ascii="Times New Roman" w:hAnsi="Times New Roman" w:eastAsia="方正仿宋_GBK"/>
          <w:sz w:val="32"/>
          <w:szCs w:val="32"/>
          <w:shd w:val="clear" w:color="auto" w:fill="FFFFFF"/>
          <w:lang w:bidi="ar"/>
        </w:rPr>
        <w:t>财政局未委托第三方对我单位开展绩效评价。</w:t>
      </w:r>
    </w:p>
    <w:p>
      <w:pPr>
        <w:pStyle w:val="12"/>
        <w:autoSpaceDE w:val="0"/>
        <w:spacing w:before="0" w:beforeAutospacing="0" w:after="0" w:afterAutospacing="0" w:line="594" w:lineRule="exact"/>
        <w:jc w:val="both"/>
        <w:rPr>
          <w:rFonts w:ascii="Times New Roman" w:hAnsi="Times New Roman" w:eastAsia="方正仿宋_GBK"/>
          <w:sz w:val="32"/>
          <w:szCs w:val="32"/>
        </w:rPr>
      </w:pPr>
      <w:r>
        <w:rPr>
          <w:rStyle w:val="15"/>
          <w:rFonts w:ascii="Times New Roman" w:hAnsi="Times New Roman" w:eastAsia="方正仿宋_GBK" w:cs="Times New Roman"/>
          <w:sz w:val="32"/>
          <w:szCs w:val="32"/>
          <w:shd w:val="clear" w:color="060000" w:fill="FFFFFF"/>
        </w:rPr>
        <w:t xml:space="preserve">   </w:t>
      </w:r>
      <w:r>
        <w:rPr>
          <w:rStyle w:val="10"/>
          <w:rFonts w:ascii="Times New Roman" w:hAnsi="Times New Roman" w:eastAsia="黑体"/>
          <w:sz w:val="32"/>
          <w:szCs w:val="32"/>
          <w:shd w:val="clear" w:color="auto" w:fill="FFFFFF"/>
        </w:rPr>
        <w:t xml:space="preserve"> 六、专业名词解释</w:t>
      </w:r>
    </w:p>
    <w:p>
      <w:pPr>
        <w:pStyle w:val="12"/>
        <w:spacing w:before="0" w:beforeAutospacing="0" w:after="0" w:afterAutospacing="0" w:line="594" w:lineRule="exact"/>
        <w:ind w:firstLine="643" w:firstLineChars="200"/>
        <w:jc w:val="both"/>
        <w:rPr>
          <w:rFonts w:ascii="Times New Roman" w:hAnsi="Times New Roman" w:eastAsia="方正仿宋_GBK"/>
          <w:sz w:val="32"/>
          <w:szCs w:val="32"/>
        </w:rPr>
      </w:pPr>
      <w:r>
        <w:rPr>
          <w:rStyle w:val="10"/>
          <w:rFonts w:ascii="Times New Roman" w:hAnsi="Times New Roman" w:eastAsia="楷体"/>
          <w:sz w:val="32"/>
          <w:szCs w:val="32"/>
          <w:shd w:val="clear" w:color="auto" w:fill="FFFFFF"/>
        </w:rPr>
        <w:t>（一）财政拨款收入：</w:t>
      </w:r>
      <w:r>
        <w:rPr>
          <w:rFonts w:ascii="Times New Roman" w:hAnsi="Times New Roman" w:eastAsia="方正仿宋_GBK"/>
          <w:sz w:val="32"/>
          <w:szCs w:val="32"/>
          <w:shd w:val="clear" w:color="040000" w:fill="FFFFFF"/>
        </w:rPr>
        <w:t>指本年度从本级财政部门取得的财政拨款，包括一般公共预算财政拨款和政府性基金预算财政拨款。</w:t>
      </w:r>
    </w:p>
    <w:p>
      <w:pPr>
        <w:pStyle w:val="12"/>
        <w:spacing w:before="0" w:beforeAutospacing="0" w:after="0" w:afterAutospacing="0" w:line="594" w:lineRule="exact"/>
        <w:ind w:firstLine="643" w:firstLineChars="200"/>
        <w:jc w:val="both"/>
        <w:rPr>
          <w:rFonts w:ascii="Times New Roman" w:hAnsi="Times New Roman" w:eastAsia="方正仿宋_GBK"/>
          <w:sz w:val="32"/>
          <w:szCs w:val="32"/>
        </w:rPr>
      </w:pPr>
      <w:r>
        <w:rPr>
          <w:rStyle w:val="10"/>
          <w:rFonts w:ascii="Times New Roman" w:hAnsi="Times New Roman" w:eastAsia="楷体"/>
          <w:sz w:val="32"/>
          <w:szCs w:val="32"/>
          <w:shd w:val="clear" w:color="auto" w:fill="FFFFFF"/>
        </w:rPr>
        <w:t>（二）事业收入：</w:t>
      </w:r>
      <w:r>
        <w:rPr>
          <w:rFonts w:ascii="Times New Roman" w:hAnsi="Times New Roman" w:eastAsia="方正仿宋_GBK"/>
          <w:sz w:val="32"/>
          <w:szCs w:val="32"/>
          <w:shd w:val="clear" w:color="040000" w:fill="FFFFFF"/>
        </w:rPr>
        <w:t>指事业单位开展专业业务活动及其辅助活动取得的现金流入；事业单位收到的财政专户实际核拨的教育收费等资金在此反映。</w:t>
      </w:r>
    </w:p>
    <w:p>
      <w:pPr>
        <w:pStyle w:val="12"/>
        <w:spacing w:before="0" w:beforeAutospacing="0" w:after="0" w:afterAutospacing="0" w:line="594" w:lineRule="exact"/>
        <w:ind w:firstLine="643" w:firstLineChars="200"/>
        <w:jc w:val="both"/>
        <w:rPr>
          <w:rFonts w:ascii="Times New Roman" w:hAnsi="Times New Roman" w:eastAsia="方正仿宋_GBK"/>
          <w:sz w:val="32"/>
          <w:szCs w:val="32"/>
        </w:rPr>
      </w:pPr>
      <w:r>
        <w:rPr>
          <w:rStyle w:val="10"/>
          <w:rFonts w:ascii="Times New Roman" w:hAnsi="Times New Roman" w:eastAsia="楷体"/>
          <w:sz w:val="32"/>
          <w:szCs w:val="32"/>
          <w:shd w:val="clear" w:color="auto" w:fill="FFFFFF"/>
        </w:rPr>
        <w:t>（三）经营收入：</w:t>
      </w:r>
      <w:r>
        <w:rPr>
          <w:rFonts w:ascii="Times New Roman" w:hAnsi="Times New Roman" w:eastAsia="方正仿宋_GBK"/>
          <w:sz w:val="32"/>
          <w:szCs w:val="32"/>
          <w:shd w:val="clear" w:color="040000" w:fill="FFFFFF"/>
        </w:rPr>
        <w:t>指事业单位在专业业务活动及其辅助活动之外开展非独立核算经营活动取得的现金流入。</w:t>
      </w:r>
    </w:p>
    <w:p>
      <w:pPr>
        <w:pStyle w:val="12"/>
        <w:spacing w:before="0" w:beforeAutospacing="0" w:after="0" w:afterAutospacing="0" w:line="594" w:lineRule="exact"/>
        <w:ind w:firstLine="643" w:firstLineChars="200"/>
        <w:jc w:val="both"/>
        <w:rPr>
          <w:rFonts w:ascii="Times New Roman" w:hAnsi="Times New Roman" w:eastAsia="方正仿宋_GBK"/>
          <w:sz w:val="32"/>
          <w:szCs w:val="32"/>
        </w:rPr>
      </w:pPr>
      <w:r>
        <w:rPr>
          <w:rStyle w:val="10"/>
          <w:rFonts w:ascii="Times New Roman" w:hAnsi="Times New Roman" w:eastAsia="楷体"/>
          <w:sz w:val="32"/>
          <w:szCs w:val="32"/>
          <w:shd w:val="clear" w:color="auto" w:fill="FFFFFF"/>
        </w:rPr>
        <w:t>（四）其他收入：</w:t>
      </w:r>
      <w:r>
        <w:rPr>
          <w:rFonts w:ascii="Times New Roman" w:hAnsi="Times New Roman" w:eastAsia="方正仿宋_GBK"/>
          <w:sz w:val="32"/>
          <w:szCs w:val="32"/>
          <w:shd w:val="clear" w:color="040000"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spacing w:before="0" w:beforeAutospacing="0" w:after="0" w:afterAutospacing="0" w:line="594" w:lineRule="exact"/>
        <w:ind w:firstLine="643" w:firstLineChars="200"/>
        <w:jc w:val="both"/>
        <w:rPr>
          <w:rFonts w:ascii="Times New Roman" w:hAnsi="Times New Roman" w:eastAsia="方正仿宋_GBK"/>
          <w:sz w:val="32"/>
          <w:szCs w:val="32"/>
        </w:rPr>
      </w:pPr>
      <w:r>
        <w:rPr>
          <w:rStyle w:val="10"/>
          <w:rFonts w:ascii="Times New Roman" w:hAnsi="Times New Roman" w:eastAsia="楷体"/>
          <w:sz w:val="32"/>
          <w:szCs w:val="32"/>
          <w:shd w:val="clear" w:color="auto" w:fill="FFFFFF"/>
        </w:rPr>
        <w:t>（五）使用非财政拨款结余：</w:t>
      </w:r>
      <w:r>
        <w:rPr>
          <w:rFonts w:ascii="Times New Roman" w:hAnsi="Times New Roman" w:eastAsia="方正仿宋_GBK"/>
          <w:sz w:val="32"/>
          <w:szCs w:val="32"/>
          <w:shd w:val="clear" w:color="040000" w:fill="FFFFFF"/>
        </w:rPr>
        <w:t>指单位在当年的“财政拨款收入”、“事业收入”、“经营收入”、“其他收入”等不足以安排当年支出的情况下，使用以前年度积累的非财政拨款结余弥补本年度收支缺口的资金。</w:t>
      </w:r>
    </w:p>
    <w:p>
      <w:pPr>
        <w:pStyle w:val="12"/>
        <w:spacing w:before="0" w:beforeAutospacing="0" w:after="0" w:afterAutospacing="0" w:line="594" w:lineRule="exact"/>
        <w:ind w:firstLine="643" w:firstLineChars="200"/>
        <w:jc w:val="both"/>
        <w:rPr>
          <w:rFonts w:ascii="Times New Roman" w:hAnsi="Times New Roman" w:eastAsia="方正仿宋_GBK"/>
          <w:sz w:val="32"/>
          <w:szCs w:val="32"/>
        </w:rPr>
      </w:pPr>
      <w:r>
        <w:rPr>
          <w:rStyle w:val="10"/>
          <w:rFonts w:ascii="Times New Roman" w:hAnsi="Times New Roman" w:eastAsia="楷体"/>
          <w:sz w:val="32"/>
          <w:szCs w:val="32"/>
          <w:shd w:val="clear" w:color="auto" w:fill="FFFFFF"/>
        </w:rPr>
        <w:t>（六）年初结转和结余：</w:t>
      </w:r>
      <w:r>
        <w:rPr>
          <w:rFonts w:ascii="Times New Roman" w:hAnsi="Times New Roman" w:eastAsia="方正仿宋_GBK"/>
          <w:sz w:val="32"/>
          <w:szCs w:val="32"/>
          <w:shd w:val="clear" w:color="040000" w:fill="FFFFFF"/>
        </w:rPr>
        <w:t>指单位上年结转本年使用的基本支出结转、项目支出结转和结余、经营结余。</w:t>
      </w:r>
    </w:p>
    <w:p>
      <w:pPr>
        <w:pStyle w:val="12"/>
        <w:spacing w:before="0" w:beforeAutospacing="0" w:after="0" w:afterAutospacing="0" w:line="594" w:lineRule="exact"/>
        <w:ind w:firstLine="643" w:firstLineChars="200"/>
        <w:jc w:val="both"/>
        <w:rPr>
          <w:rFonts w:ascii="Times New Roman" w:hAnsi="Times New Roman" w:eastAsia="方正仿宋_GBK"/>
          <w:sz w:val="32"/>
          <w:szCs w:val="32"/>
        </w:rPr>
      </w:pPr>
      <w:r>
        <w:rPr>
          <w:rStyle w:val="10"/>
          <w:rFonts w:ascii="Times New Roman" w:hAnsi="Times New Roman" w:eastAsia="楷体"/>
          <w:sz w:val="32"/>
          <w:szCs w:val="32"/>
          <w:shd w:val="clear" w:color="auto" w:fill="FFFFFF"/>
        </w:rPr>
        <w:t>（七）结余分配：</w:t>
      </w:r>
      <w:r>
        <w:rPr>
          <w:rFonts w:ascii="Times New Roman" w:hAnsi="Times New Roman" w:eastAsia="方正仿宋_GBK"/>
          <w:sz w:val="32"/>
          <w:szCs w:val="32"/>
          <w:shd w:val="clear" w:color="040000" w:fill="FFFFFF"/>
        </w:rPr>
        <w:t>指单位按照国家有关规定，缴纳所得税、提取专用基金、转入非财政拨款结余等当年结余的分配情况。</w:t>
      </w:r>
    </w:p>
    <w:p>
      <w:pPr>
        <w:pStyle w:val="12"/>
        <w:spacing w:before="0" w:beforeAutospacing="0" w:after="0" w:afterAutospacing="0" w:line="594" w:lineRule="exact"/>
        <w:ind w:firstLine="643" w:firstLineChars="200"/>
        <w:jc w:val="both"/>
        <w:rPr>
          <w:rFonts w:ascii="Times New Roman" w:hAnsi="Times New Roman" w:eastAsia="方正仿宋_GBK"/>
          <w:sz w:val="32"/>
          <w:szCs w:val="32"/>
        </w:rPr>
      </w:pPr>
      <w:r>
        <w:rPr>
          <w:rStyle w:val="10"/>
          <w:rFonts w:ascii="Times New Roman" w:hAnsi="Times New Roman" w:eastAsia="楷体"/>
          <w:sz w:val="32"/>
          <w:szCs w:val="32"/>
          <w:shd w:val="clear" w:color="auto" w:fill="FFFFFF"/>
        </w:rPr>
        <w:t>（八）年末结转和结余：</w:t>
      </w:r>
      <w:r>
        <w:rPr>
          <w:rFonts w:ascii="Times New Roman" w:hAnsi="Times New Roman" w:eastAsia="方正仿宋_GBK"/>
          <w:sz w:val="32"/>
          <w:szCs w:val="32"/>
          <w:shd w:val="clear" w:color="040000" w:fill="FFFFFF"/>
        </w:rPr>
        <w:t>指单位结转下年的基本支出结转、项目支出结转和结余、经营结余。</w:t>
      </w:r>
    </w:p>
    <w:p>
      <w:pPr>
        <w:pStyle w:val="12"/>
        <w:spacing w:before="0" w:beforeAutospacing="0" w:after="0" w:afterAutospacing="0" w:line="594" w:lineRule="exact"/>
        <w:ind w:firstLine="643" w:firstLineChars="200"/>
        <w:jc w:val="both"/>
        <w:rPr>
          <w:rFonts w:ascii="Times New Roman" w:hAnsi="Times New Roman" w:eastAsia="方正仿宋_GBK"/>
          <w:sz w:val="32"/>
          <w:szCs w:val="32"/>
        </w:rPr>
      </w:pPr>
      <w:r>
        <w:rPr>
          <w:rStyle w:val="10"/>
          <w:rFonts w:ascii="Times New Roman" w:hAnsi="Times New Roman" w:eastAsia="楷体"/>
          <w:sz w:val="32"/>
          <w:szCs w:val="32"/>
          <w:shd w:val="clear" w:color="auto" w:fill="FFFFFF"/>
        </w:rPr>
        <w:t>（九）基本支出：</w:t>
      </w:r>
      <w:r>
        <w:rPr>
          <w:rFonts w:ascii="Times New Roman" w:hAnsi="Times New Roman" w:eastAsia="方正仿宋_GBK"/>
          <w:sz w:val="32"/>
          <w:szCs w:val="32"/>
          <w:shd w:val="clear" w:color="040000"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spacing w:before="0" w:beforeAutospacing="0" w:after="0" w:afterAutospacing="0" w:line="594" w:lineRule="exact"/>
        <w:ind w:firstLine="643" w:firstLineChars="200"/>
        <w:jc w:val="both"/>
        <w:rPr>
          <w:rFonts w:ascii="Times New Roman" w:hAnsi="Times New Roman" w:eastAsia="方正仿宋_GBK"/>
          <w:sz w:val="32"/>
          <w:szCs w:val="32"/>
        </w:rPr>
      </w:pPr>
      <w:r>
        <w:rPr>
          <w:rStyle w:val="10"/>
          <w:rFonts w:ascii="Times New Roman" w:hAnsi="Times New Roman" w:eastAsia="楷体"/>
          <w:sz w:val="32"/>
          <w:szCs w:val="32"/>
          <w:shd w:val="clear" w:color="auto" w:fill="FFFFFF"/>
        </w:rPr>
        <w:t>（十）项目支出：</w:t>
      </w:r>
      <w:r>
        <w:rPr>
          <w:rFonts w:ascii="Times New Roman" w:hAnsi="Times New Roman" w:eastAsia="方正仿宋_GBK"/>
          <w:sz w:val="32"/>
          <w:szCs w:val="32"/>
          <w:shd w:val="clear" w:color="040000" w:fill="FFFFFF"/>
        </w:rPr>
        <w:t>指在基本支出之外为完成特定行政任务和事业发展目标所发生的支出。</w:t>
      </w:r>
    </w:p>
    <w:p>
      <w:pPr>
        <w:pStyle w:val="12"/>
        <w:spacing w:before="0" w:beforeAutospacing="0" w:after="0" w:afterAutospacing="0" w:line="594" w:lineRule="exact"/>
        <w:ind w:firstLine="643" w:firstLineChars="200"/>
        <w:jc w:val="both"/>
        <w:rPr>
          <w:rFonts w:ascii="Times New Roman" w:hAnsi="Times New Roman" w:eastAsia="方正仿宋_GBK"/>
          <w:sz w:val="32"/>
          <w:szCs w:val="32"/>
        </w:rPr>
      </w:pPr>
      <w:r>
        <w:rPr>
          <w:rStyle w:val="10"/>
          <w:rFonts w:ascii="Times New Roman" w:hAnsi="Times New Roman" w:eastAsia="楷体"/>
          <w:sz w:val="32"/>
          <w:szCs w:val="32"/>
          <w:shd w:val="clear" w:color="auto" w:fill="FFFFFF"/>
        </w:rPr>
        <w:t>（十一）经营支出：</w:t>
      </w:r>
      <w:r>
        <w:rPr>
          <w:rFonts w:ascii="Times New Roman" w:hAnsi="Times New Roman" w:eastAsia="方正仿宋_GBK"/>
          <w:sz w:val="32"/>
          <w:szCs w:val="32"/>
          <w:shd w:val="clear" w:color="040000" w:fill="FFFFFF"/>
        </w:rPr>
        <w:t>指事业单位在专业业务活动及其辅助活动之外开展非独立核算经营活动发生的支出。</w:t>
      </w:r>
    </w:p>
    <w:p>
      <w:pPr>
        <w:pStyle w:val="12"/>
        <w:spacing w:before="0" w:beforeAutospacing="0" w:after="0" w:afterAutospacing="0" w:line="594" w:lineRule="exact"/>
        <w:ind w:firstLine="643" w:firstLineChars="200"/>
        <w:jc w:val="both"/>
        <w:rPr>
          <w:rFonts w:ascii="Times New Roman" w:hAnsi="Times New Roman" w:eastAsia="方正仿宋_GBK"/>
          <w:sz w:val="32"/>
          <w:szCs w:val="32"/>
        </w:rPr>
      </w:pPr>
      <w:r>
        <w:rPr>
          <w:rStyle w:val="10"/>
          <w:rFonts w:ascii="Times New Roman" w:hAnsi="Times New Roman" w:eastAsia="楷体"/>
          <w:sz w:val="32"/>
          <w:szCs w:val="32"/>
          <w:shd w:val="clear" w:color="auto" w:fill="FFFFFF"/>
        </w:rPr>
        <w:t>（十二）</w:t>
      </w:r>
      <w:r>
        <w:rPr>
          <w:rStyle w:val="10"/>
          <w:rFonts w:hint="eastAsia" w:ascii="Times New Roman" w:hAnsi="Times New Roman" w:eastAsia="楷体"/>
          <w:sz w:val="32"/>
          <w:szCs w:val="32"/>
          <w:shd w:val="clear" w:color="auto" w:fill="FFFFFF"/>
          <w:lang w:eastAsia="zh-CN"/>
        </w:rPr>
        <w:t>三公</w:t>
      </w:r>
      <w:r>
        <w:rPr>
          <w:rStyle w:val="10"/>
          <w:rFonts w:ascii="Times New Roman" w:hAnsi="Times New Roman" w:eastAsia="楷体"/>
          <w:sz w:val="32"/>
          <w:szCs w:val="32"/>
          <w:shd w:val="clear" w:color="auto" w:fill="FFFFFF"/>
        </w:rPr>
        <w:t>经费：</w:t>
      </w:r>
      <w:r>
        <w:rPr>
          <w:rFonts w:ascii="Times New Roman" w:hAnsi="Times New Roman" w:eastAsia="方正仿宋_GBK"/>
          <w:sz w:val="32"/>
          <w:szCs w:val="32"/>
          <w:shd w:val="clear" w:color="040000"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spacing w:before="0" w:beforeAutospacing="0" w:after="0" w:afterAutospacing="0" w:line="594" w:lineRule="exact"/>
        <w:ind w:firstLine="643" w:firstLineChars="200"/>
        <w:jc w:val="both"/>
        <w:rPr>
          <w:rFonts w:ascii="Times New Roman" w:hAnsi="Times New Roman" w:eastAsia="方正仿宋_GBK"/>
          <w:sz w:val="32"/>
          <w:szCs w:val="32"/>
        </w:rPr>
      </w:pPr>
      <w:r>
        <w:rPr>
          <w:rStyle w:val="10"/>
          <w:rFonts w:ascii="Times New Roman" w:hAnsi="Times New Roman" w:eastAsia="楷体"/>
          <w:sz w:val="32"/>
          <w:szCs w:val="32"/>
          <w:shd w:val="clear" w:color="auto" w:fill="FFFFFF"/>
        </w:rPr>
        <w:t>（十三）机关运行经费：</w:t>
      </w:r>
      <w:r>
        <w:rPr>
          <w:rFonts w:ascii="Times New Roman" w:hAnsi="Times New Roman" w:eastAsia="方正仿宋_GBK"/>
          <w:sz w:val="32"/>
          <w:szCs w:val="32"/>
          <w:shd w:val="clear" w:color="040000"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spacing w:before="0" w:beforeAutospacing="0" w:after="0" w:afterAutospacing="0" w:line="594" w:lineRule="exact"/>
        <w:ind w:firstLine="643" w:firstLineChars="200"/>
        <w:jc w:val="both"/>
        <w:rPr>
          <w:rFonts w:ascii="Times New Roman" w:hAnsi="Times New Roman" w:eastAsia="方正仿宋_GBK"/>
          <w:sz w:val="32"/>
          <w:szCs w:val="32"/>
        </w:rPr>
      </w:pPr>
      <w:r>
        <w:rPr>
          <w:rStyle w:val="10"/>
          <w:rFonts w:ascii="Times New Roman" w:hAnsi="Times New Roman" w:eastAsia="楷体"/>
          <w:sz w:val="32"/>
          <w:szCs w:val="32"/>
          <w:shd w:val="clear" w:color="auto" w:fill="FFFFFF"/>
        </w:rPr>
        <w:t>（十四）工资福利支出（支出经济分类科目类级）：</w:t>
      </w:r>
      <w:r>
        <w:rPr>
          <w:rFonts w:ascii="Times New Roman" w:hAnsi="Times New Roman" w:eastAsia="方正仿宋_GBK"/>
          <w:sz w:val="32"/>
          <w:szCs w:val="32"/>
          <w:shd w:val="clear" w:color="040000" w:fill="FFFFFF"/>
        </w:rPr>
        <w:t>反映单位开支的在职职工和编制外长期聘用人员的各类劳动报酬，以及为上述人员缴纳的各项社会保险费等。</w:t>
      </w:r>
    </w:p>
    <w:p>
      <w:pPr>
        <w:pStyle w:val="12"/>
        <w:spacing w:before="0" w:beforeAutospacing="0" w:after="0" w:afterAutospacing="0" w:line="594" w:lineRule="exact"/>
        <w:ind w:firstLine="643" w:firstLineChars="200"/>
        <w:jc w:val="both"/>
        <w:rPr>
          <w:rFonts w:ascii="Times New Roman" w:hAnsi="Times New Roman" w:eastAsia="方正仿宋_GBK"/>
          <w:sz w:val="32"/>
          <w:szCs w:val="32"/>
        </w:rPr>
      </w:pPr>
      <w:r>
        <w:rPr>
          <w:rStyle w:val="10"/>
          <w:rFonts w:ascii="Times New Roman" w:hAnsi="Times New Roman" w:eastAsia="楷体"/>
          <w:sz w:val="32"/>
          <w:szCs w:val="32"/>
          <w:shd w:val="clear" w:color="auto" w:fill="FFFFFF"/>
        </w:rPr>
        <w:t>（十五）商品和服务支出（支出经济分类科目类级）：</w:t>
      </w:r>
      <w:r>
        <w:rPr>
          <w:rFonts w:ascii="Times New Roman" w:hAnsi="Times New Roman" w:eastAsia="方正仿宋_GBK"/>
          <w:sz w:val="32"/>
          <w:szCs w:val="32"/>
          <w:shd w:val="clear" w:color="040000" w:fill="FFFFFF"/>
        </w:rPr>
        <w:t>反映单位购买商品和服务的支出（不包括用于购置固定资产的支出、战略性和应急储备支出）。</w:t>
      </w:r>
    </w:p>
    <w:p>
      <w:pPr>
        <w:pStyle w:val="12"/>
        <w:spacing w:before="0" w:beforeAutospacing="0" w:after="0" w:afterAutospacing="0" w:line="594" w:lineRule="exact"/>
        <w:ind w:firstLine="643" w:firstLineChars="200"/>
        <w:jc w:val="both"/>
        <w:rPr>
          <w:rFonts w:ascii="Times New Roman" w:hAnsi="Times New Roman" w:eastAsia="方正仿宋_GBK"/>
          <w:sz w:val="32"/>
          <w:szCs w:val="32"/>
        </w:rPr>
      </w:pPr>
      <w:r>
        <w:rPr>
          <w:rStyle w:val="10"/>
          <w:rFonts w:ascii="Times New Roman" w:hAnsi="Times New Roman" w:eastAsia="楷体"/>
          <w:sz w:val="32"/>
          <w:szCs w:val="32"/>
          <w:shd w:val="clear" w:color="auto" w:fill="FFFFFF"/>
        </w:rPr>
        <w:t>（十六）对个人和家庭的补助（支出经济分类科目类级）：</w:t>
      </w:r>
      <w:r>
        <w:rPr>
          <w:rFonts w:ascii="Times New Roman" w:hAnsi="Times New Roman" w:eastAsia="方正仿宋_GBK"/>
          <w:sz w:val="32"/>
          <w:szCs w:val="32"/>
          <w:shd w:val="clear" w:color="040000" w:fill="FFFFFF"/>
        </w:rPr>
        <w:t>反映用于对个人和家庭的补助支出。</w:t>
      </w:r>
    </w:p>
    <w:p>
      <w:pPr>
        <w:pStyle w:val="12"/>
        <w:spacing w:before="0" w:beforeAutospacing="0" w:after="0" w:afterAutospacing="0" w:line="594" w:lineRule="exact"/>
        <w:ind w:firstLine="643" w:firstLineChars="200"/>
        <w:jc w:val="both"/>
        <w:rPr>
          <w:rFonts w:ascii="Times New Roman" w:hAnsi="Times New Roman" w:eastAsia="方正仿宋_GBK"/>
          <w:sz w:val="32"/>
          <w:szCs w:val="32"/>
        </w:rPr>
      </w:pPr>
      <w:r>
        <w:rPr>
          <w:rStyle w:val="10"/>
          <w:rFonts w:ascii="Times New Roman" w:hAnsi="Times New Roman" w:eastAsia="楷体"/>
          <w:sz w:val="32"/>
          <w:szCs w:val="32"/>
          <w:shd w:val="clear" w:color="auto" w:fill="FFFFFF"/>
        </w:rPr>
        <w:t>（十七）其他资本性支出（支出经济分类科目类级）：</w:t>
      </w:r>
      <w:r>
        <w:rPr>
          <w:rFonts w:ascii="Times New Roman" w:hAnsi="Times New Roman" w:eastAsia="方正仿宋_GBK"/>
          <w:sz w:val="32"/>
          <w:szCs w:val="32"/>
          <w:shd w:val="clear" w:color="040000" w:fill="FFFFFF"/>
        </w:rPr>
        <w:t>反映非各级发展与改革部门集中安排的用于购置固定资产、战略性和应急性储备、土地和无形资产，以及构建基础设施、大型修缮和财政支持企业更新改造所发生的支出。</w:t>
      </w:r>
    </w:p>
    <w:p>
      <w:pPr>
        <w:pStyle w:val="12"/>
        <w:spacing w:before="0" w:beforeAutospacing="0" w:after="0" w:afterAutospacing="0" w:line="594" w:lineRule="exact"/>
        <w:ind w:firstLine="643" w:firstLineChars="200"/>
        <w:jc w:val="both"/>
        <w:rPr>
          <w:rFonts w:ascii="Times New Roman" w:hAnsi="Times New Roman" w:eastAsia="方正仿宋_GBK"/>
          <w:sz w:val="32"/>
          <w:szCs w:val="32"/>
        </w:rPr>
      </w:pPr>
      <w:r>
        <w:rPr>
          <w:rStyle w:val="10"/>
          <w:rFonts w:ascii="Times New Roman" w:hAnsi="Times New Roman" w:eastAsia="黑体"/>
          <w:sz w:val="32"/>
          <w:szCs w:val="32"/>
          <w:shd w:val="clear" w:color="auto" w:fill="FFFFFF"/>
        </w:rPr>
        <w:t>七、决算公开联系方式及信息反馈渠道</w:t>
      </w:r>
    </w:p>
    <w:p>
      <w:pPr>
        <w:pStyle w:val="12"/>
        <w:spacing w:before="0" w:beforeAutospacing="0" w:after="0" w:afterAutospacing="0" w:line="594" w:lineRule="exact"/>
        <w:ind w:firstLine="640" w:firstLineChars="200"/>
        <w:jc w:val="both"/>
        <w:rPr>
          <w:rFonts w:ascii="Times New Roman" w:hAnsi="Times New Roman" w:eastAsia="方正仿宋_GBK"/>
          <w:sz w:val="32"/>
          <w:szCs w:val="32"/>
        </w:rPr>
      </w:pPr>
      <w:r>
        <w:rPr>
          <w:rFonts w:ascii="Times New Roman" w:hAnsi="Times New Roman" w:eastAsia="方正仿宋_GBK"/>
          <w:sz w:val="32"/>
          <w:szCs w:val="32"/>
          <w:shd w:val="clear" w:color="040000" w:fill="FFFFFF"/>
        </w:rPr>
        <w:t>本单位决算公开信息反馈和联系方式：</w:t>
      </w:r>
    </w:p>
    <w:p>
      <w:pPr>
        <w:pStyle w:val="12"/>
        <w:spacing w:before="0" w:beforeAutospacing="0" w:after="0" w:afterAutospacing="0" w:line="594" w:lineRule="exact"/>
        <w:ind w:firstLine="640" w:firstLineChars="200"/>
        <w:jc w:val="both"/>
        <w:rPr>
          <w:rFonts w:ascii="Times New Roman" w:hAnsi="Times New Roman" w:eastAsia="方正仿宋_GBK"/>
          <w:sz w:val="32"/>
          <w:szCs w:val="32"/>
        </w:rPr>
      </w:pPr>
      <w:r>
        <w:rPr>
          <w:rFonts w:hint="eastAsia" w:ascii="Times New Roman" w:hAnsi="Times New Roman" w:eastAsia="方正仿宋_GBK"/>
          <w:sz w:val="32"/>
          <w:szCs w:val="32"/>
          <w:shd w:val="clear" w:color="050000" w:fill="FFFFFF"/>
        </w:rPr>
        <w:t>王老师</w:t>
      </w:r>
      <w:r>
        <w:rPr>
          <w:rFonts w:ascii="Times New Roman" w:hAnsi="Times New Roman" w:eastAsia="方正仿宋_GBK"/>
          <w:sz w:val="32"/>
          <w:szCs w:val="32"/>
          <w:shd w:val="clear" w:color="050000" w:fill="FFFFFF"/>
        </w:rPr>
        <w:t xml:space="preserve">   023-</w:t>
      </w:r>
      <w:r>
        <w:rPr>
          <w:rFonts w:hint="eastAsia" w:ascii="Times New Roman" w:hAnsi="Times New Roman" w:eastAsia="方正仿宋_GBK"/>
          <w:sz w:val="32"/>
          <w:szCs w:val="32"/>
          <w:shd w:val="clear" w:color="050000" w:fill="FFFFFF"/>
        </w:rPr>
        <w:t>74511603</w:t>
      </w:r>
    </w:p>
    <w:p>
      <w:pPr>
        <w:pStyle w:val="11"/>
        <w:autoSpaceDE w:val="0"/>
        <w:spacing w:line="594" w:lineRule="exact"/>
        <w:ind w:firstLine="643"/>
        <w:jc w:val="both"/>
        <w:rPr>
          <w:rStyle w:val="15"/>
          <w:rFonts w:ascii="Times New Roman" w:hAnsi="Times New Roman" w:eastAsia="方正仿宋_GBK" w:cs="Times New Roman"/>
          <w:sz w:val="32"/>
          <w:szCs w:val="32"/>
          <w:shd w:val="clear" w:color="060000" w:fill="FFFF00"/>
        </w:rPr>
      </w:pPr>
    </w:p>
    <w:p>
      <w:pPr>
        <w:pStyle w:val="11"/>
        <w:autoSpaceDE w:val="0"/>
        <w:spacing w:line="594" w:lineRule="exact"/>
        <w:ind w:firstLine="643"/>
        <w:jc w:val="both"/>
        <w:rPr>
          <w:rStyle w:val="15"/>
          <w:rFonts w:ascii="Times New Roman" w:hAnsi="Times New Roman" w:eastAsia="方正仿宋_GBK" w:cs="Times New Roman"/>
          <w:sz w:val="32"/>
          <w:szCs w:val="32"/>
          <w:shd w:val="clear" w:color="060000" w:fill="FFFF00"/>
        </w:rPr>
      </w:pPr>
    </w:p>
    <w:p>
      <w:pPr>
        <w:pStyle w:val="11"/>
        <w:autoSpaceDE w:val="0"/>
        <w:spacing w:line="594" w:lineRule="exact"/>
        <w:ind w:firstLine="643"/>
        <w:jc w:val="both"/>
        <w:rPr>
          <w:rStyle w:val="15"/>
          <w:rFonts w:ascii="Times New Roman" w:hAnsi="Times New Roman" w:eastAsia="方正仿宋_GBK" w:cs="Times New Roman"/>
          <w:sz w:val="32"/>
          <w:szCs w:val="32"/>
          <w:shd w:val="clear" w:color="060000" w:fill="FFFF00"/>
        </w:rPr>
      </w:pPr>
    </w:p>
    <w:p>
      <w:pPr>
        <w:pStyle w:val="11"/>
        <w:autoSpaceDE w:val="0"/>
        <w:spacing w:line="594" w:lineRule="exact"/>
        <w:ind w:firstLine="643"/>
        <w:jc w:val="both"/>
        <w:rPr>
          <w:rStyle w:val="15"/>
          <w:rFonts w:ascii="Times New Roman" w:hAnsi="Times New Roman" w:eastAsia="方正仿宋_GBK" w:cs="Times New Roman"/>
          <w:sz w:val="32"/>
          <w:szCs w:val="32"/>
          <w:shd w:val="clear" w:color="060000" w:fill="FFFF00"/>
        </w:rPr>
      </w:pPr>
    </w:p>
    <w:p>
      <w:pPr>
        <w:pStyle w:val="11"/>
        <w:autoSpaceDE w:val="0"/>
        <w:spacing w:line="594" w:lineRule="exact"/>
        <w:ind w:firstLine="643"/>
        <w:jc w:val="both"/>
        <w:rPr>
          <w:rStyle w:val="15"/>
          <w:rFonts w:ascii="Times New Roman" w:hAnsi="Times New Roman" w:eastAsia="方正仿宋_GBK" w:cs="Times New Roman"/>
          <w:sz w:val="32"/>
          <w:szCs w:val="32"/>
          <w:shd w:val="clear" w:color="060000" w:fill="FFFF00"/>
        </w:rPr>
      </w:pPr>
    </w:p>
    <w:p>
      <w:pPr>
        <w:pStyle w:val="11"/>
        <w:autoSpaceDE w:val="0"/>
        <w:spacing w:line="594" w:lineRule="exact"/>
        <w:ind w:firstLine="643"/>
        <w:jc w:val="both"/>
        <w:rPr>
          <w:rStyle w:val="15"/>
          <w:rFonts w:ascii="Times New Roman" w:hAnsi="Times New Roman" w:eastAsia="方正仿宋_GBK" w:cs="Times New Roman"/>
          <w:sz w:val="32"/>
          <w:szCs w:val="32"/>
          <w:shd w:val="clear" w:color="060000" w:fill="FFFF00"/>
        </w:rPr>
      </w:pPr>
    </w:p>
    <w:p>
      <w:pPr>
        <w:pStyle w:val="11"/>
        <w:autoSpaceDE w:val="0"/>
        <w:spacing w:line="594" w:lineRule="exact"/>
        <w:ind w:firstLine="643"/>
        <w:jc w:val="both"/>
        <w:rPr>
          <w:rStyle w:val="15"/>
          <w:rFonts w:ascii="Times New Roman" w:hAnsi="Times New Roman" w:eastAsia="方正仿宋_GBK" w:cs="Times New Roman"/>
          <w:sz w:val="32"/>
          <w:szCs w:val="32"/>
          <w:shd w:val="clear" w:color="060000" w:fill="FFFF00"/>
        </w:rPr>
      </w:pPr>
    </w:p>
    <w:p>
      <w:pPr>
        <w:pStyle w:val="11"/>
        <w:autoSpaceDE w:val="0"/>
        <w:spacing w:line="594" w:lineRule="exact"/>
        <w:ind w:firstLine="643"/>
        <w:jc w:val="both"/>
        <w:rPr>
          <w:rStyle w:val="15"/>
          <w:rFonts w:ascii="Times New Roman" w:hAnsi="Times New Roman" w:eastAsia="方正仿宋_GBK" w:cs="Times New Roman"/>
          <w:sz w:val="32"/>
          <w:szCs w:val="32"/>
          <w:shd w:val="clear" w:color="060000" w:fill="FFFF00"/>
        </w:rPr>
      </w:pPr>
    </w:p>
    <w:p>
      <w:pPr>
        <w:pStyle w:val="11"/>
        <w:autoSpaceDE w:val="0"/>
        <w:spacing w:line="594" w:lineRule="exact"/>
        <w:ind w:firstLine="643"/>
        <w:jc w:val="both"/>
        <w:rPr>
          <w:rStyle w:val="15"/>
          <w:rFonts w:ascii="Times New Roman" w:hAnsi="Times New Roman" w:eastAsia="方正仿宋_GBK" w:cs="Times New Roman"/>
          <w:sz w:val="32"/>
          <w:szCs w:val="32"/>
          <w:shd w:val="clear" w:color="060000" w:fill="FFFF00"/>
        </w:rPr>
      </w:pPr>
    </w:p>
    <w:p>
      <w:pPr>
        <w:pStyle w:val="11"/>
        <w:autoSpaceDE w:val="0"/>
        <w:spacing w:line="594" w:lineRule="exact"/>
        <w:ind w:firstLine="643"/>
        <w:jc w:val="both"/>
        <w:rPr>
          <w:rStyle w:val="15"/>
          <w:rFonts w:ascii="Times New Roman" w:hAnsi="Times New Roman" w:eastAsia="方正仿宋_GBK" w:cs="Times New Roman"/>
          <w:sz w:val="32"/>
          <w:szCs w:val="32"/>
          <w:shd w:val="clear" w:color="060000" w:fill="FFFF00"/>
        </w:rPr>
      </w:pPr>
    </w:p>
    <w:p>
      <w:pPr>
        <w:pStyle w:val="11"/>
        <w:autoSpaceDE w:val="0"/>
        <w:spacing w:line="594" w:lineRule="exact"/>
        <w:ind w:firstLine="643"/>
        <w:jc w:val="both"/>
        <w:rPr>
          <w:rStyle w:val="15"/>
          <w:rFonts w:ascii="Times New Roman" w:hAnsi="Times New Roman" w:eastAsia="方正仿宋_GBK" w:cs="Times New Roman"/>
          <w:sz w:val="32"/>
          <w:szCs w:val="32"/>
          <w:shd w:val="clear" w:color="060000" w:fill="FFFF00"/>
        </w:rPr>
      </w:pPr>
    </w:p>
    <w:p>
      <w:pPr>
        <w:pStyle w:val="11"/>
        <w:autoSpaceDE w:val="0"/>
        <w:spacing w:line="594" w:lineRule="exact"/>
        <w:ind w:firstLine="643"/>
        <w:jc w:val="both"/>
        <w:rPr>
          <w:rStyle w:val="10"/>
          <w:rFonts w:ascii="Times New Roman" w:hAnsi="Times New Roman" w:eastAsia="方正仿宋_GBK"/>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tcMar>
              <w:top w:w="15" w:type="dxa"/>
              <w:left w:w="15" w:type="dxa"/>
              <w:right w:w="15" w:type="dxa"/>
            </w:tcMar>
            <w:vAlign w:val="bottom"/>
          </w:tcPr>
          <w:p>
            <w:pPr>
              <w:spacing w:line="40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20"/>
                <w:szCs w:val="20"/>
              </w:rPr>
            </w:pPr>
          </w:p>
        </w:tc>
        <w:tc>
          <w:tcPr>
            <w:tcW w:w="3558" w:type="dxa"/>
            <w:tcBorders>
              <w:top w:val="nil"/>
              <w:left w:val="nil"/>
              <w:bottom w:val="nil"/>
              <w:right w:val="nil"/>
            </w:tcBorders>
            <w:tcMar>
              <w:top w:w="15" w:type="dxa"/>
              <w:left w:w="15" w:type="dxa"/>
              <w:right w:w="15" w:type="dxa"/>
            </w:tcMar>
            <w:vAlign w:val="bottom"/>
          </w:tcPr>
          <w:p>
            <w:pPr>
              <w:spacing w:line="200" w:lineRule="exact"/>
              <w:jc w:val="right"/>
              <w:rPr>
                <w:rFonts w:hint="default" w:ascii="Times New Roman" w:hAnsi="Times New Roman"/>
                <w:color w:val="000000"/>
                <w:sz w:val="20"/>
                <w:szCs w:val="20"/>
              </w:rPr>
            </w:pPr>
          </w:p>
        </w:tc>
        <w:tc>
          <w:tcPr>
            <w:tcW w:w="4044"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20"/>
                <w:szCs w:val="20"/>
              </w:rPr>
            </w:pPr>
          </w:p>
        </w:tc>
        <w:tc>
          <w:tcPr>
            <w:tcW w:w="2841"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公开01表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tcMar>
              <w:top w:w="15" w:type="dxa"/>
              <w:left w:w="15" w:type="dxa"/>
              <w:right w:w="15" w:type="dxa"/>
            </w:tcMar>
            <w:vAlign w:val="bottom"/>
          </w:tcPr>
          <w:p>
            <w:pPr>
              <w:spacing w:line="280" w:lineRule="exact"/>
              <w:rPr>
                <w:rFonts w:hint="default" w:ascii="Times New Roman" w:hAnsi="Times New Roman"/>
                <w:color w:val="000000"/>
                <w:sz w:val="22"/>
                <w:szCs w:val="22"/>
              </w:rPr>
            </w:pPr>
            <w:r>
              <w:rPr>
                <w:rFonts w:hint="default" w:ascii="Times New Roman" w:hAnsi="Times New Roman"/>
                <w:sz w:val="20"/>
                <w:szCs w:val="20"/>
              </w:rPr>
              <w:t>单位：</w:t>
            </w:r>
            <w:r>
              <w:rPr>
                <w:rFonts w:hint="default" w:ascii="Times New Roman" w:hAnsi="Times New Roman"/>
                <w:sz w:val="20"/>
              </w:rPr>
              <w:t>垫江县法学会</w:t>
            </w:r>
          </w:p>
        </w:tc>
        <w:tc>
          <w:tcPr>
            <w:tcW w:w="4044"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22"/>
                <w:szCs w:val="22"/>
              </w:rPr>
            </w:pPr>
          </w:p>
        </w:tc>
        <w:tc>
          <w:tcPr>
            <w:tcW w:w="2841"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决算数</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76.49</w:t>
            </w: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一、一般公共服务支出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57.69</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二、外交支出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三、国防支出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四、上级补助收入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四、公共安全支出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五、事业收入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五、教育支出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六、经营收入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六、科学技术支出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七、附属单位上缴收入</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七、文化旅游体育与传媒支出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八、其他收入</w:t>
            </w:r>
          </w:p>
        </w:tc>
        <w:tc>
          <w:tcPr>
            <w:tcW w:w="3558" w:type="dxa"/>
            <w:tcBorders>
              <w:top w:val="nil"/>
              <w:left w:val="nil"/>
              <w:bottom w:val="nil"/>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八、社会保障和就业支出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10.12</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九、卫生健康支出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十、节能环保支出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十一、城乡社区支出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十二、农林水支出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十三、交通运输支出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十五、商业服务业等支出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十六、金融支出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十七、援助其他地区支出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十九、住房保障支出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二十、粮油物资储备支出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二十三、其他支出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二十四、债务还本支出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二十五、债务付息支出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本年收入合计</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76.49</w:t>
            </w: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本年支出合计</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76.49</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结余分配</w:t>
            </w:r>
          </w:p>
        </w:tc>
        <w:tc>
          <w:tcPr>
            <w:tcW w:w="284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年初结转和结余</w:t>
            </w:r>
          </w:p>
        </w:tc>
        <w:tc>
          <w:tcPr>
            <w:tcW w:w="3558"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年末结转和结余</w:t>
            </w:r>
          </w:p>
        </w:tc>
        <w:tc>
          <w:tcPr>
            <w:tcW w:w="2841" w:type="dxa"/>
            <w:tcBorders>
              <w:top w:val="nil"/>
              <w:left w:val="nil"/>
              <w:bottom w:val="single" w:color="auto"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76.49</w:t>
            </w: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76.49</w:t>
            </w:r>
            <w:r>
              <w:rPr>
                <w:rFonts w:hint="default" w:ascii="Times New Roman" w:hAnsi="Times New Roman"/>
                <w:color w:val="000000"/>
                <w:sz w:val="20"/>
              </w:rPr>
              <w:t xml:space="preserve"> </w:t>
            </w:r>
          </w:p>
        </w:tc>
      </w:tr>
    </w:tbl>
    <w:p>
      <w:pPr>
        <w:rPr>
          <w:rFonts w:hint="default" w:ascii="Times New Roman" w:hAnsi="Times New Roman"/>
          <w:sz w:val="21"/>
          <w:szCs w:val="21"/>
        </w:rPr>
      </w:pPr>
    </w:p>
    <w:p>
      <w:pPr>
        <w:spacing w:line="240" w:lineRule="exact"/>
        <w:rPr>
          <w:rFonts w:hint="default" w:ascii="Times New Roman" w:hAnsi="Times New Roman"/>
          <w:sz w:val="20"/>
          <w:szCs w:val="20"/>
        </w:rPr>
      </w:pPr>
      <w:r>
        <w:rPr>
          <w:rFonts w:hint="default" w:ascii="Times New Roman" w:hAnsi="Times New Roman"/>
          <w:sz w:val="20"/>
          <w:szCs w:val="20"/>
        </w:rPr>
        <w:t>备注：1.本表反映单位本年度的总收支和年末结转结余情况。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收入决算表</w:t>
            </w:r>
          </w:p>
        </w:tc>
      </w:tr>
      <w:tr>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tcMar>
              <w:top w:w="15" w:type="dxa"/>
              <w:left w:w="15" w:type="dxa"/>
              <w:right w:w="15" w:type="dxa"/>
            </w:tcMar>
            <w:vAlign w:val="bottom"/>
          </w:tcPr>
          <w:p>
            <w:pPr>
              <w:spacing w:line="280" w:lineRule="exact"/>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sz w:val="20"/>
              </w:rPr>
              <w:t>垫江县法学会</w:t>
            </w:r>
          </w:p>
        </w:tc>
        <w:tc>
          <w:tcPr>
            <w:tcW w:w="1451"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256"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438"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459"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296"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350"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322"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公开02表</w:t>
            </w:r>
          </w:p>
        </w:tc>
      </w:tr>
      <w:tr>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451"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256"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438"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459"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296"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350"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322"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其他收入</w:t>
            </w:r>
          </w:p>
        </w:tc>
      </w:tr>
      <w:tr>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2919" w:type="dxa"/>
            <w:vMerge w:val="restart"/>
            <w:tcBorders>
              <w:top w:val="nil"/>
              <w:left w:val="nil"/>
              <w:bottom w:val="single" w:color="000000" w:sz="4" w:space="0"/>
              <w:right w:val="nil"/>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2919"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2919"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2919"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58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76.49</w:t>
            </w:r>
            <w:r>
              <w:rPr>
                <w:rFonts w:hint="default" w:ascii="Times New Roman" w:hAnsi="Times New Roman"/>
                <w:b/>
                <w:color w:val="000000"/>
                <w:sz w:val="20"/>
              </w:rPr>
              <w:t xml:space="preserve"> </w:t>
            </w:r>
          </w:p>
        </w:tc>
        <w:tc>
          <w:tcPr>
            <w:tcW w:w="145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76.49</w:t>
            </w:r>
            <w:r>
              <w:rPr>
                <w:rFonts w:hint="default"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43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45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29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35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32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一般公共服务支出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57.69</w:t>
            </w:r>
            <w:r>
              <w:rPr>
                <w:rFonts w:hint="default"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57.69</w:t>
            </w:r>
            <w:r>
              <w:rPr>
                <w:rFonts w:hint="default"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20129</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群众团体事务</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57.69</w:t>
            </w:r>
            <w:r>
              <w:rPr>
                <w:rFonts w:hint="default"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57.69</w:t>
            </w:r>
            <w:r>
              <w:rPr>
                <w:rFonts w:hint="default"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2012950</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57.69</w:t>
            </w:r>
            <w:r>
              <w:rPr>
                <w:rFonts w:hint="default"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57.69</w:t>
            </w:r>
            <w:r>
              <w:rPr>
                <w:rFonts w:hint="default"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w:t>
            </w:r>
            <w:r>
              <w:rPr>
                <w:rFonts w:hint="default"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w:t>
            </w:r>
            <w:r>
              <w:rPr>
                <w:rFonts w:hint="default"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w:t>
            </w:r>
            <w:r>
              <w:rPr>
                <w:rFonts w:hint="default"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w:t>
            </w:r>
            <w:r>
              <w:rPr>
                <w:rFonts w:hint="default"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w:t>
            </w:r>
            <w:r>
              <w:rPr>
                <w:rFonts w:hint="default"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w:t>
            </w:r>
            <w:r>
              <w:rPr>
                <w:rFonts w:hint="default"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w:t>
            </w:r>
            <w:r>
              <w:rPr>
                <w:rFonts w:hint="default"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w:t>
            </w:r>
            <w:r>
              <w:rPr>
                <w:rFonts w:hint="default"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w:t>
            </w:r>
            <w:r>
              <w:rPr>
                <w:rFonts w:hint="default"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w:t>
            </w:r>
            <w:r>
              <w:rPr>
                <w:rFonts w:hint="default"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w:t>
            </w:r>
            <w:r>
              <w:rPr>
                <w:rFonts w:hint="default"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w:t>
            </w:r>
            <w:r>
              <w:rPr>
                <w:rFonts w:hint="default"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w:t>
            </w:r>
            <w:r>
              <w:rPr>
                <w:rFonts w:hint="default"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w:t>
            </w:r>
            <w:r>
              <w:rPr>
                <w:rFonts w:hint="default"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w:t>
            </w:r>
            <w:r>
              <w:rPr>
                <w:rFonts w:hint="default"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w:t>
            </w:r>
            <w:r>
              <w:rPr>
                <w:rFonts w:hint="default"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w:t>
            </w:r>
            <w:r>
              <w:rPr>
                <w:rFonts w:hint="default"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w:t>
            </w:r>
            <w:r>
              <w:rPr>
                <w:rFonts w:hint="default"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291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w:t>
            </w:r>
            <w:r>
              <w:rPr>
                <w:rFonts w:hint="default"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w:t>
            </w:r>
            <w:r>
              <w:rPr>
                <w:rFonts w:hint="default"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bl>
    <w:p>
      <w:pPr>
        <w:ind w:left="600" w:hanging="600" w:hangingChars="300"/>
        <w:rPr>
          <w:rFonts w:hint="default" w:ascii="Times New Roman" w:hAnsi="Times New Roman"/>
          <w:sz w:val="20"/>
          <w:szCs w:val="20"/>
        </w:rPr>
      </w:pPr>
      <w:r>
        <w:rPr>
          <w:rFonts w:hint="default" w:ascii="Times New Roman" w:hAnsi="Times New Roman"/>
          <w:sz w:val="20"/>
          <w:szCs w:val="20"/>
        </w:rPr>
        <w:t>备注：1.本表反映单位本年度取得的各项收入情况。</w:t>
      </w:r>
      <w:r>
        <w:rPr>
          <w:rFonts w:hint="default" w:ascii="Times New Roman" w:hAnsi="Times New Roman"/>
          <w:sz w:val="20"/>
          <w:szCs w:val="20"/>
        </w:rPr>
        <w:br w:type="textWrapping"/>
      </w:r>
      <w:r>
        <w:rPr>
          <w:rFonts w:hint="default" w:ascii="Times New Roman" w:hAnsi="Times New Roman"/>
          <w:sz w:val="20"/>
          <w:szCs w:val="20"/>
        </w:rPr>
        <w:t>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pPr>
        <w:rPr>
          <w:rFonts w:hint="default" w:ascii="Times New Roman" w:hAnsi="Times New Roman"/>
          <w:sz w:val="20"/>
          <w:szCs w:val="20"/>
        </w:rPr>
      </w:pPr>
      <w:r>
        <w:rPr>
          <w:rFonts w:hint="default" w:ascii="Times New Roman" w:hAnsi="Times New Roman"/>
          <w:sz w:val="20"/>
          <w:szCs w:val="20"/>
        </w:rPr>
        <w:br w:type="page"/>
      </w:r>
    </w:p>
    <w:tbl>
      <w:tblPr>
        <w:tblStyle w:val="7"/>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支出决算表</w:t>
            </w:r>
          </w:p>
        </w:tc>
      </w:tr>
      <w:tr>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tcMar>
              <w:top w:w="15" w:type="dxa"/>
              <w:left w:w="15" w:type="dxa"/>
              <w:right w:w="15" w:type="dxa"/>
            </w:tcMar>
            <w:vAlign w:val="bottom"/>
          </w:tcPr>
          <w:p>
            <w:pPr>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 xml:space="preserve">垫江县法学会 </w:t>
            </w:r>
          </w:p>
        </w:tc>
        <w:tc>
          <w:tcPr>
            <w:tcW w:w="1765"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624"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557"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692"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949"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公开03表</w:t>
            </w:r>
          </w:p>
        </w:tc>
      </w:tr>
      <w:tr>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765"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624"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557"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692"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949"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602" w:type="dxa"/>
            <w:vMerge w:val="restart"/>
            <w:tcBorders>
              <w:top w:val="nil"/>
              <w:left w:val="nil"/>
              <w:bottom w:val="single" w:color="000000" w:sz="4" w:space="0"/>
              <w:right w:val="nil"/>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602"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602"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602"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8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76.49</w:t>
            </w:r>
            <w:r>
              <w:rPr>
                <w:rFonts w:hint="default"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76.49</w:t>
            </w:r>
            <w:r>
              <w:rPr>
                <w:rFonts w:hint="default" w:ascii="Times New Roman" w:hAnsi="Times New Roman"/>
                <w:b/>
                <w:color w:val="000000"/>
                <w:sz w:val="20"/>
              </w:rPr>
              <w:t xml:space="preserve"> </w:t>
            </w:r>
          </w:p>
        </w:tc>
        <w:tc>
          <w:tcPr>
            <w:tcW w:w="1624"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94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57.69</w:t>
            </w:r>
            <w:r>
              <w:rPr>
                <w:rFonts w:hint="default"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57.69</w:t>
            </w:r>
            <w:r>
              <w:rPr>
                <w:rFonts w:hint="default"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20129</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群众团体事务</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57.69</w:t>
            </w:r>
            <w:r>
              <w:rPr>
                <w:rFonts w:hint="default"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57.69</w:t>
            </w:r>
            <w:r>
              <w:rPr>
                <w:rFonts w:hint="default"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2012950</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57.69</w:t>
            </w:r>
            <w:r>
              <w:rPr>
                <w:rFonts w:hint="default"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57.69</w:t>
            </w:r>
            <w:r>
              <w:rPr>
                <w:rFonts w:hint="default"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w:t>
            </w:r>
            <w:r>
              <w:rPr>
                <w:rFonts w:hint="default"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w:t>
            </w:r>
            <w:r>
              <w:rPr>
                <w:rFonts w:hint="default"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w:t>
            </w:r>
            <w:r>
              <w:rPr>
                <w:rFonts w:hint="default"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w:t>
            </w:r>
            <w:r>
              <w:rPr>
                <w:rFonts w:hint="default"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w:t>
            </w:r>
            <w:r>
              <w:rPr>
                <w:rFonts w:hint="default"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w:t>
            </w:r>
            <w:r>
              <w:rPr>
                <w:rFonts w:hint="default"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w:t>
            </w:r>
            <w:r>
              <w:rPr>
                <w:rFonts w:hint="default"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w:t>
            </w:r>
            <w:r>
              <w:rPr>
                <w:rFonts w:hint="default"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w:t>
            </w:r>
            <w:r>
              <w:rPr>
                <w:rFonts w:hint="default"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w:t>
            </w:r>
            <w:r>
              <w:rPr>
                <w:rFonts w:hint="default"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w:t>
            </w:r>
            <w:r>
              <w:rPr>
                <w:rFonts w:hint="default"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w:t>
            </w:r>
            <w:r>
              <w:rPr>
                <w:rFonts w:hint="default"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w:t>
            </w:r>
            <w:r>
              <w:rPr>
                <w:rFonts w:hint="default"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w:t>
            </w:r>
            <w:r>
              <w:rPr>
                <w:rFonts w:hint="default"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w:t>
            </w:r>
            <w:r>
              <w:rPr>
                <w:rFonts w:hint="default"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w:t>
            </w:r>
            <w:r>
              <w:rPr>
                <w:rFonts w:hint="default"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w:t>
            </w:r>
            <w:r>
              <w:rPr>
                <w:rFonts w:hint="default"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w:t>
            </w:r>
            <w:r>
              <w:rPr>
                <w:rFonts w:hint="default"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3602"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w:t>
            </w:r>
            <w:r>
              <w:rPr>
                <w:rFonts w:hint="default"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w:t>
            </w:r>
            <w:r>
              <w:rPr>
                <w:rFonts w:hint="default"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bl>
    <w:p>
      <w:pPr>
        <w:rPr>
          <w:rFonts w:hint="default" w:ascii="Times New Roman" w:hAnsi="Times New Roman"/>
          <w:sz w:val="20"/>
          <w:szCs w:val="20"/>
        </w:rPr>
      </w:pPr>
      <w:r>
        <w:rPr>
          <w:rFonts w:hint="default" w:ascii="Times New Roman" w:hAnsi="Times New Roman"/>
          <w:sz w:val="20"/>
          <w:szCs w:val="20"/>
        </w:rPr>
        <w:t>备注：1.本表反映单位本年度各项支出情况。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pPr>
        <w:rPr>
          <w:rFonts w:hint="default" w:ascii="Times New Roman" w:hAnsi="Times New Roman"/>
          <w:sz w:val="21"/>
          <w:szCs w:val="21"/>
        </w:rPr>
      </w:pPr>
      <w:r>
        <w:rPr>
          <w:rFonts w:hint="default" w:ascii="Times New Roman" w:hAnsi="Times New Roman"/>
          <w:sz w:val="21"/>
          <w:szCs w:val="21"/>
        </w:rPr>
        <w:br w:type="page"/>
      </w:r>
    </w:p>
    <w:p>
      <w:pPr>
        <w:rPr>
          <w:rFonts w:hint="default" w:ascii="Times New Roman" w:hAnsi="Times New Roman"/>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tcMar>
              <w:top w:w="15" w:type="dxa"/>
              <w:left w:w="15" w:type="dxa"/>
              <w:right w:w="15" w:type="dxa"/>
            </w:tcMar>
            <w:vAlign w:val="bottom"/>
          </w:tcPr>
          <w:p>
            <w:pPr>
              <w:spacing w:line="40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tcMar>
              <w:top w:w="15" w:type="dxa"/>
              <w:left w:w="15" w:type="dxa"/>
              <w:right w:w="15" w:type="dxa"/>
            </w:tcMar>
            <w:vAlign w:val="bottom"/>
          </w:tcPr>
          <w:p>
            <w:pPr>
              <w:spacing w:line="280" w:lineRule="exact"/>
              <w:rPr>
                <w:rFonts w:hint="default" w:ascii="Times New Roman" w:hAnsi="Times New Roman"/>
                <w:color w:val="000000"/>
                <w:sz w:val="18"/>
                <w:szCs w:val="18"/>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垫江县法学会</w:t>
            </w:r>
          </w:p>
        </w:tc>
        <w:tc>
          <w:tcPr>
            <w:tcW w:w="1694"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nil"/>
              <w:left w:val="nil"/>
              <w:bottom w:val="nil"/>
              <w:right w:val="nil"/>
            </w:tcBorders>
            <w:tcMar>
              <w:top w:w="15" w:type="dxa"/>
              <w:left w:w="15" w:type="dxa"/>
              <w:right w:w="15" w:type="dxa"/>
            </w:tcMar>
            <w:vAlign w:val="bottom"/>
          </w:tcPr>
          <w:p>
            <w:pPr>
              <w:spacing w:line="26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公开04表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nil"/>
              <w:left w:val="nil"/>
              <w:bottom w:val="nil"/>
              <w:right w:val="nil"/>
            </w:tcBorders>
            <w:tcMar>
              <w:top w:w="15" w:type="dxa"/>
              <w:left w:w="15" w:type="dxa"/>
              <w:right w:w="15" w:type="dxa"/>
            </w:tcMar>
            <w:vAlign w:val="bottom"/>
          </w:tcPr>
          <w:p>
            <w:pPr>
              <w:spacing w:line="26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决算数</w:t>
            </w:r>
          </w:p>
        </w:tc>
        <w:tc>
          <w:tcPr>
            <w:tcW w:w="3179"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功能分类科目</w:t>
            </w:r>
          </w:p>
        </w:tc>
        <w:tc>
          <w:tcPr>
            <w:tcW w:w="7011" w:type="dxa"/>
            <w:gridSpan w:val="4"/>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3179"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76.49</w:t>
            </w: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57.69</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57.69</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10.12</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10.12</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76.49</w:t>
            </w: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76.49</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76.49</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76.49</w:t>
            </w: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76.49</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76.49</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bl>
    <w:p>
      <w:pPr>
        <w:spacing w:line="240" w:lineRule="exact"/>
        <w:rPr>
          <w:rFonts w:hint="default" w:ascii="Times New Roman" w:hAnsi="Times New Roman"/>
          <w:sz w:val="20"/>
          <w:szCs w:val="20"/>
        </w:rPr>
      </w:pPr>
      <w:r>
        <w:rPr>
          <w:rFonts w:hint="default" w:ascii="Times New Roman" w:hAnsi="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r>
        <w:rPr>
          <w:rFonts w:hint="default" w:ascii="Times New Roman" w:hAnsi="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tcMar>
              <w:top w:w="15" w:type="dxa"/>
              <w:left w:w="15" w:type="dxa"/>
              <w:right w:w="15" w:type="dxa"/>
            </w:tcMar>
            <w:vAlign w:val="bottom"/>
          </w:tcPr>
          <w:p>
            <w:pPr>
              <w:spacing w:line="280" w:lineRule="exact"/>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垫江县法学会</w:t>
            </w:r>
          </w:p>
        </w:tc>
        <w:tc>
          <w:tcPr>
            <w:tcW w:w="3297"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3341"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公开05表</w:t>
            </w:r>
          </w:p>
        </w:tc>
      </w:tr>
      <w:tr>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3297"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3341"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297"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3341"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407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30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29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34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407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30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29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34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76.49</w:t>
            </w:r>
            <w:r>
              <w:rPr>
                <w:rFonts w:hint="default"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76.49</w:t>
            </w:r>
            <w:r>
              <w:rPr>
                <w:rFonts w:hint="default"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一般公共服务支出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57.69</w:t>
            </w:r>
            <w:r>
              <w:rPr>
                <w:rFonts w:hint="default"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57.69</w:t>
            </w:r>
            <w:r>
              <w:rPr>
                <w:rFonts w:hint="default"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20129</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群众团体事务</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57.69</w:t>
            </w:r>
            <w:r>
              <w:rPr>
                <w:rFonts w:hint="default"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57.69</w:t>
            </w:r>
            <w:r>
              <w:rPr>
                <w:rFonts w:hint="default"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2012950</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57.69</w:t>
            </w:r>
            <w:r>
              <w:rPr>
                <w:rFonts w:hint="default"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57.69</w:t>
            </w:r>
            <w:r>
              <w:rPr>
                <w:rFonts w:hint="default"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10.12</w:t>
            </w:r>
            <w:r>
              <w:rPr>
                <w:rFonts w:hint="default"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10.12</w:t>
            </w:r>
            <w:r>
              <w:rPr>
                <w:rFonts w:hint="default"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10.12</w:t>
            </w:r>
            <w:r>
              <w:rPr>
                <w:rFonts w:hint="default"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10.12</w:t>
            </w:r>
            <w:r>
              <w:rPr>
                <w:rFonts w:hint="default"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6.74</w:t>
            </w:r>
            <w:r>
              <w:rPr>
                <w:rFonts w:hint="default"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6.74</w:t>
            </w:r>
            <w:r>
              <w:rPr>
                <w:rFonts w:hint="default"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w:t>
            </w:r>
            <w:r>
              <w:rPr>
                <w:rFonts w:hint="default"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3.37</w:t>
            </w:r>
            <w:r>
              <w:rPr>
                <w:rFonts w:hint="default"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w:t>
            </w:r>
            <w:r>
              <w:rPr>
                <w:rFonts w:hint="default"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w:t>
            </w:r>
            <w:r>
              <w:rPr>
                <w:rFonts w:hint="default"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w:t>
            </w:r>
            <w:r>
              <w:rPr>
                <w:rFonts w:hint="default"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w:t>
            </w:r>
            <w:r>
              <w:rPr>
                <w:rFonts w:hint="default"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w:t>
            </w:r>
            <w:r>
              <w:rPr>
                <w:rFonts w:hint="default"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w:t>
            </w:r>
            <w:r>
              <w:rPr>
                <w:rFonts w:hint="default"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5.84</w:t>
            </w:r>
            <w:r>
              <w:rPr>
                <w:rFonts w:hint="default"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5.84</w:t>
            </w:r>
            <w:r>
              <w:rPr>
                <w:rFonts w:hint="default"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5.84</w:t>
            </w:r>
            <w:r>
              <w:rPr>
                <w:rFonts w:hint="default"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5.84</w:t>
            </w:r>
            <w:r>
              <w:rPr>
                <w:rFonts w:hint="default"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407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330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5.84</w:t>
            </w:r>
            <w:r>
              <w:rPr>
                <w:rFonts w:hint="default"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5.84</w:t>
            </w:r>
            <w:r>
              <w:rPr>
                <w:rFonts w:hint="default"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bl>
    <w:p>
      <w:pPr>
        <w:rPr>
          <w:rFonts w:hint="default" w:ascii="Times New Roman" w:hAnsi="Times New Roman"/>
          <w:sz w:val="21"/>
          <w:szCs w:val="21"/>
        </w:rPr>
      </w:pPr>
      <w:r>
        <w:rPr>
          <w:rFonts w:hint="default" w:ascii="Times New Roman" w:hAnsi="Times New Roman"/>
          <w:sz w:val="20"/>
          <w:szCs w:val="20"/>
        </w:rPr>
        <w:t>备注：1.本表反映单位本年度一般公共预算财政拨款支出情况。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pPr>
        <w:ind w:firstLine="630" w:firstLineChars="300"/>
        <w:rPr>
          <w:rFonts w:hint="default" w:ascii="Times New Roman" w:hAnsi="Times New Roman"/>
          <w:sz w:val="21"/>
          <w:szCs w:val="21"/>
        </w:rPr>
      </w:pPr>
      <w:r>
        <w:rPr>
          <w:rFonts w:hint="default" w:ascii="Times New Roman" w:hAnsi="Times New Roman"/>
          <w:sz w:val="21"/>
          <w:szCs w:val="21"/>
        </w:rPr>
        <w:br w:type="page"/>
      </w:r>
    </w:p>
    <w:tbl>
      <w:tblPr>
        <w:tblStyle w:val="7"/>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tcMar>
              <w:top w:w="15" w:type="dxa"/>
              <w:left w:w="15" w:type="dxa"/>
              <w:right w:w="15" w:type="dxa"/>
            </w:tcMar>
            <w:vAlign w:val="bottom"/>
          </w:tcPr>
          <w:p>
            <w:pPr>
              <w:spacing w:line="44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tcMar>
              <w:top w:w="15" w:type="dxa"/>
              <w:left w:w="15" w:type="dxa"/>
              <w:right w:w="15" w:type="dxa"/>
            </w:tcMar>
            <w:vAlign w:val="bottom"/>
          </w:tcPr>
          <w:p>
            <w:pPr>
              <w:spacing w:line="280" w:lineRule="exact"/>
              <w:rPr>
                <w:rFonts w:hint="default" w:ascii="Times New Roman" w:hAnsi="Times New Roman"/>
                <w:color w:val="000000"/>
                <w:sz w:val="18"/>
                <w:szCs w:val="18"/>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垫江县法学会</w:t>
            </w:r>
          </w:p>
        </w:tc>
        <w:tc>
          <w:tcPr>
            <w:tcW w:w="1418"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73"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463"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492"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公开06表</w:t>
            </w:r>
          </w:p>
        </w:tc>
      </w:tr>
      <w:tr>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418"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73"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463" w:type="dxa"/>
            <w:tcBorders>
              <w:top w:val="nil"/>
              <w:left w:val="nil"/>
              <w:bottom w:val="nil"/>
              <w:right w:val="nil"/>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492"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公用经费</w:t>
            </w:r>
          </w:p>
        </w:tc>
      </w:tr>
      <w:tr>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r>
      <w:tr>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rPr>
                <w:rFonts w:hint="default" w:ascii="Times New Roman" w:hAnsi="Times New Roman"/>
                <w:b/>
                <w:color w:val="000000"/>
                <w:sz w:val="18"/>
                <w:szCs w:val="18"/>
              </w:rPr>
            </w:pPr>
          </w:p>
        </w:tc>
        <w:tc>
          <w:tcPr>
            <w:tcW w:w="2809"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rPr>
                <w:rFonts w:hint="default" w:ascii="Times New Roman" w:hAnsi="Times New Roman"/>
                <w:b/>
                <w:color w:val="000000"/>
                <w:sz w:val="18"/>
                <w:szCs w:val="18"/>
              </w:rPr>
            </w:pPr>
          </w:p>
        </w:tc>
        <w:tc>
          <w:tcPr>
            <w:tcW w:w="1541"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rPr>
                <w:rFonts w:hint="default" w:ascii="Times New Roman" w:hAnsi="Times New Roman"/>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rPr>
                <w:rFonts w:hint="default" w:ascii="Times New Roman" w:hAnsi="Times New Roman"/>
                <w:b/>
                <w:color w:val="000000"/>
                <w:sz w:val="18"/>
                <w:szCs w:val="18"/>
              </w:rPr>
            </w:pPr>
          </w:p>
        </w:tc>
        <w:tc>
          <w:tcPr>
            <w:tcW w:w="2032"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rPr>
                <w:rFonts w:hint="default" w:ascii="Times New Roman" w:hAnsi="Times New Roman"/>
                <w:b/>
                <w:color w:val="000000"/>
                <w:sz w:val="18"/>
                <w:szCs w:val="18"/>
              </w:rPr>
            </w:pPr>
          </w:p>
        </w:tc>
        <w:tc>
          <w:tcPr>
            <w:tcW w:w="1418"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rPr>
                <w:rFonts w:hint="default" w:ascii="Times New Roman" w:hAnsi="Times New Roman"/>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rPr>
                <w:rFonts w:hint="default" w:ascii="Times New Roman" w:hAnsi="Times New Roman"/>
                <w:b/>
                <w:color w:val="000000"/>
                <w:sz w:val="18"/>
                <w:szCs w:val="18"/>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rPr>
                <w:rFonts w:hint="default" w:ascii="Times New Roman" w:hAnsi="Times New Roman"/>
                <w:b/>
                <w:color w:val="000000"/>
                <w:sz w:val="18"/>
                <w:szCs w:val="18"/>
              </w:rPr>
            </w:pPr>
          </w:p>
        </w:tc>
        <w:tc>
          <w:tcPr>
            <w:tcW w:w="1492"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rPr>
                <w:rFonts w:hint="default" w:ascii="Times New Roman" w:hAnsi="Times New Roman"/>
                <w:b/>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73.42</w:t>
            </w: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3.06</w:t>
            </w: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15.24</w:t>
            </w: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0.76</w:t>
            </w: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37.07</w:t>
            </w: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6.74</w:t>
            </w: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w:t>
            </w: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w:t>
            </w: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w:t>
            </w: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w:t>
            </w: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0.64</w:t>
            </w: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0.51</w:t>
            </w: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0.35</w:t>
            </w: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ind w:firstLine="180" w:firstLineChars="100"/>
              <w:textAlignment w:val="center"/>
              <w:rPr>
                <w:rFonts w:hint="default" w:ascii="Times New Roman" w:hAnsi="Times New Roman"/>
                <w:color w:val="000000"/>
                <w:sz w:val="18"/>
                <w:szCs w:val="18"/>
              </w:rPr>
            </w:pPr>
            <w:r>
              <w:rPr>
                <w:rFonts w:hint="default" w:ascii="Times New Roman" w:hAnsi="Times New Roman"/>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192" w:lineRule="exact"/>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0.63</w:t>
            </w: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192" w:lineRule="exact"/>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192" w:lineRule="exact"/>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192" w:lineRule="exact"/>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192" w:lineRule="exact"/>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192" w:lineRule="exact"/>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rPr>
                <w:rFonts w:hint="default" w:ascii="Times New Roman" w:hAnsi="Times New Roman"/>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73.42</w:t>
            </w:r>
            <w:r>
              <w:rPr>
                <w:rFonts w:hint="default" w:ascii="Times New Roman" w:hAnsi="Times New Roman"/>
                <w:color w:val="000000"/>
                <w:sz w:val="18"/>
              </w:rPr>
              <w:t xml:space="preserve"> </w:t>
            </w:r>
          </w:p>
        </w:tc>
        <w:tc>
          <w:tcPr>
            <w:tcW w:w="8659" w:type="dxa"/>
            <w:gridSpan w:val="5"/>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公用经费合计</w:t>
            </w:r>
          </w:p>
        </w:tc>
        <w:tc>
          <w:tcPr>
            <w:tcW w:w="1492" w:type="dxa"/>
            <w:tcBorders>
              <w:top w:val="nil"/>
              <w:left w:val="nil"/>
              <w:bottom w:val="single" w:color="000000" w:sz="4" w:space="0"/>
              <w:right w:val="single" w:color="000000" w:sz="4" w:space="0"/>
            </w:tcBorders>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3.06</w:t>
            </w:r>
            <w:r>
              <w:rPr>
                <w:rFonts w:hint="default" w:ascii="Times New Roman" w:hAnsi="Times New Roman"/>
                <w:color w:val="000000"/>
                <w:sz w:val="18"/>
              </w:rPr>
              <w:t xml:space="preserve"> </w:t>
            </w:r>
          </w:p>
        </w:tc>
      </w:tr>
    </w:tbl>
    <w:p>
      <w:pPr>
        <w:spacing w:line="280" w:lineRule="exact"/>
        <w:rPr>
          <w:rFonts w:hint="default" w:ascii="Times New Roman" w:hAnsi="Times New Roman"/>
          <w:sz w:val="20"/>
          <w:szCs w:val="20"/>
        </w:rPr>
      </w:pPr>
      <w:r>
        <w:rPr>
          <w:rFonts w:hint="default" w:ascii="Times New Roman" w:hAnsi="Times New Roman"/>
          <w:sz w:val="20"/>
          <w:szCs w:val="20"/>
        </w:rPr>
        <w:t>备注：1.本表反映单位本年度一般公共预算财政拨款基本支出明细情况。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r>
        <w:rPr>
          <w:rFonts w:hint="default" w:ascii="Times New Roman" w:hAnsi="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tcMar>
              <w:top w:w="15" w:type="dxa"/>
              <w:left w:w="15" w:type="dxa"/>
              <w:right w:w="15" w:type="dxa"/>
            </w:tcMar>
            <w:vAlign w:val="bottom"/>
          </w:tcPr>
          <w:p>
            <w:pPr>
              <w:spacing w:line="280" w:lineRule="exact"/>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垫江县法学会</w:t>
            </w:r>
          </w:p>
        </w:tc>
        <w:tc>
          <w:tcPr>
            <w:tcW w:w="1701"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765"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839"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公开07表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765" w:type="dxa"/>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1839"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年末结转和结余</w:t>
            </w:r>
          </w:p>
        </w:tc>
      </w:tr>
      <w:tr>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701"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1765"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6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76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ascii="Times New Roman" w:hAnsi="Times New Roman"/>
                <w:color w:val="000000"/>
                <w:sz w:val="20"/>
                <w:szCs w:val="20"/>
              </w:rPr>
            </w:pPr>
          </w:p>
        </w:tc>
        <w:tc>
          <w:tcPr>
            <w:tcW w:w="3594"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ascii="Times New Roman" w:hAnsi="Times New Roman"/>
                <w:color w:val="000000"/>
                <w:sz w:val="20"/>
                <w:szCs w:val="20"/>
              </w:rPr>
            </w:pP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bl>
    <w:p>
      <w:pPr>
        <w:rPr>
          <w:rFonts w:hint="default" w:ascii="Times New Roman" w:hAnsi="Times New Roman"/>
          <w:sz w:val="21"/>
          <w:szCs w:val="21"/>
        </w:rPr>
      </w:pPr>
      <w:r>
        <w:rPr>
          <w:rFonts w:hint="default" w:ascii="Times New Roman" w:hAnsi="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sz w:val="20"/>
          <w:szCs w:val="20"/>
        </w:rPr>
        <w:br w:type="textWrapping"/>
      </w:r>
      <w:r>
        <w:rPr>
          <w:rFonts w:hint="default" w:ascii="Times New Roman" w:hAnsi="Times New Roman"/>
          <w:sz w:val="20"/>
          <w:szCs w:val="20"/>
        </w:rPr>
        <w:br w:type="textWrapping"/>
      </w:r>
    </w:p>
    <w:p>
      <w:pPr>
        <w:rPr>
          <w:rFonts w:hint="default" w:ascii="Times New Roman" w:hAnsi="Times New Roman"/>
          <w:sz w:val="21"/>
          <w:szCs w:val="21"/>
        </w:rPr>
      </w:pPr>
      <w:r>
        <w:rPr>
          <w:rFonts w:hint="default" w:ascii="Times New Roman" w:hAnsi="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tcMar>
              <w:top w:w="15" w:type="dxa"/>
              <w:left w:w="15" w:type="dxa"/>
              <w:right w:w="15" w:type="dxa"/>
            </w:tcMar>
            <w:vAlign w:val="bottom"/>
          </w:tcPr>
          <w:p>
            <w:pPr>
              <w:spacing w:line="280" w:lineRule="exact"/>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垫江县法学会</w:t>
            </w:r>
          </w:p>
        </w:tc>
        <w:tc>
          <w:tcPr>
            <w:tcW w:w="3739" w:type="dxa"/>
            <w:gridSpan w:val="3"/>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3401"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公开08表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3739" w:type="dxa"/>
            <w:gridSpan w:val="3"/>
            <w:tcBorders>
              <w:top w:val="nil"/>
              <w:left w:val="nil"/>
              <w:bottom w:val="nil"/>
              <w:right w:val="nil"/>
            </w:tcBorders>
            <w:tcMar>
              <w:top w:w="15" w:type="dxa"/>
              <w:left w:w="15" w:type="dxa"/>
              <w:right w:w="15" w:type="dxa"/>
            </w:tcMar>
            <w:vAlign w:val="bottom"/>
          </w:tcPr>
          <w:p>
            <w:pPr>
              <w:rPr>
                <w:rFonts w:hint="default" w:ascii="Times New Roman" w:hAnsi="Times New Roman"/>
                <w:color w:val="000000"/>
                <w:sz w:val="20"/>
                <w:szCs w:val="20"/>
              </w:rPr>
            </w:pPr>
          </w:p>
        </w:tc>
        <w:tc>
          <w:tcPr>
            <w:tcW w:w="3401"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本年支出</w:t>
            </w:r>
          </w:p>
        </w:tc>
      </w:tr>
      <w:tr>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463"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61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61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61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463"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p>
        </w:tc>
        <w:tc>
          <w:tcPr>
            <w:tcW w:w="3616"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ascii="Times New Roman" w:hAnsi="Times New Roman"/>
                <w:color w:val="000000"/>
                <w:sz w:val="20"/>
                <w:szCs w:val="20"/>
              </w:rPr>
            </w:pPr>
          </w:p>
        </w:tc>
        <w:tc>
          <w:tcPr>
            <w:tcW w:w="3463"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ascii="Times New Roman" w:hAnsi="Times New Roman"/>
          <w:sz w:val="21"/>
          <w:szCs w:val="21"/>
        </w:rPr>
      </w:pPr>
      <w:r>
        <w:rPr>
          <w:rFonts w:hint="default" w:ascii="Times New Roman" w:hAnsi="Times New Roman"/>
          <w:sz w:val="20"/>
          <w:szCs w:val="20"/>
        </w:rPr>
        <w:t>备注：本表反映单位本年度国有资本经营预算财政拨款支出情况。本单位无国有资本经营收支，故本表无数据。</w:t>
      </w:r>
      <w:r>
        <w:rPr>
          <w:rFonts w:hint="default" w:ascii="Times New Roman" w:hAnsi="Times New Roman"/>
          <w:sz w:val="20"/>
          <w:szCs w:val="20"/>
        </w:rPr>
        <w:br w:type="textWrapping"/>
      </w:r>
      <w:r>
        <w:rPr>
          <w:rFonts w:hint="default" w:ascii="Times New Roman" w:hAnsi="Times New Roman"/>
          <w:sz w:val="20"/>
          <w:szCs w:val="20"/>
        </w:rPr>
        <w:br w:type="textWrapping"/>
      </w:r>
    </w:p>
    <w:p>
      <w:pPr>
        <w:rPr>
          <w:rFonts w:hint="default" w:ascii="Times New Roman" w:hAnsi="Times New Roman"/>
          <w:sz w:val="21"/>
          <w:szCs w:val="21"/>
        </w:rPr>
      </w:pPr>
      <w:r>
        <w:rPr>
          <w:rFonts w:hint="default" w:ascii="Times New Roman" w:hAnsi="Times New Roman"/>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tcMar>
              <w:top w:w="15" w:type="dxa"/>
              <w:left w:w="15" w:type="dxa"/>
              <w:right w:w="15" w:type="dxa"/>
            </w:tcMar>
            <w:vAlign w:val="bottom"/>
          </w:tcPr>
          <w:p>
            <w:pPr>
              <w:spacing w:line="400" w:lineRule="exact"/>
              <w:jc w:val="center"/>
              <w:textAlignment w:val="bottom"/>
              <w:rPr>
                <w:rFonts w:hint="default" w:ascii="Times New Roman" w:hAnsi="Times New Roman"/>
                <w:b/>
                <w:color w:val="000000"/>
                <w:kern w:val="2"/>
                <w:sz w:val="32"/>
                <w:szCs w:val="32"/>
              </w:rPr>
            </w:pPr>
            <w:r>
              <w:rPr>
                <w:rFonts w:hint="default" w:ascii="Times New Roman" w:hAnsi="Times New Roman"/>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tcMar>
              <w:top w:w="15" w:type="dxa"/>
              <w:left w:w="15" w:type="dxa"/>
              <w:right w:w="15" w:type="dxa"/>
            </w:tcMar>
            <w:vAlign w:val="bottom"/>
          </w:tcPr>
          <w:p>
            <w:pPr>
              <w:spacing w:line="280" w:lineRule="exact"/>
              <w:rPr>
                <w:rFonts w:hint="default" w:ascii="Times New Roman" w:hAnsi="Times New Roman"/>
                <w:color w:val="000000"/>
                <w:kern w:val="2"/>
                <w:sz w:val="20"/>
                <w:szCs w:val="20"/>
              </w:rPr>
            </w:pPr>
          </w:p>
        </w:tc>
        <w:tc>
          <w:tcPr>
            <w:tcW w:w="2416" w:type="dxa"/>
            <w:tcMar>
              <w:top w:w="15" w:type="dxa"/>
              <w:left w:w="15" w:type="dxa"/>
              <w:right w:w="15" w:type="dxa"/>
            </w:tcMar>
            <w:vAlign w:val="bottom"/>
          </w:tcPr>
          <w:p>
            <w:pPr>
              <w:spacing w:line="280" w:lineRule="exact"/>
              <w:jc w:val="center"/>
              <w:rPr>
                <w:rFonts w:hint="default" w:ascii="Times New Roman" w:hAnsi="Times New Roman"/>
                <w:color w:val="000000"/>
                <w:kern w:val="2"/>
                <w:sz w:val="20"/>
                <w:szCs w:val="20"/>
              </w:rPr>
            </w:pPr>
          </w:p>
        </w:tc>
        <w:tc>
          <w:tcPr>
            <w:tcW w:w="2375" w:type="dxa"/>
            <w:tcMar>
              <w:top w:w="15" w:type="dxa"/>
              <w:left w:w="15" w:type="dxa"/>
              <w:right w:w="15" w:type="dxa"/>
            </w:tcMar>
            <w:vAlign w:val="bottom"/>
          </w:tcPr>
          <w:p>
            <w:pPr>
              <w:spacing w:line="280" w:lineRule="exact"/>
              <w:jc w:val="right"/>
              <w:rPr>
                <w:rFonts w:hint="default" w:ascii="Times New Roman" w:hAnsi="Times New Roman"/>
                <w:color w:val="000000"/>
                <w:kern w:val="2"/>
                <w:sz w:val="20"/>
                <w:szCs w:val="20"/>
              </w:rPr>
            </w:pPr>
          </w:p>
        </w:tc>
        <w:tc>
          <w:tcPr>
            <w:tcW w:w="3674" w:type="dxa"/>
            <w:tcMar>
              <w:top w:w="15" w:type="dxa"/>
              <w:left w:w="15" w:type="dxa"/>
              <w:right w:w="15" w:type="dxa"/>
            </w:tcMar>
            <w:vAlign w:val="bottom"/>
          </w:tcPr>
          <w:p>
            <w:pPr>
              <w:spacing w:line="280" w:lineRule="exact"/>
              <w:rPr>
                <w:rFonts w:hint="default" w:ascii="Times New Roman" w:hAnsi="Times New Roman"/>
                <w:color w:val="000000"/>
                <w:kern w:val="2"/>
                <w:sz w:val="20"/>
                <w:szCs w:val="20"/>
              </w:rPr>
            </w:pPr>
          </w:p>
        </w:tc>
        <w:tc>
          <w:tcPr>
            <w:tcW w:w="2487" w:type="dxa"/>
            <w:tcMar>
              <w:top w:w="15" w:type="dxa"/>
              <w:left w:w="15" w:type="dxa"/>
              <w:right w:w="15" w:type="dxa"/>
            </w:tcMar>
            <w:vAlign w:val="bottom"/>
          </w:tcPr>
          <w:p>
            <w:pPr>
              <w:spacing w:line="280" w:lineRule="exact"/>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公开09表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tcMar>
              <w:top w:w="15" w:type="dxa"/>
              <w:left w:w="15" w:type="dxa"/>
              <w:right w:w="15" w:type="dxa"/>
            </w:tcMar>
            <w:vAlign w:val="bottom"/>
          </w:tcPr>
          <w:p>
            <w:pPr>
              <w:spacing w:line="280" w:lineRule="exact"/>
              <w:rPr>
                <w:rFonts w:hint="default" w:ascii="Times New Roman" w:hAnsi="Times New Roman"/>
                <w:color w:val="000000"/>
                <w:kern w:val="2"/>
                <w:sz w:val="20"/>
                <w:szCs w:val="20"/>
              </w:rPr>
            </w:pPr>
            <w:r>
              <w:rPr>
                <w:rFonts w:hint="default" w:ascii="Times New Roman" w:hAnsi="Times New Roman"/>
                <w:kern w:val="2"/>
                <w:sz w:val="20"/>
                <w:szCs w:val="20"/>
              </w:rPr>
              <w:t>单位</w:t>
            </w:r>
            <w:r>
              <w:rPr>
                <w:rFonts w:hint="default" w:ascii="Times New Roman" w:hAnsi="Times New Roman"/>
                <w:color w:val="000000"/>
                <w:kern w:val="2"/>
                <w:sz w:val="20"/>
                <w:szCs w:val="20"/>
              </w:rPr>
              <w:t>：</w:t>
            </w:r>
            <w:r>
              <w:rPr>
                <w:rFonts w:hint="default" w:ascii="Times New Roman" w:hAnsi="Times New Roman"/>
                <w:color w:val="000000"/>
                <w:sz w:val="20"/>
              </w:rPr>
              <w:t>垫江县法学会</w:t>
            </w:r>
          </w:p>
        </w:tc>
        <w:tc>
          <w:tcPr>
            <w:tcW w:w="2375" w:type="dxa"/>
            <w:tcBorders>
              <w:top w:val="nil"/>
              <w:left w:val="nil"/>
              <w:bottom w:val="single" w:color="auto" w:sz="4" w:space="0"/>
              <w:right w:val="nil"/>
            </w:tcBorders>
            <w:tcMar>
              <w:top w:w="15" w:type="dxa"/>
              <w:left w:w="15" w:type="dxa"/>
              <w:right w:w="15" w:type="dxa"/>
            </w:tcMar>
            <w:vAlign w:val="bottom"/>
          </w:tcPr>
          <w:p>
            <w:pPr>
              <w:spacing w:line="280" w:lineRule="exact"/>
              <w:jc w:val="right"/>
              <w:rPr>
                <w:rFonts w:hint="default" w:ascii="Times New Roman" w:hAnsi="Times New Roman"/>
                <w:color w:val="000000"/>
                <w:kern w:val="2"/>
                <w:sz w:val="20"/>
                <w:szCs w:val="20"/>
              </w:rPr>
            </w:pPr>
          </w:p>
        </w:tc>
        <w:tc>
          <w:tcPr>
            <w:tcW w:w="3674" w:type="dxa"/>
            <w:tcBorders>
              <w:top w:val="nil"/>
              <w:left w:val="nil"/>
              <w:bottom w:val="single" w:color="auto" w:sz="4" w:space="0"/>
              <w:right w:val="nil"/>
            </w:tcBorders>
            <w:tcMar>
              <w:top w:w="15" w:type="dxa"/>
              <w:left w:w="15" w:type="dxa"/>
              <w:right w:w="15" w:type="dxa"/>
            </w:tcMar>
            <w:vAlign w:val="bottom"/>
          </w:tcPr>
          <w:p>
            <w:pPr>
              <w:spacing w:line="280" w:lineRule="exact"/>
              <w:rPr>
                <w:rFonts w:hint="default" w:ascii="Times New Roman" w:hAnsi="Times New Roman"/>
                <w:color w:val="000000"/>
                <w:kern w:val="2"/>
                <w:sz w:val="20"/>
                <w:szCs w:val="20"/>
              </w:rPr>
            </w:pPr>
          </w:p>
        </w:tc>
        <w:tc>
          <w:tcPr>
            <w:tcW w:w="2487" w:type="dxa"/>
            <w:tcBorders>
              <w:top w:val="nil"/>
              <w:left w:val="nil"/>
              <w:bottom w:val="single" w:color="auto" w:sz="4" w:space="0"/>
              <w:right w:val="nil"/>
            </w:tcBorders>
            <w:tcMar>
              <w:top w:w="15" w:type="dxa"/>
              <w:left w:w="15" w:type="dxa"/>
              <w:right w:w="15" w:type="dxa"/>
            </w:tcMar>
            <w:vAlign w:val="bottom"/>
          </w:tcPr>
          <w:p>
            <w:pPr>
              <w:spacing w:line="280" w:lineRule="exact"/>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单位：</w:t>
            </w:r>
            <w:r>
              <w:rPr>
                <w:rFonts w:hint="default" w:ascii="Times New Roman" w:hAnsi="Times New Roman"/>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一、</w:t>
            </w:r>
            <w:r>
              <w:rPr>
                <w:rFonts w:hint="eastAsia" w:ascii="Times New Roman" w:hAnsi="Times New Roman"/>
                <w:b/>
                <w:color w:val="000000"/>
                <w:kern w:val="2"/>
                <w:sz w:val="16"/>
                <w:szCs w:val="16"/>
                <w:lang w:eastAsia="zh-CN"/>
              </w:rPr>
              <w:t>三公</w:t>
            </w:r>
            <w:r>
              <w:rPr>
                <w:rFonts w:hint="default" w:ascii="Times New Roman" w:hAnsi="Times New Roman"/>
                <w:b/>
                <w:color w:val="000000"/>
                <w:kern w:val="2"/>
                <w:sz w:val="16"/>
                <w:szCs w:val="16"/>
              </w:rPr>
              <w:t>经费支出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ascii="Times New Roman" w:hAnsi="Times New Roman"/>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ascii="Times New Roman" w:hAnsi="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ascii="Times New Roman" w:hAnsi="Times New Roman"/>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ascii="Times New Roman" w:hAnsi="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ascii="Times New Roman" w:hAnsi="Times New Roman"/>
                <w:b/>
                <w:bCs/>
                <w:color w:val="000000"/>
                <w:sz w:val="16"/>
                <w:szCs w:val="16"/>
              </w:rPr>
            </w:pPr>
            <w:r>
              <w:rPr>
                <w:rFonts w:hint="default" w:ascii="Times New Roman" w:hAnsi="Times New Roman"/>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ascii="Times New Roman" w:hAnsi="Times New Roman"/>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ascii="Times New Roman" w:hAnsi="Times New Roman"/>
                <w:color w:val="000000"/>
                <w:sz w:val="16"/>
                <w:szCs w:val="16"/>
              </w:rPr>
            </w:pPr>
          </w:p>
        </w:tc>
      </w:tr>
    </w:tbl>
    <w:p>
      <w:pPr>
        <w:rPr>
          <w:rFonts w:hint="default" w:ascii="Times New Roman" w:hAnsi="Times New Roman"/>
          <w:sz w:val="18"/>
          <w:szCs w:val="18"/>
        </w:rPr>
      </w:pPr>
      <w:r>
        <w:rPr>
          <w:rFonts w:hint="default" w:ascii="Times New Roman" w:hAnsi="Times New Roman"/>
          <w:sz w:val="18"/>
          <w:szCs w:val="18"/>
        </w:rPr>
        <w:t>备注：1.本表反映单位本年度财政拨款</w:t>
      </w:r>
      <w:r>
        <w:rPr>
          <w:rFonts w:hint="eastAsia" w:ascii="Times New Roman" w:hAnsi="Times New Roman"/>
          <w:sz w:val="18"/>
          <w:szCs w:val="18"/>
          <w:lang w:eastAsia="zh-CN"/>
        </w:rPr>
        <w:t>三公</w:t>
      </w:r>
      <w:r>
        <w:rPr>
          <w:rFonts w:hint="default" w:ascii="Times New Roman" w:hAnsi="Times New Roman"/>
          <w:sz w:val="18"/>
          <w:szCs w:val="18"/>
        </w:rPr>
        <w:t>经费支出预决算情况。其中，预算数为</w:t>
      </w:r>
      <w:r>
        <w:rPr>
          <w:rFonts w:hint="eastAsia" w:ascii="Times New Roman" w:hAnsi="Times New Roman"/>
          <w:sz w:val="18"/>
          <w:szCs w:val="18"/>
          <w:lang w:eastAsia="zh-CN"/>
        </w:rPr>
        <w:t>三公</w:t>
      </w:r>
      <w:r>
        <w:rPr>
          <w:rFonts w:hint="default" w:ascii="Times New Roman" w:hAnsi="Times New Roman"/>
          <w:sz w:val="18"/>
          <w:szCs w:val="18"/>
        </w:rPr>
        <w:t>经费全年预算数，反映按规定程序调整后的预算数；决算数为包括本年度财政拨款和以前年度结转资金安排的实际支出。</w:t>
      </w:r>
      <w:r>
        <w:rPr>
          <w:rFonts w:hint="default" w:ascii="Times New Roman" w:hAnsi="Times New Roman"/>
          <w:sz w:val="18"/>
          <w:szCs w:val="18"/>
        </w:rPr>
        <w:br w:type="textWrapping"/>
      </w:r>
      <w:r>
        <w:rPr>
          <w:rFonts w:hint="default" w:ascii="Times New Roman" w:hAnsi="Times New Roman"/>
          <w:sz w:val="18"/>
          <w:szCs w:val="18"/>
        </w:rPr>
        <w:t xml:space="preserve">      2.本套报表金额单位转换时可能存在尾数误差。</w:t>
      </w:r>
      <w:r>
        <w:rPr>
          <w:rFonts w:hint="default" w:ascii="Times New Roman" w:hAnsi="Times New Roman"/>
          <w:sz w:val="18"/>
          <w:szCs w:val="18"/>
        </w:rPr>
        <w:br w:type="textWrapping"/>
      </w:r>
      <w:r>
        <w:rPr>
          <w:rFonts w:hint="default" w:ascii="Times New Roman" w:hAnsi="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Quad Arrow 2" o:spid="_x0000_s2049" o:spt="202" type="#_x0000_t202"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- 12 -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Quad Arrow 8" o:spid="_x0000_s2050" o:spt="202" type="#_x0000_t202" style="position:absolute;left:0pt;margin-top:0pt;height:144pt;width:144pt;mso-position-horizontal:center;mso-position-horizontal-relative:margin;mso-wrap-style:none;z-index:251661312;mso-width-relative:page;mso-height-relative:page;" filled="f" o:preferrelative="t" stroked="f" coordsize="21600,21600" o:allowoverlap="f">
          <v:path/>
          <v:fill on="f" focussize="0,0"/>
          <v:stroke on="f"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13 -</w:t>
                </w:r>
                <w:r>
                  <w:fldChar w:fldCharType="end"/>
                </w:r>
                <w:r>
                  <w:t xml:space="preserve"> </w:t>
                </w:r>
              </w:p>
            </w:txbxContent>
          </v:textbox>
        </v:shape>
      </w:pict>
    </w:r>
    <w:r>
      <w:rPr>
        <w:rFonts w:hint="default"/>
      </w:rPr>
      <w:pict>
        <v:shape id="Quad Arrow 7" o:spid="_x0000_s2051" o:spt="202" type="#_x0000_t202" style="position:absolute;left:0pt;margin-top:1160.4pt;height:17.4pt;width:144pt;mso-position-horizontal:center;mso-position-horizontal-relative:margin;mso-position-vertical-relative:page;mso-wrap-style:none;z-index:251660288;mso-width-relative:page;mso-height-relative:page;" filled="f" o:preferrelative="t" stroked="f" coordsize="21600,21600" o:allowoverlap="f">
          <v:path/>
          <v:fill on="f" focussize="0,0"/>
          <v:stroke on="f"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lkNmIwODI1Y2QwNGQxZDFhYmRhZWMyNWM5ZTJhMjUifQ=="/>
  </w:docVars>
  <w:rsids>
    <w:rsidRoot w:val="00B03CCD"/>
    <w:rsid w:val="000239C6"/>
    <w:rsid w:val="000E4E72"/>
    <w:rsid w:val="001D3BB7"/>
    <w:rsid w:val="002B254B"/>
    <w:rsid w:val="0031000D"/>
    <w:rsid w:val="0034050A"/>
    <w:rsid w:val="0044504F"/>
    <w:rsid w:val="00466C9B"/>
    <w:rsid w:val="00486CFC"/>
    <w:rsid w:val="00491DDD"/>
    <w:rsid w:val="00550ABE"/>
    <w:rsid w:val="006159A7"/>
    <w:rsid w:val="00623A85"/>
    <w:rsid w:val="007634D0"/>
    <w:rsid w:val="00770383"/>
    <w:rsid w:val="007819D4"/>
    <w:rsid w:val="007B419D"/>
    <w:rsid w:val="007B7C4B"/>
    <w:rsid w:val="007D3D39"/>
    <w:rsid w:val="00984C6A"/>
    <w:rsid w:val="00994AF7"/>
    <w:rsid w:val="009B67B8"/>
    <w:rsid w:val="009C14C9"/>
    <w:rsid w:val="009D2B67"/>
    <w:rsid w:val="009E1452"/>
    <w:rsid w:val="00A566F9"/>
    <w:rsid w:val="00AA71D8"/>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4774A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1E0AAF"/>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AE4585"/>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9EB09A4"/>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2039C3"/>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08770E"/>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6"/>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3">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4">
    <w:name w:val="列出段落3"/>
    <w:basedOn w:val="1"/>
    <w:qFormat/>
    <w:uiPriority w:val="99"/>
    <w:pPr>
      <w:ind w:firstLine="420" w:firstLineChars="200"/>
    </w:pPr>
    <w:rPr>
      <w:rFonts w:cs="宋体"/>
    </w:rPr>
  </w:style>
  <w:style w:type="character" w:customStyle="1" w:styleId="15">
    <w:name w:val="21"/>
    <w:basedOn w:val="9"/>
    <w:qFormat/>
    <w:uiPriority w:val="0"/>
    <w:rPr>
      <w:rFonts w:hint="default" w:ascii="Wingdings" w:hAnsi="Wingdings" w:cs="Wingdings"/>
      <w:b/>
      <w:bCs/>
    </w:rPr>
  </w:style>
  <w:style w:type="character" w:customStyle="1" w:styleId="16">
    <w:name w:val="批注框文本 字符"/>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8723</Words>
  <Characters>10771</Characters>
  <Lines>96</Lines>
  <Paragraphs>27</Paragraphs>
  <TotalTime>5</TotalTime>
  <ScaleCrop>false</ScaleCrop>
  <LinksUpToDate>false</LinksUpToDate>
  <CharactersWithSpaces>11752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毕欢</cp:lastModifiedBy>
  <dcterms:modified xsi:type="dcterms:W3CDTF">2025-09-18T07:43:59Z</dcterms:modified>
  <dc:title>垫江县法学会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