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4"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垫江县社会治安综合治理中心</w:t>
      </w:r>
    </w:p>
    <w:p>
      <w:pPr>
        <w:pStyle w:val="6"/>
        <w:spacing w:before="0" w:beforeAutospacing="0" w:after="0" w:afterAutospacing="0" w:line="594"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2024年度决算公开说明</w:t>
      </w:r>
    </w:p>
    <w:p>
      <w:pPr>
        <w:pStyle w:val="6"/>
        <w:shd w:val="clear" w:color="auto" w:fill="FFFFFF"/>
        <w:spacing w:before="0"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一、单位基本情况</w:t>
      </w:r>
    </w:p>
    <w:p>
      <w:pPr>
        <w:pStyle w:val="6"/>
        <w:shd w:val="clear" w:color="auto" w:fill="FFFFFF"/>
        <w:spacing w:beforeAutospacing="0" w:afterAutospacing="0" w:line="594" w:lineRule="exact"/>
        <w:ind w:firstLine="420"/>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（一）职能职责</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color w:val="333333"/>
          <w:sz w:val="32"/>
          <w:szCs w:val="32"/>
        </w:rPr>
      </w:pPr>
      <w:r>
        <w:rPr>
          <w:rFonts w:hint="default" w:ascii="Times New Roman" w:hAnsi="Times New Roman" w:eastAsia="方正仿宋_GBK"/>
          <w:color w:val="333333"/>
          <w:sz w:val="32"/>
          <w:szCs w:val="32"/>
          <w:shd w:val="clear" w:color="auto" w:fill="FFFFFF"/>
        </w:rPr>
        <w:t>在县委政法委指导下推动全县社会治理工作体系建设，承担推动全县各级社会治安综合治理中心规范化建设的具体事务性工作，并提供信息化、智能化支撑。</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color w:val="333333"/>
          <w:sz w:val="32"/>
          <w:szCs w:val="32"/>
        </w:rPr>
      </w:pPr>
      <w:r>
        <w:rPr>
          <w:rFonts w:hint="default" w:ascii="Times New Roman" w:hAnsi="Times New Roman" w:eastAsia="方正仿宋_GBK"/>
          <w:color w:val="333333"/>
          <w:sz w:val="32"/>
          <w:szCs w:val="32"/>
          <w:shd w:val="clear" w:color="auto" w:fill="FFFFFF"/>
        </w:rPr>
        <w:t>1.负责组织开展社会治理、平安建设有关问题调查研究，提出对策建议；</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color w:val="333333"/>
          <w:sz w:val="32"/>
          <w:szCs w:val="32"/>
        </w:rPr>
      </w:pPr>
      <w:r>
        <w:rPr>
          <w:rFonts w:hint="default" w:ascii="Times New Roman" w:hAnsi="Times New Roman" w:eastAsia="方正仿宋_GBK"/>
          <w:color w:val="333333"/>
          <w:sz w:val="32"/>
          <w:szCs w:val="32"/>
          <w:shd w:val="clear" w:color="auto" w:fill="FFFFFF"/>
        </w:rPr>
        <w:t>2.负责组织开展社会治理和平安稳定形势研判及风险预测预警预防；</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color w:val="333333"/>
          <w:sz w:val="32"/>
          <w:szCs w:val="32"/>
        </w:rPr>
      </w:pPr>
      <w:r>
        <w:rPr>
          <w:rFonts w:hint="default" w:ascii="Times New Roman" w:hAnsi="Times New Roman" w:eastAsia="方正仿宋_GBK"/>
          <w:color w:val="333333"/>
          <w:sz w:val="32"/>
          <w:szCs w:val="32"/>
          <w:shd w:val="clear" w:color="auto" w:fill="FFFFFF"/>
        </w:rPr>
        <w:t>3.组织协调社会治安防控体系建设，负责平台、数据分析、信息报送等工作；</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color w:val="333333"/>
          <w:sz w:val="32"/>
          <w:szCs w:val="32"/>
        </w:rPr>
      </w:pPr>
      <w:r>
        <w:rPr>
          <w:rFonts w:hint="default" w:ascii="Times New Roman" w:hAnsi="Times New Roman" w:eastAsia="方正仿宋_GBK"/>
          <w:color w:val="333333"/>
          <w:sz w:val="32"/>
          <w:szCs w:val="32"/>
          <w:shd w:val="clear" w:color="auto" w:fill="FFFFFF"/>
        </w:rPr>
        <w:t>4.协调矛盾纠纷排查化解工作；</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color w:val="333333"/>
          <w:sz w:val="32"/>
          <w:szCs w:val="32"/>
        </w:rPr>
      </w:pPr>
      <w:r>
        <w:rPr>
          <w:rFonts w:hint="default" w:ascii="Times New Roman" w:hAnsi="Times New Roman" w:eastAsia="方正仿宋_GBK"/>
          <w:color w:val="333333"/>
          <w:sz w:val="32"/>
          <w:szCs w:val="32"/>
          <w:shd w:val="clear" w:color="auto" w:fill="FFFFFF"/>
        </w:rPr>
        <w:t>5.协调推动网络化管理服务工作；</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color w:val="333333"/>
          <w:sz w:val="32"/>
          <w:szCs w:val="32"/>
        </w:rPr>
      </w:pPr>
      <w:r>
        <w:rPr>
          <w:rFonts w:hint="default" w:ascii="Times New Roman" w:hAnsi="Times New Roman" w:eastAsia="方正仿宋_GBK"/>
          <w:color w:val="333333"/>
          <w:sz w:val="32"/>
          <w:szCs w:val="32"/>
          <w:shd w:val="clear" w:color="auto" w:fill="FFFFFF"/>
        </w:rPr>
        <w:t>6.推动特殊人群管理服务工作；</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color w:val="333333"/>
          <w:sz w:val="32"/>
          <w:szCs w:val="32"/>
        </w:rPr>
      </w:pPr>
      <w:r>
        <w:rPr>
          <w:rFonts w:hint="default" w:ascii="Times New Roman" w:hAnsi="Times New Roman" w:eastAsia="方正仿宋_GBK"/>
          <w:color w:val="333333"/>
          <w:sz w:val="32"/>
          <w:szCs w:val="32"/>
          <w:shd w:val="clear" w:color="auto" w:fill="FFFFFF"/>
        </w:rPr>
        <w:t>7.推动心理健康服务体系建设；</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color w:val="333333"/>
          <w:sz w:val="32"/>
          <w:szCs w:val="32"/>
        </w:rPr>
      </w:pPr>
      <w:r>
        <w:rPr>
          <w:rFonts w:hint="default" w:ascii="Times New Roman" w:hAnsi="Times New Roman" w:eastAsia="方正仿宋_GBK"/>
          <w:color w:val="333333"/>
          <w:sz w:val="32"/>
          <w:szCs w:val="32"/>
          <w:shd w:val="clear" w:color="auto" w:fill="FFFFFF"/>
        </w:rPr>
        <w:t>8.推进乡镇（街道）、村（社区）综治中心标准化、规范化建设工作；</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color w:val="333333"/>
          <w:sz w:val="32"/>
          <w:szCs w:val="32"/>
        </w:rPr>
      </w:pPr>
      <w:r>
        <w:rPr>
          <w:rFonts w:hint="default" w:ascii="Times New Roman" w:hAnsi="Times New Roman" w:eastAsia="方正仿宋_GBK"/>
          <w:color w:val="333333"/>
          <w:sz w:val="32"/>
          <w:szCs w:val="32"/>
          <w:shd w:val="clear" w:color="auto" w:fill="FFFFFF"/>
        </w:rPr>
        <w:t>9.完成县委政法委交办的其他任务。</w:t>
      </w:r>
    </w:p>
    <w:p>
      <w:pPr>
        <w:pStyle w:val="6"/>
        <w:shd w:val="clear" w:color="auto" w:fill="FFFFFF"/>
        <w:spacing w:beforeAutospacing="0" w:afterAutospacing="0" w:line="594" w:lineRule="exact"/>
        <w:ind w:firstLine="420"/>
        <w:rPr>
          <w:rFonts w:hint="default" w:ascii="Times New Roman" w:hAnsi="Times New Roman" w:eastAsia="楷体"/>
          <w:sz w:val="32"/>
          <w:szCs w:val="32"/>
        </w:rPr>
      </w:pPr>
      <w:r>
        <w:rPr>
          <w:rStyle w:val="10"/>
          <w:rFonts w:hint="default" w:ascii="Times New Roman" w:hAnsi="Times New Roman" w:eastAsia="楷体"/>
          <w:sz w:val="32"/>
          <w:szCs w:val="32"/>
          <w:shd w:val="clear" w:color="auto" w:fill="FFFFFF"/>
        </w:rPr>
        <w:t>（二）机构设置</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垫江县社会治安综合治理中心为县委政法委所属，相当于行政副科级财政全额拨款公益一类事业单位。</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1.综合协调科。负责综合性文稿起草、信息宣传工作；负责档案资料管理、安全保密、应急调度、后勤服务保障工作；负责社会治理、平安建设有关问题调查研究，提出对策建议；组织开展社会治理和平安稳定形势研判及风险预测预警预防；完成领导交办的其他事项。</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2.风险防范科。协调矛盾纠纷排查化解工作；推动特殊人群管理服务工作；参与推动心理健康服务体系建设；完成领导交办的其他事项。</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3.网络信息科。组织协调社会治安防控体系建设，负责平台运行、数据分析、信息报送等工作；负责协调推动网络化管理服务具体工作；负责推进乡镇（街道）、村（社区）综治中心标准化、规范化建设具体工作；完成领导交办的其他事项。</w:t>
      </w:r>
    </w:p>
    <w:p>
      <w:pPr>
        <w:pStyle w:val="6"/>
        <w:shd w:val="clear" w:color="auto" w:fill="FFFFFF"/>
        <w:spacing w:before="0"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二、单位决算收支情况说明</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6"/>
        <w:shd w:val="clear" w:color="auto" w:fill="FFFFFF"/>
        <w:spacing w:beforeAutospacing="0" w:afterAutospacing="0" w:line="594" w:lineRule="exact"/>
        <w:ind w:firstLine="643"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2024年度收入总计97.24万元，支出总计</w:t>
      </w:r>
      <w:r>
        <w:rPr>
          <w:rFonts w:hint="default" w:ascii="Times New Roman" w:hAnsi="Times New Roman" w:eastAsia="方正仿宋_GBK"/>
          <w:sz w:val="32"/>
          <w:szCs w:val="32"/>
        </w:rPr>
        <w:t>97.24</w:t>
      </w:r>
      <w:r>
        <w:rPr>
          <w:rFonts w:hint="default" w:ascii="Times New Roman" w:hAnsi="Times New Roman" w:eastAsia="方正仿宋_GBK"/>
          <w:sz w:val="32"/>
          <w:szCs w:val="32"/>
          <w:shd w:val="clear" w:color="auto" w:fill="FFFFFF"/>
        </w:rPr>
        <w:t>万元。收、支与2023年度相比，增加34.06万元，增长53.91%，主要原因是本年度追加了2022</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2023年养老保险及职业</w:t>
      </w:r>
      <w:r>
        <w:rPr>
          <w:rFonts w:ascii="Times New Roman" w:hAnsi="Times New Roman" w:eastAsia="方正仿宋_GBK"/>
          <w:sz w:val="32"/>
          <w:szCs w:val="32"/>
          <w:shd w:val="clear" w:color="auto" w:fill="FFFFFF"/>
        </w:rPr>
        <w:t>年金</w:t>
      </w:r>
      <w:r>
        <w:rPr>
          <w:rFonts w:hint="default" w:ascii="Times New Roman" w:hAnsi="Times New Roman" w:eastAsia="方正仿宋_GBK"/>
          <w:sz w:val="32"/>
          <w:szCs w:val="32"/>
          <w:shd w:val="clear" w:color="auto" w:fill="FFFFFF"/>
        </w:rPr>
        <w:t>调标补缴及人员晋级调资补发。</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2024年度收入合计97.24万元，与2023年度相比，增加34.06万元，增长53.91%，主要原因是本年度追加了2022</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2023年养老保险及职业</w:t>
      </w:r>
      <w:r>
        <w:rPr>
          <w:rFonts w:ascii="Times New Roman" w:hAnsi="Times New Roman" w:eastAsia="方正仿宋_GBK"/>
          <w:sz w:val="32"/>
          <w:szCs w:val="32"/>
          <w:shd w:val="clear" w:color="auto" w:fill="FFFFFF"/>
        </w:rPr>
        <w:t>年金</w:t>
      </w:r>
      <w:r>
        <w:rPr>
          <w:rFonts w:hint="default" w:ascii="Times New Roman" w:hAnsi="Times New Roman" w:eastAsia="方正仿宋_GBK"/>
          <w:sz w:val="32"/>
          <w:szCs w:val="32"/>
          <w:shd w:val="clear" w:color="auto" w:fill="FFFFFF"/>
        </w:rPr>
        <w:t>调标补缴及人员晋级调资补发</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其中：财政拨款收入</w:t>
      </w:r>
      <w:r>
        <w:rPr>
          <w:rFonts w:hint="default" w:ascii="Times New Roman" w:hAnsi="Times New Roman" w:eastAsia="方正仿宋_GBK"/>
          <w:sz w:val="32"/>
          <w:szCs w:val="32"/>
        </w:rPr>
        <w:t>97.24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97.24</w:t>
      </w:r>
      <w:r>
        <w:rPr>
          <w:rFonts w:hint="default" w:ascii="Times New Roman" w:hAnsi="Times New Roman" w:eastAsia="方正仿宋_GBK"/>
          <w:sz w:val="32"/>
          <w:szCs w:val="32"/>
          <w:shd w:val="clear" w:color="auto" w:fill="FFFFFF"/>
        </w:rPr>
        <w:t>万元，与2023年度相比，增加34.06万元，增长53.91%，主要原因是本年度追加了2022</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2023年养老保险及职业</w:t>
      </w:r>
      <w:r>
        <w:rPr>
          <w:rFonts w:ascii="Times New Roman" w:hAnsi="Times New Roman" w:eastAsia="方正仿宋_GBK"/>
          <w:sz w:val="32"/>
          <w:szCs w:val="32"/>
          <w:shd w:val="clear" w:color="auto" w:fill="FFFFFF"/>
        </w:rPr>
        <w:t>年金</w:t>
      </w:r>
      <w:r>
        <w:rPr>
          <w:rFonts w:hint="default" w:ascii="Times New Roman" w:hAnsi="Times New Roman" w:eastAsia="方正仿宋_GBK"/>
          <w:sz w:val="32"/>
          <w:szCs w:val="32"/>
          <w:shd w:val="clear" w:color="auto" w:fill="FFFFFF"/>
        </w:rPr>
        <w:t>调标补缴及人员晋级调资补发</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其中：基本支出</w:t>
      </w:r>
      <w:r>
        <w:rPr>
          <w:rFonts w:hint="default" w:ascii="Times New Roman" w:hAnsi="Times New Roman" w:eastAsia="方正仿宋_GBK"/>
          <w:sz w:val="32"/>
          <w:szCs w:val="32"/>
        </w:rPr>
        <w:t>97.24</w:t>
      </w:r>
      <w:r>
        <w:rPr>
          <w:rFonts w:hint="default" w:ascii="Times New Roman" w:hAnsi="Times New Roman" w:eastAsia="方正仿宋_GBK"/>
          <w:sz w:val="32"/>
          <w:szCs w:val="32"/>
          <w:shd w:val="clear" w:color="auto" w:fill="FFFFFF"/>
        </w:rPr>
        <w:t>万元，占100.00%；项目支出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年度年末无结转和结余。</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2024年度财政拨款收、支总计97.24万元。与2023年相比，财政拨款收、支总计各增加34.06万元，增长53.91%。主要原因是2023年度年末无结转和结余。</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97.24</w:t>
      </w:r>
      <w:r>
        <w:rPr>
          <w:rFonts w:hint="default" w:ascii="Times New Roman" w:hAnsi="Times New Roman" w:eastAsia="方正仿宋_GBK"/>
          <w:sz w:val="32"/>
          <w:szCs w:val="32"/>
          <w:shd w:val="clear" w:color="auto" w:fill="FFFFFF"/>
        </w:rPr>
        <w:t>万元，与2023年度相比，增加34.06万元，增长53.91%。主要原因是本年度追加了2022</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2023年养老保险及职业</w:t>
      </w:r>
      <w:r>
        <w:rPr>
          <w:rFonts w:ascii="Times New Roman" w:hAnsi="Times New Roman" w:eastAsia="方正仿宋_GBK"/>
          <w:sz w:val="32"/>
          <w:szCs w:val="32"/>
          <w:shd w:val="clear" w:color="auto" w:fill="FFFFFF"/>
        </w:rPr>
        <w:t>年金</w:t>
      </w:r>
      <w:r>
        <w:rPr>
          <w:rFonts w:hint="default" w:ascii="Times New Roman" w:hAnsi="Times New Roman" w:eastAsia="方正仿宋_GBK"/>
          <w:sz w:val="32"/>
          <w:szCs w:val="32"/>
          <w:shd w:val="clear" w:color="auto" w:fill="FFFFFF"/>
        </w:rPr>
        <w:t>调标补缴及人员晋级调资补发</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较年初预算数增加9.15万元，增长10.39%。主要原因是本年度追加了2022</w:t>
      </w:r>
      <w:bookmarkStart w:id="0" w:name="_GoBack"/>
      <w:bookmarkEnd w:id="0"/>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2023年养老保险及职业</w:t>
      </w:r>
      <w:r>
        <w:rPr>
          <w:rFonts w:ascii="Times New Roman" w:hAnsi="Times New Roman" w:eastAsia="方正仿宋_GBK"/>
          <w:sz w:val="32"/>
          <w:szCs w:val="32"/>
          <w:shd w:val="clear" w:color="auto" w:fill="FFFFFF"/>
        </w:rPr>
        <w:t>年金</w:t>
      </w:r>
      <w:r>
        <w:rPr>
          <w:rFonts w:hint="default" w:ascii="Times New Roman" w:hAnsi="Times New Roman" w:eastAsia="方正仿宋_GBK"/>
          <w:sz w:val="32"/>
          <w:szCs w:val="32"/>
          <w:shd w:val="clear" w:color="auto" w:fill="FFFFFF"/>
        </w:rPr>
        <w:t>调标补缴及人员晋级调资补发</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97.24</w:t>
      </w:r>
      <w:r>
        <w:rPr>
          <w:rFonts w:hint="default" w:ascii="Times New Roman" w:hAnsi="Times New Roman" w:eastAsia="方正仿宋_GBK"/>
          <w:sz w:val="32"/>
          <w:szCs w:val="32"/>
          <w:shd w:val="clear" w:color="auto" w:fill="FFFFFF"/>
        </w:rPr>
        <w:t>万元，与2023年度相比，增加34.06万元，增长53.91%。主要原因是本年度追加了2022</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2023年养老保险及职业</w:t>
      </w:r>
      <w:r>
        <w:rPr>
          <w:rFonts w:ascii="Times New Roman" w:hAnsi="Times New Roman" w:eastAsia="方正仿宋_GBK"/>
          <w:sz w:val="32"/>
          <w:szCs w:val="32"/>
          <w:shd w:val="clear" w:color="auto" w:fill="FFFFFF"/>
        </w:rPr>
        <w:t>年金</w:t>
      </w:r>
      <w:r>
        <w:rPr>
          <w:rFonts w:hint="default" w:ascii="Times New Roman" w:hAnsi="Times New Roman" w:eastAsia="方正仿宋_GBK"/>
          <w:sz w:val="32"/>
          <w:szCs w:val="32"/>
          <w:shd w:val="clear" w:color="auto" w:fill="FFFFFF"/>
        </w:rPr>
        <w:t>调标补缴及人员晋级调资补发</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较年初预算数增加9.15万元，增长10.39%。主要原因是本年度追加了2022</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2023年养老保险及职业年</w:t>
      </w:r>
      <w:r>
        <w:rPr>
          <w:rFonts w:ascii="Times New Roman" w:hAnsi="Times New Roman" w:eastAsia="方正仿宋_GBK"/>
          <w:sz w:val="32"/>
          <w:szCs w:val="32"/>
          <w:shd w:val="clear" w:color="auto" w:fill="FFFFFF"/>
        </w:rPr>
        <w:t>金</w:t>
      </w:r>
      <w:r>
        <w:rPr>
          <w:rFonts w:hint="default" w:ascii="Times New Roman" w:hAnsi="Times New Roman" w:eastAsia="方正仿宋_GBK"/>
          <w:sz w:val="32"/>
          <w:szCs w:val="32"/>
          <w:shd w:val="clear" w:color="auto" w:fill="FFFFFF"/>
        </w:rPr>
        <w:t>调标补缴及人员晋级调资补发</w:t>
      </w:r>
      <w:r>
        <w:rPr>
          <w:rFonts w:ascii="Times New Roman" w:hAnsi="Times New Roman" w:eastAsia="方正仿宋_GBK"/>
          <w:sz w:val="32"/>
          <w:szCs w:val="32"/>
          <w:shd w:val="clear" w:color="auto" w:fill="FFFFFF"/>
        </w:rPr>
        <w:t>。</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2024年无结转结余。</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64.36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66.18</w:t>
      </w:r>
      <w:r>
        <w:rPr>
          <w:rFonts w:hint="default" w:ascii="Times New Roman" w:hAnsi="Times New Roman" w:eastAsia="方正仿宋_GBK"/>
          <w:sz w:val="32"/>
          <w:szCs w:val="32"/>
          <w:shd w:val="clear" w:color="auto" w:fill="FFFFFF"/>
        </w:rPr>
        <w:t>%，较年初预算数减少8.46万元，下降11.62%，主要原因是</w:t>
      </w:r>
      <w:r>
        <w:rPr>
          <w:rFonts w:ascii="方正仿宋_GBK" w:hAnsi="方正仿宋_GBK" w:eastAsia="方正仿宋_GBK" w:cs="方正仿宋_GBK"/>
          <w:sz w:val="32"/>
          <w:szCs w:val="32"/>
          <w:shd w:val="clear" w:color="auto" w:fill="FFFFFF"/>
        </w:rPr>
        <w:t>认真贯彻落实中央八项规定精神和厉行节约要求，加强管理，减少了公用经费开支。</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）教育支出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%，较年初预算数减少0.25万元，下降100.00%，主要原因是</w:t>
      </w:r>
      <w:r>
        <w:rPr>
          <w:rFonts w:ascii="Times New Roman" w:hAnsi="Times New Roman" w:eastAsia="方正仿宋_GBK"/>
          <w:sz w:val="32"/>
          <w:szCs w:val="32"/>
          <w:shd w:val="clear" w:color="auto" w:fill="FFFFFF"/>
        </w:rPr>
        <w:t>本年度未开展培训。</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）社会保障与就业支出</w:t>
      </w:r>
      <w:r>
        <w:rPr>
          <w:rFonts w:hint="default" w:ascii="Times New Roman" w:hAnsi="Times New Roman" w:eastAsia="方正仿宋_GBK"/>
          <w:sz w:val="32"/>
          <w:szCs w:val="32"/>
        </w:rPr>
        <w:t>23.18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23.84</w:t>
      </w:r>
      <w:r>
        <w:rPr>
          <w:rFonts w:hint="default" w:ascii="Times New Roman" w:hAnsi="Times New Roman" w:eastAsia="方正仿宋_GBK"/>
          <w:sz w:val="32"/>
          <w:szCs w:val="32"/>
          <w:shd w:val="clear" w:color="auto" w:fill="FFFFFF"/>
        </w:rPr>
        <w:t>%，较年初预算数增加15.34万元，增长195.66%，主要原因是</w:t>
      </w:r>
      <w:r>
        <w:rPr>
          <w:rFonts w:ascii="Times New Roman" w:hAnsi="Times New Roman" w:eastAsia="方正仿宋_GBK"/>
          <w:sz w:val="32"/>
          <w:szCs w:val="32"/>
          <w:shd w:val="clear" w:color="auto" w:fill="FFFFFF"/>
        </w:rPr>
        <w:t>本年度</w:t>
      </w:r>
      <w:r>
        <w:rPr>
          <w:rFonts w:hint="default" w:ascii="Times New Roman" w:hAnsi="Times New Roman" w:eastAsia="方正仿宋_GBK"/>
          <w:sz w:val="32"/>
          <w:szCs w:val="32"/>
          <w:shd w:val="clear" w:color="auto" w:fill="FFFFFF"/>
        </w:rPr>
        <w:t>补缴2022</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2023年养老保险及职业</w:t>
      </w:r>
      <w:r>
        <w:rPr>
          <w:rFonts w:ascii="Times New Roman" w:hAnsi="Times New Roman" w:eastAsia="方正仿宋_GBK"/>
          <w:sz w:val="32"/>
          <w:szCs w:val="32"/>
          <w:shd w:val="clear" w:color="auto" w:fill="FFFFFF"/>
        </w:rPr>
        <w:t>年金</w:t>
      </w:r>
      <w:r>
        <w:rPr>
          <w:rFonts w:hint="default" w:ascii="Times New Roman" w:hAnsi="Times New Roman" w:eastAsia="方正仿宋_GBK"/>
          <w:sz w:val="32"/>
          <w:szCs w:val="32"/>
          <w:shd w:val="clear" w:color="auto" w:fill="FFFFFF"/>
        </w:rPr>
        <w:t>调标</w:t>
      </w:r>
      <w:r>
        <w:rPr>
          <w:rFonts w:ascii="Times New Roman" w:hAnsi="Times New Roman" w:eastAsia="方正仿宋_GBK"/>
          <w:sz w:val="32"/>
          <w:szCs w:val="32"/>
          <w:shd w:val="clear" w:color="auto" w:fill="FFFFFF"/>
        </w:rPr>
        <w:t>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）卫生健康支出</w:t>
      </w:r>
      <w:r>
        <w:rPr>
          <w:rFonts w:hint="default" w:ascii="Times New Roman" w:hAnsi="Times New Roman" w:eastAsia="方正仿宋_GBK"/>
          <w:sz w:val="32"/>
          <w:szCs w:val="32"/>
        </w:rPr>
        <w:t>3.33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3.42</w:t>
      </w:r>
      <w:r>
        <w:rPr>
          <w:rFonts w:hint="default" w:ascii="Times New Roman" w:hAnsi="Times New Roman" w:eastAsia="方正仿宋_GBK"/>
          <w:sz w:val="32"/>
          <w:szCs w:val="32"/>
          <w:shd w:val="clear" w:color="auto" w:fill="FFFFFF"/>
        </w:rPr>
        <w:t>%，较年初预算数增加0.06万元，增长1.83%，主要原因是实际支付医疗保险数据与年初预算数有细微偏差。</w:t>
      </w:r>
    </w:p>
    <w:p>
      <w:pPr>
        <w:spacing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5</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rPr>
        <w:t>住房保障支出6.38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6.56</w:t>
      </w:r>
      <w:r>
        <w:rPr>
          <w:rFonts w:hint="default" w:ascii="Times New Roman" w:hAnsi="Times New Roman" w:eastAsia="方正仿宋_GBK"/>
          <w:sz w:val="32"/>
          <w:szCs w:val="32"/>
          <w:shd w:val="clear" w:color="auto" w:fill="FFFFFF"/>
        </w:rPr>
        <w:t>%，较年初预算数增加2.46万元，增长62.76%，主要原因是正常增资、政策性调资等调增基数。</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97.24</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91.59</w:t>
      </w:r>
      <w:r>
        <w:rPr>
          <w:rFonts w:hint="default" w:ascii="Times New Roman" w:hAnsi="Times New Roman" w:eastAsia="方正仿宋_GBK"/>
          <w:sz w:val="32"/>
          <w:szCs w:val="32"/>
          <w:shd w:val="clear" w:color="auto" w:fill="FFFFFF"/>
        </w:rPr>
        <w:t>万元，与2023年度相比，增加36.85万元，增长67.32%，主要原因是本年度追加了2022</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2023年养老保险及职业年</w:t>
      </w:r>
      <w:r>
        <w:rPr>
          <w:rFonts w:ascii="Times New Roman" w:hAnsi="Times New Roman" w:eastAsia="方正仿宋_GBK"/>
          <w:sz w:val="32"/>
          <w:szCs w:val="32"/>
          <w:shd w:val="clear" w:color="auto" w:fill="FFFFFF"/>
        </w:rPr>
        <w:t>金</w:t>
      </w:r>
      <w:r>
        <w:rPr>
          <w:rFonts w:hint="default" w:ascii="Times New Roman" w:hAnsi="Times New Roman" w:eastAsia="方正仿宋_GBK"/>
          <w:sz w:val="32"/>
          <w:szCs w:val="32"/>
          <w:shd w:val="clear" w:color="auto" w:fill="FFFFFF"/>
        </w:rPr>
        <w:t>调标补缴及人员晋级调资补发</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人员经费用途主要包括基本工资、津贴补贴、绩效工资、社会保障缴费、住房公积金、医疗费。公用经费</w:t>
      </w:r>
      <w:r>
        <w:rPr>
          <w:rFonts w:hint="default" w:ascii="Times New Roman" w:hAnsi="Times New Roman" w:eastAsia="方正仿宋_GBK"/>
          <w:sz w:val="32"/>
          <w:szCs w:val="32"/>
        </w:rPr>
        <w:t>5.65</w:t>
      </w:r>
      <w:r>
        <w:rPr>
          <w:rFonts w:hint="default" w:ascii="Times New Roman" w:hAnsi="Times New Roman" w:eastAsia="方正仿宋_GBK"/>
          <w:sz w:val="32"/>
          <w:szCs w:val="32"/>
          <w:shd w:val="clear" w:color="auto" w:fill="FFFFFF"/>
        </w:rPr>
        <w:t>万元，与2023年度相比，减少2.80万元，下降33.14%，主要原因是认真贯彻落实中央八项规定精神和厉行节约要求，加强了公用经费使用管理。公用经费用途主要包括办公费、邮电费、差旅费、培训费、工会经费、福利费等。</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三、财政拨款</w:t>
      </w:r>
      <w:r>
        <w:rPr>
          <w:rStyle w:val="10"/>
          <w:rFonts w:hint="eastAsia" w:ascii="Times New Roman" w:hAnsi="Times New Roman" w:eastAsia="黑体"/>
          <w:sz w:val="32"/>
          <w:szCs w:val="32"/>
          <w:shd w:val="clear" w:color="auto" w:fill="FFFFFF"/>
          <w:lang w:eastAsia="zh-CN"/>
        </w:rPr>
        <w:t>三公</w:t>
      </w:r>
      <w:r>
        <w:rPr>
          <w:rStyle w:val="10"/>
          <w:rFonts w:hint="default" w:ascii="Times New Roman" w:hAnsi="Times New Roman" w:eastAsia="黑体"/>
          <w:sz w:val="32"/>
          <w:szCs w:val="32"/>
          <w:shd w:val="clear" w:color="auto" w:fill="FFFFFF"/>
        </w:rPr>
        <w:t>经费情况说明</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xml:space="preserve"> （一）</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经费支出总体情况说明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hint="eastAsia" w:ascii="Times New Roman" w:hAnsi="Times New Roman" w:eastAsia="方正仿宋_GBK"/>
          <w:sz w:val="32"/>
          <w:szCs w:val="32"/>
          <w:shd w:val="clear" w:color="auto" w:fill="FFFFFF"/>
          <w:lang w:eastAsia="zh-CN"/>
        </w:rPr>
        <w:t>三公</w:t>
      </w:r>
      <w:r>
        <w:rPr>
          <w:rFonts w:hint="default" w:ascii="Times New Roman" w:hAnsi="Times New Roman" w:eastAsia="方正仿宋_GBK"/>
          <w:sz w:val="32"/>
          <w:szCs w:val="32"/>
          <w:shd w:val="clear" w:color="auto" w:fill="FFFFFF"/>
        </w:rPr>
        <w:t>经费支出共计</w:t>
      </w:r>
      <w:r>
        <w:rPr>
          <w:rFonts w:hint="default" w:ascii="Times New Roman" w:hAnsi="Times New Roman" w:eastAsia="方正仿宋_GBK"/>
          <w:sz w:val="32"/>
          <w:szCs w:val="32"/>
        </w:rPr>
        <w:t>0.61</w:t>
      </w:r>
      <w:r>
        <w:rPr>
          <w:rFonts w:hint="default" w:ascii="Times New Roman" w:hAnsi="Times New Roman" w:eastAsia="方正仿宋_GBK"/>
          <w:sz w:val="32"/>
          <w:szCs w:val="32"/>
          <w:shd w:val="clear" w:color="auto" w:fill="FFFFFF"/>
        </w:rPr>
        <w:t>万元，较年初预算数减少0.39万元，下降39.00%，主要原因是认真贯彻落实中央八项规定精神和厉行节约要求，加强了公用经费使用管理</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较上年支出数减少0.39万元，下降39.00%，主要原因是认真贯彻落实中央八项规定精神和厉行节约要求，加强了公用经费使用管理</w:t>
      </w:r>
      <w:r>
        <w:rPr>
          <w:rFonts w:ascii="Times New Roman" w:hAnsi="Times New Roman" w:eastAsia="方正仿宋_GBK"/>
          <w:sz w:val="32"/>
          <w:szCs w:val="32"/>
          <w:shd w:val="clear" w:color="auto" w:fill="FFFFFF"/>
        </w:rPr>
        <w:t>。</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经费分项支出情况</w:t>
      </w:r>
    </w:p>
    <w:p>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0.61</w:t>
      </w:r>
      <w:r>
        <w:rPr>
          <w:rFonts w:hint="default" w:ascii="Times New Roman" w:hAnsi="Times New Roman" w:eastAsia="方正仿宋_GBK"/>
          <w:sz w:val="32"/>
          <w:szCs w:val="32"/>
          <w:shd w:val="clear" w:color="auto" w:fill="FFFFFF"/>
        </w:rPr>
        <w:t>万元，主要用于接待</w:t>
      </w:r>
      <w:r>
        <w:rPr>
          <w:rFonts w:ascii="方正仿宋_GBK" w:hAnsi="方正仿宋_GBK" w:eastAsia="方正仿宋_GBK" w:cs="方正仿宋_GBK"/>
          <w:sz w:val="32"/>
          <w:szCs w:val="32"/>
          <w:shd w:val="clear" w:color="auto" w:fill="FFFFFF"/>
        </w:rPr>
        <w:t>同级单位到我单位学习调研，接受上级和其他部门检查指导工作发生的接待支出。</w:t>
      </w:r>
      <w:r>
        <w:rPr>
          <w:rFonts w:hint="default" w:ascii="Times New Roman" w:hAnsi="Times New Roman" w:eastAsia="方正仿宋_GBK"/>
          <w:sz w:val="32"/>
          <w:szCs w:val="32"/>
          <w:shd w:val="clear" w:color="auto" w:fill="FFFFFF"/>
        </w:rPr>
        <w:t>费用支出较年初预算数减少0.39万元，下降39.00%，主要原因是</w:t>
      </w:r>
      <w:r>
        <w:rPr>
          <w:rFonts w:ascii="方正仿宋_GBK" w:hAnsi="方正仿宋_GBK" w:eastAsia="方正仿宋_GBK" w:cs="方正仿宋_GBK"/>
          <w:sz w:val="32"/>
          <w:szCs w:val="32"/>
          <w:shd w:val="clear" w:color="auto" w:fill="FFFFFF"/>
        </w:rPr>
        <w:t>严格遵守公务接待开支范围和开支标准，严格控制陪餐人数。</w:t>
      </w:r>
      <w:r>
        <w:rPr>
          <w:rFonts w:hint="default" w:ascii="Times New Roman" w:hAnsi="Times New Roman" w:eastAsia="方正仿宋_GBK"/>
          <w:sz w:val="32"/>
          <w:szCs w:val="32"/>
          <w:shd w:val="clear" w:color="auto" w:fill="FFFFFF"/>
        </w:rPr>
        <w:t>较上年支出数减少0.39万元，下降39.00%，主要原因是</w:t>
      </w:r>
      <w:r>
        <w:rPr>
          <w:rFonts w:ascii="方正仿宋_GBK" w:hAnsi="方正仿宋_GBK" w:eastAsia="方正仿宋_GBK" w:cs="方正仿宋_GBK"/>
          <w:sz w:val="32"/>
          <w:szCs w:val="32"/>
          <w:shd w:val="clear" w:color="auto" w:fill="FFFFFF"/>
        </w:rPr>
        <w:t>严格遵守公务接待开支范围和开支标准，严格控制陪餐人数。</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经费实物量情况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10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82</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74.91</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6"/>
        <w:shd w:val="clear" w:color="auto" w:fill="FFFFFF"/>
        <w:spacing w:before="0"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四、其他需要说明的事项</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xml:space="preserve"> （一）财政拨款会议费和培训费情况说明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万元，与2023年度相比，减少0.60万元，下降100.00%，</w:t>
      </w:r>
      <w:r>
        <w:rPr>
          <w:rFonts w:ascii="方正仿宋_GBK" w:eastAsia="方正仿宋_GBK"/>
          <w:sz w:val="32"/>
          <w:szCs w:val="32"/>
        </w:rPr>
        <w:t>主要原因是本年未发生会议费支出</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本年度培训费支出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万元，与2023年度相比，减少0.16万元，下降100.00%，主要原因是</w:t>
      </w:r>
      <w:r>
        <w:rPr>
          <w:rFonts w:ascii="Times New Roman" w:hAnsi="Times New Roman" w:eastAsia="方正仿宋_GBK"/>
          <w:sz w:val="32"/>
          <w:szCs w:val="32"/>
          <w:shd w:val="clear" w:color="auto" w:fill="FFFFFF"/>
        </w:rPr>
        <w:t>本年度未开展培训</w:t>
      </w:r>
      <w:r>
        <w:rPr>
          <w:rFonts w:hint="default" w:ascii="Times New Roman" w:hAnsi="Times New Roman" w:eastAsia="方正仿宋_GBK"/>
          <w:sz w:val="32"/>
          <w:szCs w:val="32"/>
          <w:shd w:val="clear" w:color="auto" w:fill="FFFFFF"/>
        </w:rPr>
        <w:t>。</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11"/>
        <w:autoSpaceDE w:val="0"/>
        <w:ind w:firstLine="640"/>
        <w:rPr>
          <w:rFonts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1"/>
        <w:numPr>
          <w:ilvl w:val="0"/>
          <w:numId w:val="1"/>
        </w:numPr>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政府采购支出情况说明</w:t>
      </w:r>
    </w:p>
    <w:p>
      <w:pPr>
        <w:pStyle w:val="11"/>
        <w:autoSpaceDE w:val="0"/>
        <w:spacing w:line="594" w:lineRule="exact"/>
        <w:ind w:firstLine="640"/>
        <w:rPr>
          <w:rFonts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.0%。2024年度我单位未发生政府采购事项，无相关经费支出。</w:t>
      </w:r>
    </w:p>
    <w:p>
      <w:pPr>
        <w:pStyle w:val="12"/>
        <w:spacing w:before="0" w:beforeAutospacing="0" w:after="0" w:afterAutospacing="0" w:line="594" w:lineRule="exact"/>
        <w:ind w:firstLine="643" w:firstLineChars="200"/>
        <w:rPr>
          <w:rStyle w:val="10"/>
          <w:rFonts w:ascii="Times New Roman" w:hAnsi="Times New Roman" w:eastAsia="黑体"/>
          <w:sz w:val="32"/>
          <w:szCs w:val="32"/>
          <w:shd w:val="clear" w:color="auto" w:fill="FFFFFF"/>
        </w:rPr>
      </w:pPr>
      <w:r>
        <w:rPr>
          <w:rStyle w:val="10"/>
          <w:rFonts w:ascii="Times New Roman" w:hAnsi="Times New Roman" w:eastAsia="黑体"/>
          <w:sz w:val="32"/>
          <w:szCs w:val="32"/>
          <w:shd w:val="clear" w:color="auto" w:fill="FFFFFF"/>
        </w:rPr>
        <w:t>五、2024年度预算绩效管理情况说明</w:t>
      </w:r>
    </w:p>
    <w:p>
      <w:pPr>
        <w:pStyle w:val="12"/>
        <w:autoSpaceDE w:val="0"/>
        <w:spacing w:before="0" w:beforeAutospacing="0" w:after="0" w:afterAutospacing="0" w:line="594" w:lineRule="exact"/>
        <w:ind w:firstLine="643" w:firstLineChars="200"/>
        <w:rPr>
          <w:rFonts w:ascii="Times New Roman" w:hAnsi="Times New Roman" w:eastAsia="楷体"/>
          <w:b/>
          <w:bCs/>
          <w:sz w:val="32"/>
          <w:szCs w:val="32"/>
          <w:shd w:val="clear" w:color="060000" w:fill="FFFFFF"/>
        </w:rPr>
      </w:pPr>
      <w:r>
        <w:rPr>
          <w:rFonts w:ascii="Times New Roman" w:hAnsi="Times New Roman" w:eastAsia="楷体"/>
          <w:b/>
          <w:bCs/>
          <w:sz w:val="32"/>
          <w:szCs w:val="32"/>
          <w:shd w:val="clear" w:color="060000" w:fill="FFFFFF"/>
        </w:rPr>
        <w:t>（一）单位自评情况</w:t>
      </w:r>
    </w:p>
    <w:p>
      <w:pPr>
        <w:pStyle w:val="12"/>
        <w:autoSpaceDE w:val="0"/>
        <w:spacing w:before="0" w:beforeAutospacing="0" w:line="600" w:lineRule="exact"/>
        <w:ind w:firstLine="640" w:firstLineChars="200"/>
        <w:rPr>
          <w:rFonts w:ascii="Times New Roman" w:hAnsi="Times New Roman" w:eastAsia="方正仿宋_GBK"/>
          <w:sz w:val="32"/>
          <w:szCs w:val="32"/>
          <w:highlight w:val="yellow"/>
          <w:shd w:val="clear" w:color="auto" w:fill="FFFFFF"/>
          <w:lang w:bidi="ar"/>
        </w:rPr>
      </w:pPr>
      <w:r>
        <w:rPr>
          <w:rFonts w:ascii="Times New Roman" w:hAnsi="Times New Roman" w:eastAsia="方正仿宋_GBK"/>
          <w:sz w:val="32"/>
          <w:szCs w:val="32"/>
          <w:shd w:val="clear" w:color="auto" w:fill="FFFFFF"/>
          <w:lang w:bidi="ar"/>
        </w:rPr>
        <w:t>根据预算绩效管理要求，我单位涉及项目支出资金</w:t>
      </w:r>
      <w:r>
        <w:rPr>
          <w:rFonts w:hint="eastAsia" w:ascii="Times New Roman" w:hAnsi="Times New Roman" w:eastAsia="方正仿宋_GBK"/>
          <w:sz w:val="32"/>
          <w:szCs w:val="32"/>
          <w:shd w:val="clear" w:color="auto" w:fill="FFFFFF"/>
          <w:lang w:bidi="ar"/>
        </w:rPr>
        <w:t>0</w:t>
      </w:r>
      <w:r>
        <w:rPr>
          <w:rFonts w:ascii="Times New Roman" w:hAnsi="Times New Roman" w:eastAsia="方正仿宋_GBK"/>
          <w:sz w:val="32"/>
          <w:szCs w:val="32"/>
          <w:shd w:val="clear" w:color="auto" w:fill="FFFFFF"/>
          <w:lang w:bidi="ar"/>
        </w:rPr>
        <w:t>万元</w:t>
      </w:r>
      <w:r>
        <w:rPr>
          <w:rFonts w:hint="eastAsia" w:ascii="Times New Roman" w:hAnsi="Times New Roman" w:eastAsia="方正仿宋_GBK"/>
          <w:sz w:val="32"/>
          <w:szCs w:val="32"/>
          <w:shd w:val="clear" w:color="auto" w:fill="FFFFFF"/>
          <w:lang w:bidi="ar"/>
        </w:rPr>
        <w:t>。</w:t>
      </w:r>
    </w:p>
    <w:p>
      <w:pPr>
        <w:pStyle w:val="12"/>
        <w:autoSpaceDE w:val="0"/>
        <w:spacing w:before="0" w:beforeAutospacing="0" w:after="0" w:afterAutospacing="0" w:line="594" w:lineRule="exact"/>
        <w:ind w:firstLine="643" w:firstLineChars="200"/>
        <w:rPr>
          <w:rFonts w:ascii="Times New Roman" w:hAnsi="Times New Roman" w:eastAsia="楷体"/>
          <w:b/>
          <w:bCs/>
          <w:sz w:val="32"/>
          <w:szCs w:val="32"/>
          <w:shd w:val="clear" w:color="060000" w:fill="FFFFFF"/>
        </w:rPr>
      </w:pPr>
      <w:r>
        <w:rPr>
          <w:rFonts w:ascii="Times New Roman" w:hAnsi="Times New Roman" w:eastAsia="楷体"/>
          <w:b/>
          <w:bCs/>
          <w:sz w:val="32"/>
          <w:szCs w:val="32"/>
          <w:shd w:val="clear" w:color="060000" w:fill="FFFFFF"/>
        </w:rPr>
        <w:t>（二）部门绩效评价情况</w:t>
      </w:r>
    </w:p>
    <w:p>
      <w:pPr>
        <w:pStyle w:val="11"/>
        <w:autoSpaceDE w:val="0"/>
        <w:ind w:firstLine="640"/>
        <w:rPr>
          <w:rFonts w:ascii="Times New Roman" w:hAnsi="Times New Roman" w:eastAsia="方正仿宋_GBK"/>
          <w:sz w:val="32"/>
          <w:szCs w:val="32"/>
          <w:shd w:val="clear" w:color="auto" w:fill="FFFFFF"/>
          <w:lang w:bidi="ar"/>
        </w:rPr>
      </w:pPr>
      <w:r>
        <w:rPr>
          <w:rFonts w:ascii="Times New Roman" w:hAnsi="Times New Roman" w:eastAsia="方正仿宋_GBK"/>
          <w:sz w:val="32"/>
          <w:szCs w:val="32"/>
          <w:shd w:val="clear" w:color="auto" w:fill="FFFFFF"/>
          <w:lang w:bidi="ar"/>
        </w:rPr>
        <w:t>我单位未组织开展绩效评价。</w:t>
      </w:r>
    </w:p>
    <w:p>
      <w:pPr>
        <w:pStyle w:val="14"/>
        <w:autoSpaceDE w:val="0"/>
        <w:spacing w:line="594" w:lineRule="exact"/>
        <w:ind w:firstLine="643"/>
        <w:rPr>
          <w:rFonts w:hint="default" w:ascii="Times New Roman" w:hAnsi="Times New Roman" w:eastAsia="方正仿宋_GBK" w:cs="Times New Roman"/>
          <w:sz w:val="32"/>
          <w:szCs w:val="32"/>
          <w:shd w:val="clear" w:color="060000" w:fill="FFFFFF"/>
        </w:rPr>
      </w:pPr>
      <w:r>
        <w:rPr>
          <w:rFonts w:hint="default" w:ascii="Times New Roman" w:hAnsi="Times New Roman" w:eastAsia="楷体" w:cs="Times New Roman"/>
          <w:b/>
          <w:bCs/>
          <w:sz w:val="32"/>
          <w:szCs w:val="32"/>
          <w:shd w:val="clear" w:color="060000" w:fill="FFFFFF"/>
        </w:rPr>
        <w:t>（三）财政绩效评价情况</w:t>
      </w:r>
    </w:p>
    <w:p>
      <w:pPr>
        <w:pStyle w:val="11"/>
        <w:autoSpaceDE w:val="0"/>
        <w:ind w:firstLine="640"/>
        <w:rPr>
          <w:rFonts w:ascii="Times New Roman" w:hAnsi="Times New Roman" w:eastAsia="方正仿宋_GBK"/>
          <w:sz w:val="32"/>
          <w:szCs w:val="32"/>
          <w:shd w:val="clear" w:color="auto" w:fill="FFFFFF"/>
          <w:lang w:bidi="ar"/>
        </w:rPr>
      </w:pPr>
      <w:r>
        <w:rPr>
          <w:rFonts w:hint="eastAsia" w:ascii="Times New Roman" w:hAnsi="Times New Roman" w:eastAsia="方正仿宋_GBK"/>
          <w:sz w:val="32"/>
          <w:szCs w:val="32"/>
          <w:shd w:val="clear" w:color="auto" w:fill="FFFFFF"/>
          <w:lang w:bidi="ar"/>
        </w:rPr>
        <w:t>县</w:t>
      </w:r>
      <w:r>
        <w:rPr>
          <w:rFonts w:ascii="Times New Roman" w:hAnsi="Times New Roman" w:eastAsia="方正仿宋_GBK"/>
          <w:sz w:val="32"/>
          <w:szCs w:val="32"/>
          <w:shd w:val="clear" w:color="auto" w:fill="FFFFFF"/>
          <w:lang w:bidi="ar"/>
        </w:rPr>
        <w:t>财政局未委托第三方对我单位开展绩效评价。</w:t>
      </w:r>
    </w:p>
    <w:p>
      <w:pPr>
        <w:pStyle w:val="12"/>
        <w:autoSpaceDE w:val="0"/>
        <w:spacing w:before="0" w:beforeAutospacing="0" w:after="0" w:afterAutospacing="0" w:line="594" w:lineRule="exact"/>
        <w:rPr>
          <w:rFonts w:ascii="Times New Roman" w:hAnsi="Times New Roman" w:eastAsia="方正仿宋_GBK"/>
          <w:sz w:val="32"/>
          <w:szCs w:val="32"/>
        </w:rPr>
      </w:pPr>
      <w:r>
        <w:rPr>
          <w:rStyle w:val="15"/>
          <w:rFonts w:ascii="Times New Roman" w:hAnsi="Times New Roman" w:eastAsia="方正仿宋_GBK" w:cs="Times New Roman"/>
          <w:sz w:val="32"/>
          <w:szCs w:val="32"/>
          <w:shd w:val="clear" w:color="060000" w:fill="FFFFFF"/>
        </w:rPr>
        <w:t xml:space="preserve">   </w:t>
      </w:r>
      <w:r>
        <w:rPr>
          <w:rStyle w:val="10"/>
          <w:rFonts w:ascii="Times New Roman" w:hAnsi="Times New Roman" w:eastAsia="黑体"/>
          <w:sz w:val="32"/>
          <w:szCs w:val="32"/>
          <w:shd w:val="clear" w:color="auto" w:fill="FFFFFF"/>
        </w:rPr>
        <w:t xml:space="preserve"> 六、专业名词解释</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（一）财政拨款收入：</w:t>
      </w:r>
      <w:r>
        <w:rPr>
          <w:rFonts w:ascii="Times New Roman" w:hAnsi="Times New Roman" w:eastAsia="方正仿宋_GBK"/>
          <w:sz w:val="32"/>
          <w:szCs w:val="32"/>
          <w:shd w:val="clear" w:color="040000" w:fill="FFFFFF"/>
        </w:rPr>
        <w:t>指本年度从本级财政部门取得的财政拨款，包括一般公共预算财政拨款和政府性基金预算财政拨款。</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（二）事业收入：</w:t>
      </w:r>
      <w:r>
        <w:rPr>
          <w:rFonts w:ascii="Times New Roman" w:hAnsi="Times New Roman" w:eastAsia="方正仿宋_GBK"/>
          <w:sz w:val="32"/>
          <w:szCs w:val="32"/>
          <w:shd w:val="clear" w:color="040000"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（三）经营收入：</w:t>
      </w:r>
      <w:r>
        <w:rPr>
          <w:rFonts w:ascii="Times New Roman" w:hAnsi="Times New Roman" w:eastAsia="方正仿宋_GBK"/>
          <w:sz w:val="32"/>
          <w:szCs w:val="32"/>
          <w:shd w:val="clear" w:color="040000" w:fill="FFFFFF"/>
        </w:rPr>
        <w:t>指事业单位在专业业务活动及其辅助活动之外开展非独立核算经营活动取得的现金流入。</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（四）其他收入：</w:t>
      </w:r>
      <w:r>
        <w:rPr>
          <w:rFonts w:ascii="Times New Roman" w:hAnsi="Times New Roman" w:eastAsia="方正仿宋_GBK"/>
          <w:sz w:val="32"/>
          <w:szCs w:val="32"/>
          <w:shd w:val="clear" w:color="040000"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（五）使用非财政拨款结余：</w:t>
      </w:r>
      <w:r>
        <w:rPr>
          <w:rFonts w:ascii="Times New Roman" w:hAnsi="Times New Roman" w:eastAsia="方正仿宋_GBK"/>
          <w:sz w:val="32"/>
          <w:szCs w:val="32"/>
          <w:shd w:val="clear" w:color="040000"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（六）年初结转和结余：</w:t>
      </w:r>
      <w:r>
        <w:rPr>
          <w:rFonts w:ascii="Times New Roman" w:hAnsi="Times New Roman" w:eastAsia="方正仿宋_GBK"/>
          <w:sz w:val="32"/>
          <w:szCs w:val="32"/>
          <w:shd w:val="clear" w:color="040000" w:fill="FFFFFF"/>
        </w:rPr>
        <w:t>指单位上年结转本年使用的基本支出结转、项目支出结转和结余、经营结余。</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（七）结余分配：</w:t>
      </w:r>
      <w:r>
        <w:rPr>
          <w:rFonts w:ascii="Times New Roman" w:hAnsi="Times New Roman" w:eastAsia="方正仿宋_GBK"/>
          <w:sz w:val="32"/>
          <w:szCs w:val="32"/>
          <w:shd w:val="clear" w:color="040000" w:fill="FFFFFF"/>
        </w:rPr>
        <w:t>指单位按照国家有关规定，缴纳所得税、提取专用基金、转入非财政拨款结余等当年结余的分配情况。</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（八）年末结转和结余：</w:t>
      </w:r>
      <w:r>
        <w:rPr>
          <w:rFonts w:ascii="Times New Roman" w:hAnsi="Times New Roman" w:eastAsia="方正仿宋_GBK"/>
          <w:sz w:val="32"/>
          <w:szCs w:val="32"/>
          <w:shd w:val="clear" w:color="040000" w:fill="FFFFFF"/>
        </w:rPr>
        <w:t>指单位结转下年的基本支出结转、项目支出结转和结余、经营结余。</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（九）基本支出：</w:t>
      </w:r>
      <w:r>
        <w:rPr>
          <w:rFonts w:ascii="Times New Roman" w:hAnsi="Times New Roman" w:eastAsia="方正仿宋_GBK"/>
          <w:sz w:val="32"/>
          <w:szCs w:val="32"/>
          <w:shd w:val="clear" w:color="040000"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（十）项目支出：</w:t>
      </w:r>
      <w:r>
        <w:rPr>
          <w:rFonts w:ascii="Times New Roman" w:hAnsi="Times New Roman" w:eastAsia="方正仿宋_GBK"/>
          <w:sz w:val="32"/>
          <w:szCs w:val="32"/>
          <w:shd w:val="clear" w:color="040000" w:fill="FFFFFF"/>
        </w:rPr>
        <w:t>指在基本支出之外为完成特定行政任务和事业发展目标所发生的支出。</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（十一）经营支出：</w:t>
      </w:r>
      <w:r>
        <w:rPr>
          <w:rFonts w:ascii="Times New Roman" w:hAnsi="Times New Roman" w:eastAsia="方正仿宋_GBK"/>
          <w:sz w:val="32"/>
          <w:szCs w:val="32"/>
          <w:shd w:val="clear" w:color="040000" w:fill="FFFFFF"/>
        </w:rPr>
        <w:t>指事业单位在专业业务活动及其辅助活动之外开展非独立核算经营活动发生的支出。</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（十二）</w:t>
      </w:r>
      <w:r>
        <w:rPr>
          <w:rStyle w:val="10"/>
          <w:rFonts w:hint="eastAsia" w:ascii="Times New Roman" w:hAnsi="Times New Roman" w:eastAsia="楷体"/>
          <w:sz w:val="32"/>
          <w:szCs w:val="32"/>
          <w:shd w:val="clear" w:color="auto" w:fill="FFFFFF"/>
          <w:lang w:eastAsia="zh-CN"/>
        </w:rPr>
        <w:t>三公</w:t>
      </w:r>
      <w:r>
        <w:rPr>
          <w:rStyle w:val="10"/>
          <w:rFonts w:ascii="Times New Roman" w:hAnsi="Times New Roman" w:eastAsia="楷体"/>
          <w:sz w:val="32"/>
          <w:szCs w:val="32"/>
          <w:shd w:val="clear" w:color="auto" w:fill="FFFFFF"/>
        </w:rPr>
        <w:t>经费：</w:t>
      </w:r>
      <w:r>
        <w:rPr>
          <w:rFonts w:ascii="Times New Roman" w:hAnsi="Times New Roman" w:eastAsia="方正仿宋_GBK"/>
          <w:sz w:val="32"/>
          <w:szCs w:val="32"/>
          <w:shd w:val="clear" w:color="040000"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（十三）机关运行经费：</w:t>
      </w:r>
      <w:r>
        <w:rPr>
          <w:rFonts w:ascii="Times New Roman" w:hAnsi="Times New Roman" w:eastAsia="方正仿宋_GBK"/>
          <w:sz w:val="32"/>
          <w:szCs w:val="32"/>
          <w:shd w:val="clear" w:color="040000"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（十四）工资福利支出（支出经济分类科目类级）：</w:t>
      </w:r>
      <w:r>
        <w:rPr>
          <w:rFonts w:ascii="Times New Roman" w:hAnsi="Times New Roman" w:eastAsia="方正仿宋_GBK"/>
          <w:sz w:val="32"/>
          <w:szCs w:val="32"/>
          <w:shd w:val="clear" w:color="040000" w:fill="FFFFFF"/>
        </w:rPr>
        <w:t>反映单位开支的在职职工和编制外长期聘用人员的各类劳动报酬，以及为上述人员缴纳的各项社会保险费等。</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（十五）商品和服务支出（支出经济分类科目类级）：</w:t>
      </w:r>
      <w:r>
        <w:rPr>
          <w:rFonts w:ascii="Times New Roman" w:hAnsi="Times New Roman" w:eastAsia="方正仿宋_GBK"/>
          <w:sz w:val="32"/>
          <w:szCs w:val="32"/>
          <w:shd w:val="clear" w:color="040000" w:fill="FFFFFF"/>
        </w:rPr>
        <w:t>反映单位购买商品和服务的支出（不包括用于购置固定资产的支出、战略性和应急储备支出）。</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（十六）对个人和家庭的补助（支出经济分类科目类级）：</w:t>
      </w:r>
      <w:r>
        <w:rPr>
          <w:rFonts w:ascii="Times New Roman" w:hAnsi="Times New Roman" w:eastAsia="方正仿宋_GBK"/>
          <w:sz w:val="32"/>
          <w:szCs w:val="32"/>
          <w:shd w:val="clear" w:color="040000" w:fill="FFFFFF"/>
        </w:rPr>
        <w:t>反映用于对个人和家庭的补助支出。</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（十七）其他资本性支出（支出经济分类科目类级）：</w:t>
      </w:r>
      <w:r>
        <w:rPr>
          <w:rFonts w:ascii="Times New Roman" w:hAnsi="Times New Roman" w:eastAsia="方正仿宋_GBK"/>
          <w:sz w:val="32"/>
          <w:szCs w:val="32"/>
          <w:shd w:val="clear" w:color="040000"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4" w:lineRule="exact"/>
        <w:ind w:firstLine="643" w:firstLineChars="200"/>
        <w:rPr>
          <w:rFonts w:ascii="Times New Roman" w:hAnsi="Times New Roman" w:eastAsia="方正仿宋_GBK"/>
          <w:sz w:val="32"/>
          <w:szCs w:val="32"/>
        </w:rPr>
      </w:pPr>
      <w:r>
        <w:rPr>
          <w:rStyle w:val="10"/>
          <w:rFonts w:ascii="Times New Roman" w:hAnsi="Times New Roman" w:eastAsia="黑体"/>
          <w:sz w:val="32"/>
          <w:szCs w:val="32"/>
          <w:shd w:val="clear" w:color="auto" w:fill="FFFFFF"/>
        </w:rPr>
        <w:t>七、决算公开联系方式及信息反馈渠道</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040000" w:fill="FFFFFF"/>
        </w:rPr>
        <w:t>本单位决算公开信息反馈和联系方式：</w:t>
      </w:r>
    </w:p>
    <w:p>
      <w:pPr>
        <w:pStyle w:val="12"/>
        <w:spacing w:before="0" w:beforeAutospacing="0" w:after="0" w:afterAutospacing="0" w:line="594" w:lineRule="exact"/>
        <w:ind w:firstLine="640" w:firstLineChars="200"/>
        <w:rPr>
          <w:rFonts w:ascii="Times New Roman" w:hAnsi="Times New Roman" w:eastAsia="方正仿宋_GBK"/>
          <w:sz w:val="32"/>
          <w:szCs w:val="32"/>
          <w:shd w:val="clear" w:color="050000" w:fill="FFFFFF"/>
        </w:rPr>
      </w:pPr>
      <w:r>
        <w:rPr>
          <w:rFonts w:hint="eastAsia" w:ascii="Times New Roman" w:hAnsi="Times New Roman" w:eastAsia="方正仿宋_GBK"/>
          <w:sz w:val="32"/>
          <w:szCs w:val="32"/>
          <w:shd w:val="clear" w:color="050000" w:fill="FFFFFF"/>
        </w:rPr>
        <w:t>王老师</w:t>
      </w:r>
      <w:r>
        <w:rPr>
          <w:rFonts w:ascii="Times New Roman" w:hAnsi="Times New Roman" w:eastAsia="方正仿宋_GBK"/>
          <w:sz w:val="32"/>
          <w:szCs w:val="32"/>
          <w:shd w:val="clear" w:color="050000" w:fill="FFFFFF"/>
        </w:rPr>
        <w:t xml:space="preserve">   023</w:t>
      </w:r>
      <w:r>
        <w:rPr>
          <w:rFonts w:hint="eastAsia" w:ascii="Times New Roman" w:hAnsi="Times New Roman" w:eastAsia="方正仿宋_GBK"/>
          <w:sz w:val="32"/>
          <w:szCs w:val="32"/>
          <w:shd w:val="clear" w:color="050000" w:fill="FFFFFF"/>
          <w:lang w:eastAsia="zh-CN"/>
        </w:rPr>
        <w:t>—</w:t>
      </w:r>
      <w:r>
        <w:rPr>
          <w:rFonts w:hint="eastAsia" w:ascii="Times New Roman" w:hAnsi="Times New Roman" w:eastAsia="方正仿宋_GBK"/>
          <w:sz w:val="32"/>
          <w:szCs w:val="32"/>
          <w:shd w:val="clear" w:color="050000" w:fill="FFFFFF"/>
        </w:rPr>
        <w:t>74511603</w:t>
      </w:r>
    </w:p>
    <w:p>
      <w:pPr>
        <w:pStyle w:val="12"/>
        <w:spacing w:before="0" w:beforeAutospacing="0" w:after="0" w:afterAutospacing="0" w:line="594" w:lineRule="exact"/>
        <w:ind w:firstLine="640" w:firstLineChars="200"/>
        <w:rPr>
          <w:rFonts w:ascii="Times New Roman" w:hAnsi="Times New Roman" w:eastAsia="方正仿宋_GBK"/>
          <w:sz w:val="32"/>
          <w:szCs w:val="32"/>
          <w:shd w:val="clear" w:color="050000" w:fill="FFFFFF"/>
        </w:rPr>
      </w:pPr>
    </w:p>
    <w:p>
      <w:pPr>
        <w:pStyle w:val="12"/>
        <w:spacing w:before="0" w:beforeAutospacing="0" w:after="0" w:afterAutospacing="0" w:line="594" w:lineRule="exact"/>
        <w:ind w:firstLine="640" w:firstLineChars="200"/>
        <w:rPr>
          <w:rFonts w:ascii="Times New Roman" w:hAnsi="Times New Roman" w:eastAsia="方正仿宋_GBK"/>
          <w:sz w:val="32"/>
          <w:szCs w:val="32"/>
          <w:shd w:val="clear" w:color="050000" w:fill="FFFFFF"/>
        </w:rPr>
      </w:pPr>
    </w:p>
    <w:p>
      <w:pPr>
        <w:pStyle w:val="12"/>
        <w:spacing w:before="0" w:beforeAutospacing="0" w:after="0" w:afterAutospacing="0" w:line="594" w:lineRule="exact"/>
        <w:ind w:firstLine="640" w:firstLineChars="200"/>
        <w:rPr>
          <w:rFonts w:ascii="Times New Roman" w:hAnsi="Times New Roman" w:eastAsia="方正仿宋_GBK"/>
          <w:sz w:val="32"/>
          <w:szCs w:val="32"/>
          <w:shd w:val="clear" w:color="050000" w:fill="FFFFFF"/>
        </w:rPr>
      </w:pPr>
      <w:r>
        <w:rPr>
          <w:rFonts w:hint="eastAsia" w:ascii="Times New Roman" w:hAnsi="Times New Roman" w:eastAsia="方正仿宋_GBK"/>
          <w:sz w:val="32"/>
          <w:szCs w:val="32"/>
          <w:shd w:val="clear" w:color="050000" w:fill="FFFFFF"/>
        </w:rPr>
        <w:t xml:space="preserve">     </w:t>
      </w:r>
    </w:p>
    <w:p>
      <w:pPr>
        <w:pStyle w:val="11"/>
        <w:autoSpaceDE w:val="0"/>
        <w:spacing w:line="594" w:lineRule="exact"/>
        <w:ind w:firstLine="643"/>
        <w:jc w:val="both"/>
        <w:rPr>
          <w:rStyle w:val="10"/>
          <w:rFonts w:ascii="Times New Roman" w:hAnsi="Times New Roman" w:eastAsia="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3558" w:type="dxa"/>
            <w:tcBorders>
              <w:top w:val="nil"/>
              <w:left w:val="nil"/>
              <w:bottom w:val="nil"/>
              <w:right w:val="nil"/>
            </w:tcBorders>
            <w:tcMar>
              <w:top w:w="15" w:type="dxa"/>
              <w:left w:w="15" w:type="dxa"/>
              <w:right w:w="15" w:type="dxa"/>
            </w:tcMar>
            <w:vAlign w:val="bottom"/>
          </w:tcPr>
          <w:p>
            <w:pPr>
              <w:spacing w:line="200" w:lineRule="exact"/>
              <w:jc w:val="right"/>
              <w:rPr>
                <w:rFonts w:hint="default" w:ascii="Times New Roman" w:hAnsi="Times New Roman"/>
                <w:color w:val="000000"/>
                <w:sz w:val="20"/>
                <w:szCs w:val="20"/>
              </w:rPr>
            </w:pPr>
          </w:p>
        </w:tc>
        <w:tc>
          <w:tcPr>
            <w:tcW w:w="404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tcMar>
              <w:top w:w="15" w:type="dxa"/>
              <w:left w:w="15" w:type="dxa"/>
              <w:right w:w="15" w:type="dxa"/>
            </w:tcMar>
            <w:vAlign w:val="bottom"/>
          </w:tcPr>
          <w:p>
            <w:pPr>
              <w:spacing w:line="280" w:lineRule="exact"/>
              <w:rPr>
                <w:rFonts w:hint="default" w:ascii="Times New Roman" w:hAnsi="Times New Roman"/>
                <w:color w:val="000000"/>
                <w:sz w:val="22"/>
                <w:szCs w:val="22"/>
              </w:rPr>
            </w:pPr>
            <w:r>
              <w:rPr>
                <w:rFonts w:hint="default" w:ascii="Times New Roman" w:hAnsi="Times New Roman"/>
                <w:sz w:val="20"/>
                <w:szCs w:val="20"/>
              </w:rPr>
              <w:t>单位：</w:t>
            </w:r>
            <w:r>
              <w:rPr>
                <w:rFonts w:hint="default" w:ascii="Times New Roman" w:hAnsi="Times New Roman"/>
                <w:sz w:val="20"/>
              </w:rPr>
              <w:t>垫江县社会治安综合治理中心</w:t>
            </w:r>
          </w:p>
        </w:tc>
        <w:tc>
          <w:tcPr>
            <w:tcW w:w="404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97.24</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64.36</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二、外交支出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四、上级补助收入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四、公共安全支出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五、事业收入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五、教育支出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六、经营收入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六、科学技术支出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八、其他收入</w:t>
            </w:r>
          </w:p>
        </w:tc>
        <w:tc>
          <w:tcPr>
            <w:tcW w:w="3558"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23.18</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九、卫生健康支出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十、节能环保支出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十二、农林水支出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十六、金融支出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二十三、其他支出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本年收入合计</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97.24</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本年支出合计</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97.24</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结余分配</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年初结转和结余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年末结转和结余</w:t>
            </w:r>
          </w:p>
        </w:tc>
        <w:tc>
          <w:tcPr>
            <w:tcW w:w="2841"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97.24</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97.24</w:t>
            </w:r>
            <w:r>
              <w:rPr>
                <w:rFonts w:hint="default" w:ascii="Times New Roman" w:hAnsi="Times New Roman"/>
                <w:color w:val="000000"/>
                <w:sz w:val="20"/>
              </w:rPr>
              <w:t xml:space="preserve"> </w:t>
            </w:r>
          </w:p>
        </w:tc>
      </w:tr>
    </w:tbl>
    <w:p>
      <w:pPr>
        <w:rPr>
          <w:rFonts w:hint="default" w:ascii="Times New Roman" w:hAnsi="Times New Roman"/>
          <w:sz w:val="21"/>
          <w:szCs w:val="21"/>
        </w:rPr>
      </w:pPr>
    </w:p>
    <w:p>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sz w:val="20"/>
              </w:rPr>
              <w:t>垫江县社会治安综合治理中心</w:t>
            </w:r>
          </w:p>
        </w:tc>
        <w:tc>
          <w:tcPr>
            <w:tcW w:w="145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256"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438"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459"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296"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350"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32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45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256"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438"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459"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296"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350"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32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2919"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291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291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291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58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97.24</w:t>
            </w:r>
            <w:r>
              <w:rPr>
                <w:rFonts w:hint="default"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97.24</w:t>
            </w:r>
            <w:r>
              <w:rPr>
                <w:rFonts w:hint="default"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64.36</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64.36</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20129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群众团体事务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64.36</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64.36</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2012950</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64.36</w:t>
            </w:r>
            <w:r>
              <w:rPr>
                <w:rFonts w:hint="default"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64.36</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23.18</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23.18</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23.18</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23.18</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15.43</w:t>
            </w:r>
            <w:r>
              <w:rPr>
                <w:rFonts w:hint="default"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15.43</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hint="default"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hint="default"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w:t>
            </w:r>
            <w:r>
              <w:rPr>
                <w:rFonts w:hint="default"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ind w:left="600" w:hanging="600" w:hangingChars="300"/>
        <w:rPr>
          <w:rFonts w:hint="default" w:ascii="Times New Roman" w:hAnsi="Times New Roman"/>
          <w:sz w:val="20"/>
          <w:szCs w:val="20"/>
        </w:rPr>
      </w:pPr>
      <w:r>
        <w:rPr>
          <w:rFonts w:hint="default" w:ascii="Times New Roman" w:hAnsi="Times New Roman"/>
          <w:sz w:val="20"/>
          <w:szCs w:val="20"/>
        </w:rPr>
        <w:t>备注：1.本表反映单位本年度取得的各项收入情况。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0"/>
          <w:szCs w:val="20"/>
        </w:rPr>
      </w:pPr>
      <w:r>
        <w:rPr>
          <w:rFonts w:hint="default" w:ascii="Times New Roman" w:hAnsi="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 xml:space="preserve">垫江县社会治安综合治理中心 </w:t>
            </w:r>
          </w:p>
        </w:tc>
        <w:tc>
          <w:tcPr>
            <w:tcW w:w="1765"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624"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557"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692"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94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624"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557"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692"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94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602"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60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60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60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8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97.24</w:t>
            </w:r>
            <w:r>
              <w:rPr>
                <w:rFonts w:hint="default"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97.24</w:t>
            </w:r>
            <w:r>
              <w:rPr>
                <w:rFonts w:hint="default"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64.36</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64.36</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20129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群众团体事务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64.36</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64.36</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2012950</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64.36</w:t>
            </w:r>
            <w:r>
              <w:rPr>
                <w:rFonts w:hint="default"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64.36</w:t>
            </w:r>
            <w:r>
              <w:rPr>
                <w:rFonts w:hint="default"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23.18</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23.18</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23.18</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23.18</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15.43</w:t>
            </w:r>
            <w:r>
              <w:rPr>
                <w:rFonts w:hint="default"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15.43</w:t>
            </w:r>
            <w:r>
              <w:rPr>
                <w:rFonts w:hint="default"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hint="default"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hint="default"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hint="default"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hint="default"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w:t>
            </w:r>
            <w:r>
              <w:rPr>
                <w:rFonts w:hint="default"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w:t>
            </w:r>
            <w:r>
              <w:rPr>
                <w:rFonts w:hint="default"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sz w:val="20"/>
          <w:szCs w:val="20"/>
        </w:rPr>
      </w:pPr>
      <w:r>
        <w:rPr>
          <w:rFonts w:hint="default" w:ascii="Times New Roman" w:hAnsi="Times New Roman"/>
          <w:sz w:val="20"/>
          <w:szCs w:val="20"/>
        </w:rPr>
        <w:t>备注：1.本表反映单位本年度各项支出情况。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p>
      <w:pPr>
        <w:rPr>
          <w:rFonts w:hint="default" w:ascii="Times New Roman" w:hAnsi="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tcMar>
              <w:top w:w="15" w:type="dxa"/>
              <w:left w:w="15" w:type="dxa"/>
              <w:right w:w="15" w:type="dxa"/>
            </w:tcMar>
            <w:vAlign w:val="bottom"/>
          </w:tcPr>
          <w:p>
            <w:pPr>
              <w:spacing w:line="280"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垫江县社会治安综合治理中心</w:t>
            </w: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317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97.24</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64.36</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64.36</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23.18</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23.18</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97.24</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97.24</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97.24</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97.24</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97.24</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97.24</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bl>
    <w:p>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垫江县社会治安综合治理中心</w:t>
            </w:r>
          </w:p>
        </w:tc>
        <w:tc>
          <w:tcPr>
            <w:tcW w:w="3297"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3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297"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3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29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34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34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34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97.24</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97.24</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64.36</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64.36</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20129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群众团体事务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64.36</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64.36</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2012950</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64.36</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64.36</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23.18</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23.18</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23.18</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23.18</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15.43</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15.43</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6.38</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6.38</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备注：1.本表反映单位本年度一般公共预算财政拨款支出情况。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tcMar>
              <w:top w:w="15" w:type="dxa"/>
              <w:left w:w="15" w:type="dxa"/>
              <w:right w:w="15" w:type="dxa"/>
            </w:tcMar>
            <w:vAlign w:val="bottom"/>
          </w:tcPr>
          <w:p>
            <w:pPr>
              <w:spacing w:line="280"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垫江县社会治安综合治理中心</w:t>
            </w:r>
          </w:p>
        </w:tc>
        <w:tc>
          <w:tcPr>
            <w:tcW w:w="1418"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73"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463"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49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418"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73"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463"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49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280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154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2032"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1418"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1492"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91.59</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5.65</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17.15</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39.51</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15.43</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7.75</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91.59</w:t>
            </w:r>
            <w:r>
              <w:rPr>
                <w:rFonts w:hint="default"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1492" w:type="dxa"/>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5.65</w:t>
            </w:r>
            <w:r>
              <w:rPr>
                <w:rFonts w:hint="default" w:ascii="Times New Roman" w:hAnsi="Times New Roman"/>
                <w:color w:val="000000"/>
                <w:sz w:val="18"/>
              </w:rPr>
              <w:t xml:space="preserve"> </w:t>
            </w:r>
          </w:p>
        </w:tc>
      </w:tr>
    </w:tbl>
    <w:p>
      <w:pPr>
        <w:spacing w:line="28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垫江县社会治安综合治理中心</w:t>
            </w: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83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83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垫江县社会治安综合治理中心</w:t>
            </w:r>
          </w:p>
        </w:tc>
        <w:tc>
          <w:tcPr>
            <w:tcW w:w="3739" w:type="dxa"/>
            <w:gridSpan w:val="3"/>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40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40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p>
        </w:tc>
        <w:tc>
          <w:tcPr>
            <w:tcW w:w="36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ascii="Times New Roman" w:hAnsi="Times New Roman"/>
          <w:sz w:val="21"/>
          <w:szCs w:val="21"/>
        </w:rPr>
      </w:pPr>
      <w:r>
        <w:rPr>
          <w:rFonts w:hint="default" w:ascii="Times New Roman" w:hAnsi="Times New Roman"/>
          <w:sz w:val="20"/>
          <w:szCs w:val="20"/>
        </w:rPr>
        <w:t>备注：本表反映单位本年度国有资本经营预算财政拨款支出情况。本单位无国有资本经营收支，故本表无数据。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tcMar>
              <w:top w:w="15" w:type="dxa"/>
              <w:left w:w="15" w:type="dxa"/>
              <w:right w:w="15" w:type="dxa"/>
            </w:tcMar>
            <w:vAlign w:val="bottom"/>
          </w:tcPr>
          <w:p>
            <w:pPr>
              <w:spacing w:line="400" w:lineRule="exact"/>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16" w:type="dxa"/>
            <w:tcMar>
              <w:top w:w="15" w:type="dxa"/>
              <w:left w:w="15" w:type="dxa"/>
              <w:right w:w="15" w:type="dxa"/>
            </w:tcMar>
            <w:vAlign w:val="bottom"/>
          </w:tcPr>
          <w:p>
            <w:pPr>
              <w:spacing w:line="280" w:lineRule="exact"/>
              <w:jc w:val="center"/>
              <w:rPr>
                <w:rFonts w:hint="default" w:ascii="Times New Roman" w:hAnsi="Times New Roman"/>
                <w:color w:val="000000"/>
                <w:kern w:val="2"/>
                <w:sz w:val="20"/>
                <w:szCs w:val="20"/>
              </w:rPr>
            </w:pPr>
          </w:p>
        </w:tc>
        <w:tc>
          <w:tcPr>
            <w:tcW w:w="2375" w:type="dxa"/>
            <w:tcMar>
              <w:top w:w="15" w:type="dxa"/>
              <w:left w:w="15" w:type="dxa"/>
              <w:right w:w="15" w:type="dxa"/>
            </w:tcMar>
            <w:vAlign w:val="bottom"/>
          </w:tcPr>
          <w:p>
            <w:pPr>
              <w:spacing w:line="280" w:lineRule="exact"/>
              <w:jc w:val="right"/>
              <w:rPr>
                <w:rFonts w:hint="default" w:ascii="Times New Roman" w:hAnsi="Times New Roman"/>
                <w:color w:val="000000"/>
                <w:kern w:val="2"/>
                <w:sz w:val="20"/>
                <w:szCs w:val="20"/>
              </w:rPr>
            </w:pPr>
          </w:p>
        </w:tc>
        <w:tc>
          <w:tcPr>
            <w:tcW w:w="3674" w:type="dxa"/>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87" w:type="dxa"/>
            <w:tcMar>
              <w:top w:w="15" w:type="dxa"/>
              <w:left w:w="15" w:type="dxa"/>
              <w:right w:w="15" w:type="dxa"/>
            </w:tcMar>
            <w:vAlign w:val="bottom"/>
          </w:tcPr>
          <w:p>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ascii="Times New Roman" w:hAnsi="Times New Roman"/>
                <w:color w:val="000000"/>
                <w:kern w:val="2"/>
                <w:sz w:val="20"/>
                <w:szCs w:val="20"/>
              </w:rPr>
            </w:pPr>
            <w:r>
              <w:rPr>
                <w:rFonts w:hint="default" w:ascii="Times New Roman" w:hAnsi="Times New Roman"/>
                <w:kern w:val="2"/>
                <w:sz w:val="20"/>
                <w:szCs w:val="20"/>
              </w:rPr>
              <w:t>单位</w:t>
            </w:r>
            <w:r>
              <w:rPr>
                <w:rFonts w:hint="default" w:ascii="Times New Roman" w:hAnsi="Times New Roman"/>
                <w:color w:val="000000"/>
                <w:kern w:val="2"/>
                <w:sz w:val="20"/>
                <w:szCs w:val="20"/>
              </w:rPr>
              <w:t>：</w:t>
            </w:r>
            <w:r>
              <w:rPr>
                <w:rFonts w:hint="default" w:ascii="Times New Roman" w:hAnsi="Times New Roman"/>
                <w:color w:val="000000"/>
                <w:sz w:val="20"/>
              </w:rPr>
              <w:t>垫江县社会治安综合治理中心</w:t>
            </w:r>
          </w:p>
        </w:tc>
        <w:tc>
          <w:tcPr>
            <w:tcW w:w="2375"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ascii="Times New Roman" w:hAnsi="Times New Roman"/>
                <w:color w:val="000000"/>
                <w:kern w:val="2"/>
                <w:sz w:val="20"/>
                <w:szCs w:val="20"/>
              </w:rPr>
            </w:pPr>
          </w:p>
        </w:tc>
        <w:tc>
          <w:tcPr>
            <w:tcW w:w="3674"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87"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一、</w:t>
            </w:r>
            <w:r>
              <w:rPr>
                <w:rFonts w:hint="eastAsia" w:ascii="Times New Roman" w:hAnsi="Times New Roman"/>
                <w:b/>
                <w:color w:val="000000"/>
                <w:kern w:val="2"/>
                <w:sz w:val="16"/>
                <w:szCs w:val="16"/>
                <w:lang w:eastAsia="zh-CN"/>
              </w:rPr>
              <w:t>三公</w:t>
            </w:r>
            <w:r>
              <w:rPr>
                <w:rFonts w:hint="default" w:ascii="Times New Roman" w:hAnsi="Times New Roman"/>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82</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ascii="Times New Roman" w:hAnsi="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ascii="Times New Roman" w:hAnsi="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ascii="Times New Roman" w:hAnsi="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ascii="Times New Roman" w:hAnsi="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sz w:val="16"/>
                <w:szCs w:val="16"/>
              </w:rPr>
            </w:pPr>
            <w:r>
              <w:rPr>
                <w:rFonts w:hint="default" w:ascii="Times New Roman" w:hAnsi="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2.34</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ascii="Times New Roman" w:hAnsi="Times New Roman"/>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ascii="Times New Roman" w:hAnsi="Times New Roman"/>
                <w:color w:val="000000"/>
                <w:sz w:val="16"/>
                <w:szCs w:val="16"/>
              </w:rPr>
            </w:pPr>
          </w:p>
        </w:tc>
      </w:tr>
    </w:tbl>
    <w:p>
      <w:pPr>
        <w:rPr>
          <w:rFonts w:hint="default" w:ascii="Times New Roman" w:hAnsi="Times New Roman"/>
          <w:sz w:val="18"/>
          <w:szCs w:val="18"/>
        </w:rPr>
      </w:pPr>
      <w:r>
        <w:rPr>
          <w:rFonts w:hint="default" w:ascii="Times New Roman" w:hAnsi="Times New Roman"/>
          <w:sz w:val="18"/>
          <w:szCs w:val="18"/>
        </w:rPr>
        <w:t>备注：1.本表反映单位本年度财政拨款</w:t>
      </w:r>
      <w:r>
        <w:rPr>
          <w:rFonts w:hint="eastAsia" w:ascii="Times New Roman" w:hAnsi="Times New Roman"/>
          <w:sz w:val="18"/>
          <w:szCs w:val="18"/>
          <w:lang w:eastAsia="zh-CN"/>
        </w:rPr>
        <w:t>三公</w:t>
      </w:r>
      <w:r>
        <w:rPr>
          <w:rFonts w:hint="default" w:ascii="Times New Roman" w:hAnsi="Times New Roman"/>
          <w:sz w:val="18"/>
          <w:szCs w:val="18"/>
        </w:rPr>
        <w:t>经费支出预决算情况。其中，预算数为</w:t>
      </w:r>
      <w:r>
        <w:rPr>
          <w:rFonts w:hint="eastAsia" w:ascii="Times New Roman" w:hAnsi="Times New Roman"/>
          <w:sz w:val="18"/>
          <w:szCs w:val="18"/>
          <w:lang w:eastAsia="zh-CN"/>
        </w:rPr>
        <w:t>三公</w:t>
      </w:r>
      <w:r>
        <w:rPr>
          <w:rFonts w:hint="default" w:ascii="Times New Roman" w:hAnsi="Times New Roman"/>
          <w:sz w:val="18"/>
          <w:szCs w:val="18"/>
        </w:rPr>
        <w:t>经费全年预算数，反映按规定程序调整后的预算数；决算数为包括本年度财政拨款和以前年度结转资金安排的实际支出。</w:t>
      </w:r>
      <w:r>
        <w:rPr>
          <w:rFonts w:hint="default" w:ascii="Times New Roman" w:hAnsi="Times New Roman"/>
          <w:sz w:val="18"/>
          <w:szCs w:val="18"/>
        </w:rPr>
        <w:br w:type="textWrapping"/>
      </w:r>
      <w:r>
        <w:rPr>
          <w:rFonts w:hint="default" w:ascii="Times New Roman" w:hAnsi="Times New Roman"/>
          <w:sz w:val="18"/>
          <w:szCs w:val="18"/>
        </w:rPr>
        <w:t xml:space="preserve">      2.本套报表金额单位转换时可能存在尾数误差。</w:t>
      </w:r>
      <w:r>
        <w:rPr>
          <w:rFonts w:hint="default" w:ascii="Times New Roman" w:hAnsi="Times New Roman"/>
          <w:sz w:val="18"/>
          <w:szCs w:val="18"/>
        </w:rPr>
        <w:br w:type="textWrapping"/>
      </w:r>
      <w:r>
        <w:rPr>
          <w:rFonts w:hint="default" w:ascii="Times New Roman" w:hAnsi="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Quad Arrow 2" o:spid="_x0000_s3073"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Quad Arrow 8" o:spid="_x0000_s3074" o:spt="202" type="#_x0000_t202" style="position:absolute;left:0pt;margin-top:0pt;height:144pt;width:144pt;mso-position-horizontal:center;mso-position-horizontal-relative:margin;mso-wrap-style:none;z-index:251661312;mso-width-relative:page;mso-height-relative:page;" filled="f" o:preferrelative="t" stroked="f" coordsize="21600,21600" o:allowoverlap="f">
          <v:path/>
          <v:fill on="f" focussize="0,0"/>
          <v:stroke on="f"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w:r>
    <w:r>
      <w:rPr>
        <w:rFonts w:hint="default"/>
      </w:rPr>
      <w:pict>
        <v:shape id="Quad Arrow 7" o:spid="_x0000_s3075" o:spt="202" type="#_x0000_t202" style="position:absolute;left:0pt;margin-top:1160.4pt;height:17.4pt;width:144pt;mso-position-horizontal:center;mso-position-horizontal-relative:margin;mso-position-vertical-relative:page;mso-wrap-style:none;z-index:251660288;mso-width-relative:page;mso-height-relative:page;" filled="f" o:preferrelative="t" stroked="f" coordsize="21600,21600" o:allowoverlap="f">
          <v:path/>
          <v:fill on="f" focussize="0,0"/>
          <v:stroke on="f"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A9C48"/>
    <w:multiLevelType w:val="singleLevel"/>
    <w:tmpl w:val="37FA9C4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20"/>
  <w:drawingGridVerticalSpacing w:val="163"/>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lkNmIwODI1Y2QwNGQxZDFhYmRhZWMyNWM5ZTJhMjUifQ=="/>
  </w:docVars>
  <w:rsids>
    <w:rsidRoot w:val="00B03CCD"/>
    <w:rsid w:val="000239C6"/>
    <w:rsid w:val="001D3BB7"/>
    <w:rsid w:val="002B254B"/>
    <w:rsid w:val="0034050A"/>
    <w:rsid w:val="0044504F"/>
    <w:rsid w:val="00466C9B"/>
    <w:rsid w:val="00486CFC"/>
    <w:rsid w:val="00491DDD"/>
    <w:rsid w:val="00550ABE"/>
    <w:rsid w:val="005D57F7"/>
    <w:rsid w:val="00623A85"/>
    <w:rsid w:val="00770383"/>
    <w:rsid w:val="007819D4"/>
    <w:rsid w:val="007B419D"/>
    <w:rsid w:val="007B7C4B"/>
    <w:rsid w:val="007D3D39"/>
    <w:rsid w:val="00984C6A"/>
    <w:rsid w:val="00994AF7"/>
    <w:rsid w:val="009B67B8"/>
    <w:rsid w:val="009C14C9"/>
    <w:rsid w:val="009D2B67"/>
    <w:rsid w:val="009E1452"/>
    <w:rsid w:val="00A54823"/>
    <w:rsid w:val="00A566F9"/>
    <w:rsid w:val="00AF2751"/>
    <w:rsid w:val="00B03CCD"/>
    <w:rsid w:val="00B279BB"/>
    <w:rsid w:val="00BE2B89"/>
    <w:rsid w:val="00BF008E"/>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30774F"/>
    <w:rsid w:val="05BC6D49"/>
    <w:rsid w:val="06194FF1"/>
    <w:rsid w:val="06A2550B"/>
    <w:rsid w:val="06F80EE2"/>
    <w:rsid w:val="07001CCA"/>
    <w:rsid w:val="075678DB"/>
    <w:rsid w:val="077B465F"/>
    <w:rsid w:val="079D7CC7"/>
    <w:rsid w:val="08051BCA"/>
    <w:rsid w:val="086C12F4"/>
    <w:rsid w:val="08705944"/>
    <w:rsid w:val="08BA052C"/>
    <w:rsid w:val="08DB07BA"/>
    <w:rsid w:val="09646A44"/>
    <w:rsid w:val="0969353F"/>
    <w:rsid w:val="098305D0"/>
    <w:rsid w:val="09B1218B"/>
    <w:rsid w:val="0A3317EA"/>
    <w:rsid w:val="0A5C4B69"/>
    <w:rsid w:val="0A86124A"/>
    <w:rsid w:val="0AB54CC0"/>
    <w:rsid w:val="0B2C0A51"/>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2A1203"/>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95C8A"/>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5F567B96"/>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7"/>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4">
    <w:name w:val="列出段落3"/>
    <w:basedOn w:val="1"/>
    <w:qFormat/>
    <w:uiPriority w:val="99"/>
    <w:pPr>
      <w:ind w:firstLine="420" w:firstLineChars="200"/>
    </w:pPr>
    <w:rPr>
      <w:rFonts w:cs="宋体"/>
    </w:rPr>
  </w:style>
  <w:style w:type="character" w:customStyle="1" w:styleId="15">
    <w:name w:val="21"/>
    <w:basedOn w:val="9"/>
    <w:qFormat/>
    <w:uiPriority w:val="0"/>
    <w:rPr>
      <w:rFonts w:hint="default" w:ascii="Wingdings" w:hAnsi="Wingdings" w:cs="Wingdings"/>
      <w:b/>
      <w:bCs/>
    </w:rPr>
  </w:style>
  <w:style w:type="character" w:customStyle="1" w:styleId="16">
    <w:name w:val="批注框文本 字符"/>
    <w:basedOn w:val="9"/>
    <w:link w:val="2"/>
    <w:qFormat/>
    <w:uiPriority w:val="0"/>
    <w:rPr>
      <w:rFonts w:ascii="宋体" w:hAnsi="宋体"/>
      <w:sz w:val="18"/>
      <w:szCs w:val="18"/>
    </w:rPr>
  </w:style>
  <w:style w:type="character" w:customStyle="1" w:styleId="17">
    <w:name w:val="页眉 字符"/>
    <w:basedOn w:val="9"/>
    <w:link w:val="4"/>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8950</Words>
  <Characters>11093</Characters>
  <Lines>98</Lines>
  <Paragraphs>27</Paragraphs>
  <TotalTime>15</TotalTime>
  <ScaleCrop>false</ScaleCrop>
  <LinksUpToDate>false</LinksUpToDate>
  <CharactersWithSpaces>12080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2025-09-18T07:47:53Z</dcterms:modified>
  <dc:title>垫江县社会治安综合治理中心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