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重庆垫江高新技术产业开发区管理委员会</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pacing w:before="0" w:beforeAutospacing="0" w:after="0" w:afterAutospacing="0" w:line="596" w:lineRule="exact"/>
        <w:rPr>
          <w:rFonts w:hint="default"/>
          <w:sz w:val="27"/>
          <w:szCs w:val="27"/>
          <w:shd w:val="clear" w:color="auto" w:fill="FFFF00"/>
        </w:rPr>
      </w:pP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高新区（工业园区）管委会要进一步推动职能转变，强化招商引资、项目管理、企业服务等经济发展主责主业，把优化营商环境作为首要任务，着力强化经济管理和投资服务等职能。</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根据垫江委编委发〔2024〕4号文件，按照优化协同高效原则，调整高新区（工业园区）党工委、管委会（以下简称高新区党工委、管委会）内设机构，调整后设置7个内设机构。</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党政办公室（信访科、审计科）。负责机关党务、政务协调；负责重要会议、重大活动的组织协调。负责公文处理、机要保密、档案管理等工作。负责机关组织人事、对外宣传、内部审计、督察督办等工作。负责机关信息化建设与管理工作。牵头开展法律事务、信访维稳、议案提案办理等工作。负责机关党的建设和全面从严治党具体工作，管理和指导高新区内非公有制经济组织和社会组织党的建设。负责统战侨台、群团建设、离退休人员管理等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财务部。负责财政预算、决算工作。负责内控制度建设和实施。负责机关财务收支管理、资产管理工作。负责建设工程项目的决算审计工作。牵头组织政府采购、合同审查工作；负责督促相关税费征收工作。负责政府性债务管理具体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招商发展部。负责招商项目策划、包装、宣传、推介工作。负责组织各类招商活动。负责招商项目洽谈，合同文本起草、审查与签订工作。负责入驻产业项目准入评估、履约监管等工作。协助做好招商项目落地建设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企业服务部。负责牵头高新区（工业园区）优化营商环境工作，负责企业综合服务工作，统筹协调产业项目落地建设及后续跟踪服务工作。负责高新技术企业、研发机构、科技产业服务机构培育工作。负责编制和组织实施产业发展规划、年度计划，负责项目建设的计划统计和进度管理工作。负责重点建设项目策划包装工作。负责生产统计和科技创新工作。负责推动企业转型升级、技术改造和节能降耗等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五）规划建设管理部。负责高新区（工业园区）国土空间总体规划及专项规划编制具体工作，配合相关部门做好土地征收、拆迁补偿、土地集约利用和用途管控工作。负责产业项目、基础设施及配套设施建设项目的规划管理具体工作，负责相关建设项目的选址定点和规划设计方案初审工作。负责规划许可阶段、工程建设许可阶段行政审批相关工作。协助有关部门做好建设工程招投标工作，牵头组织协调相关建设项目竣工验收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六）综合审批部。负责承接和办理市政府、县政府下放或县政府工作部门委托的相关审批服务事项。负责规范行政审批和政务服务行为，推进审批服务标准化建设，优化政务服务环境，协调解决审批事项办理中出现的相关问题。负责建立和完善政务服务工作机制。</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七）应急环保部（综合行政执法部）。负责相关在建工程质量、安全及文明施工的日常巡查和监督检查工作。负责安全生产、环境保护监管具体工作，督促企业落实安全生产和环境保护主体责任。负责编制安全生产和环境保护应急预案并组织演练。编制安全生产年度监督检查计划并组织实施，负责突发事件处置和应急救援工作。根据授权和委托，负责安全生产、生态环保等相关行政执法职责，配合有关部门开展执法工作。</w:t>
      </w:r>
    </w:p>
    <w:p>
      <w:pPr>
        <w:pStyle w:val="6"/>
        <w:shd w:val="clear" w:color="auto" w:fill="FFFFFF"/>
        <w:spacing w:before="0" w:beforeAutospacing="0" w:after="0" w:afterAutospacing="0" w:line="596" w:lineRule="exact"/>
        <w:ind w:firstLine="643" w:firstLineChars="200"/>
        <w:rPr>
          <w:rFonts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2024年度收入总计23082.00万元，支出总计</w:t>
      </w:r>
      <w:r>
        <w:rPr>
          <w:rFonts w:ascii="方正仿宋_GBK" w:hAnsi="方正仿宋_GBK" w:eastAsia="方正仿宋_GBK" w:cs="方正仿宋_GBK"/>
          <w:sz w:val="32"/>
          <w:szCs w:val="32"/>
        </w:rPr>
        <w:t>23082.00</w:t>
      </w:r>
      <w:r>
        <w:rPr>
          <w:rFonts w:ascii="方正仿宋_GBK" w:hAnsi="方正仿宋_GBK" w:eastAsia="方正仿宋_GBK" w:cs="方正仿宋_GBK"/>
          <w:sz w:val="32"/>
          <w:szCs w:val="32"/>
          <w:shd w:val="clear" w:color="auto" w:fill="FFFFFF"/>
        </w:rPr>
        <w:t>万元。收、支与2023年度相比，增加16656.31万元，增长259.21%，主要原因是本年度新增政府性基金预算收入2000.00万元，高新区技改项目等项目经费增加。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2024年度收入合计22441.21万元，与2023年度相比，增加16015.52万元，增长249.24%，主要原因是本年度新增政府性基金预算收入2000.00万元，高新区技改项目经费等项目经费增加。其中：财政拨款收入</w:t>
      </w:r>
      <w:r>
        <w:rPr>
          <w:rFonts w:ascii="方正仿宋_GBK" w:hAnsi="方正仿宋_GBK" w:eastAsia="方正仿宋_GBK" w:cs="方正仿宋_GBK"/>
          <w:sz w:val="32"/>
          <w:szCs w:val="32"/>
        </w:rPr>
        <w:t>22441.21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640.79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23082.00</w:t>
      </w:r>
      <w:r>
        <w:rPr>
          <w:rFonts w:ascii="方正仿宋_GBK" w:hAnsi="方正仿宋_GBK" w:eastAsia="方正仿宋_GBK" w:cs="方正仿宋_GBK"/>
          <w:sz w:val="32"/>
          <w:szCs w:val="32"/>
          <w:shd w:val="clear" w:color="auto" w:fill="FFFFFF"/>
        </w:rPr>
        <w:t>万元，与2023年度相比，增加16656.31万元，增长259.21%，主要原因是项目经费支出增加较多。其中：基本支出</w:t>
      </w:r>
      <w:r>
        <w:rPr>
          <w:rFonts w:ascii="方正仿宋_GBK" w:hAnsi="方正仿宋_GBK" w:eastAsia="方正仿宋_GBK" w:cs="方正仿宋_GBK"/>
          <w:sz w:val="32"/>
          <w:szCs w:val="32"/>
        </w:rPr>
        <w:t>989.62</w:t>
      </w:r>
      <w:r>
        <w:rPr>
          <w:rFonts w:ascii="方正仿宋_GBK" w:hAnsi="方正仿宋_GBK" w:eastAsia="方正仿宋_GBK" w:cs="方正仿宋_GBK"/>
          <w:sz w:val="32"/>
          <w:szCs w:val="32"/>
          <w:shd w:val="clear" w:color="auto" w:fill="FFFFFF"/>
        </w:rPr>
        <w:t>万元，占4.29%；项目支出</w:t>
      </w:r>
      <w:r>
        <w:rPr>
          <w:rFonts w:ascii="方正仿宋_GBK" w:hAnsi="方正仿宋_GBK" w:eastAsia="方正仿宋_GBK" w:cs="方正仿宋_GBK"/>
          <w:sz w:val="32"/>
          <w:szCs w:val="32"/>
        </w:rPr>
        <w:t>22092.38</w:t>
      </w:r>
      <w:r>
        <w:rPr>
          <w:rFonts w:ascii="方正仿宋_GBK" w:hAnsi="方正仿宋_GBK" w:eastAsia="方正仿宋_GBK" w:cs="方正仿宋_GBK"/>
          <w:sz w:val="32"/>
          <w:szCs w:val="32"/>
          <w:shd w:val="clear" w:color="auto" w:fill="FFFFFF"/>
        </w:rPr>
        <w:t>万元，占95.71%；经营支出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本年度与上年度均无结转结余。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2024年度财政拨款收、支总计23082.00万元。与2023年相比，财政拨款收、支总计各增加16656.31万元，增长259.21%。主要原因是高新区技改项目经费等项目经费增加。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20441.21</w:t>
      </w:r>
      <w:r>
        <w:rPr>
          <w:rFonts w:ascii="方正仿宋_GBK" w:hAnsi="方正仿宋_GBK" w:eastAsia="方正仿宋_GBK" w:cs="方正仿宋_GBK"/>
          <w:sz w:val="32"/>
          <w:szCs w:val="32"/>
          <w:shd w:val="clear" w:color="auto" w:fill="FFFFFF"/>
        </w:rPr>
        <w:t>万元，与2023年度相比，增加14015.52万元，增长218.12%。主要原因是高新区技改项目等项目经费增加。较年初预算数增加10847.19万元，增长113.06%。主要原因是追加项目经费较多。此外，年初财政拨款结转和结余</w:t>
      </w:r>
      <w:r>
        <w:rPr>
          <w:rFonts w:ascii="方正仿宋_GBK" w:hAnsi="方正仿宋_GBK" w:eastAsia="方正仿宋_GBK" w:cs="方正仿宋_GBK"/>
          <w:sz w:val="32"/>
          <w:szCs w:val="32"/>
        </w:rPr>
        <w:t>640.79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21082.00</w:t>
      </w:r>
      <w:r>
        <w:rPr>
          <w:rFonts w:ascii="方正仿宋_GBK" w:hAnsi="方正仿宋_GBK" w:eastAsia="方正仿宋_GBK" w:cs="方正仿宋_GBK"/>
          <w:sz w:val="32"/>
          <w:szCs w:val="32"/>
          <w:shd w:val="clear" w:color="auto" w:fill="FFFFFF"/>
        </w:rPr>
        <w:t>万元，与2023年度相比，增加14656.31万元，增长228.09%。主要原因是高新区技改项目等项目经费增加。较年初预算数增加11487.98万元，增长119.74%。主要原因是追加项目经费较多。</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本年度与上年度均无结转结余。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12502.12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59.30</w:t>
      </w:r>
      <w:r>
        <w:rPr>
          <w:rFonts w:ascii="方正仿宋_GBK" w:hAnsi="方正仿宋_GBK" w:eastAsia="方正仿宋_GBK" w:cs="方正仿宋_GBK"/>
          <w:sz w:val="32"/>
          <w:szCs w:val="32"/>
          <w:shd w:val="clear" w:color="auto" w:fill="FFFFFF"/>
        </w:rPr>
        <w:t>%，较年初预算数增加11435.76万元，增长1072.41%，主要原因是年初项目经费预算增加。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%，较年初预算数无增减，主要原因是按需预算支出。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7130.00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33.82</w:t>
      </w:r>
      <w:r>
        <w:rPr>
          <w:rFonts w:ascii="方正仿宋_GBK" w:hAnsi="方正仿宋_GBK" w:eastAsia="方正仿宋_GBK" w:cs="方正仿宋_GBK"/>
          <w:sz w:val="32"/>
          <w:szCs w:val="32"/>
          <w:shd w:val="clear" w:color="auto" w:fill="FFFFFF"/>
        </w:rPr>
        <w:t>%，较年初预算数无增减，主要原因是按需预算支出。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139.66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0.66</w:t>
      </w:r>
      <w:r>
        <w:rPr>
          <w:rFonts w:ascii="方正仿宋_GBK" w:hAnsi="方正仿宋_GBK" w:eastAsia="方正仿宋_GBK" w:cs="方正仿宋_GBK"/>
          <w:sz w:val="32"/>
          <w:szCs w:val="32"/>
          <w:shd w:val="clear" w:color="auto" w:fill="FFFFFF"/>
        </w:rPr>
        <w:t>%，较年初预算数增加32.36万元，增长30.16%，主要原因是政策性增员增资。</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47.46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%，较年初预算数增加8.71万元，增长22.48%，主要原因是政策性增员增资。</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1200.00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5.69</w:t>
      </w:r>
      <w:r>
        <w:rPr>
          <w:rFonts w:ascii="方正仿宋_GBK" w:hAnsi="方正仿宋_GBK" w:eastAsia="方正仿宋_GBK" w:cs="方正仿宋_GBK"/>
          <w:sz w:val="32"/>
          <w:szCs w:val="32"/>
          <w:shd w:val="clear" w:color="auto" w:fill="FFFFFF"/>
        </w:rPr>
        <w:t>%，较年初预算数无增减，主要原因是下达污染治理和节能减碳专项（污染治理方向）中央基建投资预算1200万元。</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住房保障支出60.15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%，较年初预算数增加11.13万元，增长22.71%，主要原因是政策性增员增资。</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989.62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897.23</w:t>
      </w:r>
      <w:r>
        <w:rPr>
          <w:rFonts w:ascii="方正仿宋_GBK" w:hAnsi="方正仿宋_GBK" w:eastAsia="方正仿宋_GBK" w:cs="方正仿宋_GBK"/>
          <w:sz w:val="32"/>
          <w:szCs w:val="32"/>
          <w:shd w:val="clear" w:color="auto" w:fill="FFFFFF"/>
        </w:rPr>
        <w:t>万元，与2023年度相比，增加78.29万元，增长9.56%，主要原因是政策性增员增资。人员经费用途主要包括</w:t>
      </w:r>
      <w:r>
        <w:rPr>
          <w:rFonts w:ascii="仿宋_GB2312" w:hAnsi="仿宋" w:eastAsia="仿宋_GB2312"/>
          <w:sz w:val="32"/>
          <w:szCs w:val="32"/>
        </w:rPr>
        <w:t>保障在职人员工资福利及社会保险缴费、离休人员离休费、退休人员补助等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92.39</w:t>
      </w:r>
      <w:r>
        <w:rPr>
          <w:rFonts w:ascii="方正仿宋_GBK" w:hAnsi="方正仿宋_GBK" w:eastAsia="方正仿宋_GBK" w:cs="方正仿宋_GBK"/>
          <w:sz w:val="32"/>
          <w:szCs w:val="32"/>
          <w:shd w:val="clear" w:color="auto" w:fill="FFFFFF"/>
        </w:rPr>
        <w:t>万元，与2023年度相比，减少32.53万元，下降26.04%，主要原因是</w:t>
      </w:r>
      <w:r>
        <w:rPr>
          <w:rFonts w:ascii="仿宋_GB2312" w:hAnsi="仿宋" w:eastAsia="仿宋_GB2312"/>
          <w:sz w:val="32"/>
          <w:szCs w:val="32"/>
        </w:rPr>
        <w:t>响应政府过紧日子要求，按需支出。</w:t>
      </w:r>
      <w:r>
        <w:rPr>
          <w:rFonts w:ascii="方正仿宋_GBK" w:hAnsi="方正仿宋_GBK" w:eastAsia="方正仿宋_GBK" w:cs="方正仿宋_GBK"/>
          <w:sz w:val="32"/>
          <w:szCs w:val="32"/>
          <w:shd w:val="clear" w:color="auto" w:fill="FFFFFF"/>
        </w:rPr>
        <w:t>公用经费用途主要包括</w:t>
      </w:r>
      <w:r>
        <w:rPr>
          <w:rFonts w:ascii="仿宋_GB2312" w:hAnsi="仿宋" w:eastAsia="仿宋_GB2312"/>
          <w:sz w:val="32"/>
          <w:szCs w:val="32"/>
        </w:rPr>
        <w:t>保障部门正常运转的各项商品服务支出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2000.00</w:t>
      </w:r>
      <w:r>
        <w:rPr>
          <w:rFonts w:ascii="方正仿宋_GBK" w:hAnsi="方正仿宋_GBK" w:eastAsia="方正仿宋_GBK" w:cs="方正仿宋_GBK"/>
          <w:sz w:val="32"/>
          <w:szCs w:val="32"/>
          <w:shd w:val="clear" w:color="auto" w:fill="FFFFFF"/>
        </w:rPr>
        <w:t>万元，与2023年度相比，增加2000.00万元，增长100.00%，主要原因是增加园区体制资金补助项目2000.00万元。本年支出</w:t>
      </w:r>
      <w:r>
        <w:rPr>
          <w:rFonts w:ascii="方正仿宋_GBK" w:hAnsi="方正仿宋_GBK" w:eastAsia="方正仿宋_GBK" w:cs="方正仿宋_GBK"/>
          <w:sz w:val="32"/>
          <w:szCs w:val="32"/>
        </w:rPr>
        <w:t>2000.00</w:t>
      </w:r>
      <w:r>
        <w:rPr>
          <w:rFonts w:ascii="方正仿宋_GBK" w:hAnsi="方正仿宋_GBK" w:eastAsia="方正仿宋_GBK" w:cs="方正仿宋_GBK"/>
          <w:sz w:val="32"/>
          <w:szCs w:val="32"/>
          <w:shd w:val="clear" w:color="auto" w:fill="FFFFFF"/>
        </w:rPr>
        <w:t>万元，与2023年度相比，增加2000.00万元，增长100.00%，主要原因是增加园区体制资金补助项目2000.00万元。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bookmarkStart w:id="0" w:name="_GoBack"/>
      <w:bookmarkEnd w:id="0"/>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178.44</w:t>
      </w:r>
      <w:r>
        <w:rPr>
          <w:rFonts w:ascii="方正仿宋_GBK" w:hAnsi="方正仿宋_GBK" w:eastAsia="方正仿宋_GBK" w:cs="方正仿宋_GBK"/>
          <w:sz w:val="32"/>
          <w:szCs w:val="32"/>
          <w:shd w:val="clear" w:color="auto" w:fill="FFFFFF"/>
        </w:rPr>
        <w:t>万元，较年初预算数增加172.44万元，主要原因是</w:t>
      </w:r>
      <w:r>
        <w:rPr>
          <w:rFonts w:ascii="仿宋_GB2312" w:hAnsi="仿宋" w:eastAsia="仿宋_GB2312"/>
          <w:sz w:val="32"/>
          <w:szCs w:val="32"/>
        </w:rPr>
        <w:t>本年度招商势头良好，为发展阀门产业园，邀请客商来垫考察人数增加</w:t>
      </w:r>
      <w:r>
        <w:rPr>
          <w:rFonts w:ascii="方正仿宋_GBK" w:hAnsi="方正仿宋_GBK" w:eastAsia="方正仿宋_GBK" w:cs="方正仿宋_GBK"/>
          <w:sz w:val="32"/>
          <w:szCs w:val="32"/>
          <w:shd w:val="clear" w:color="auto" w:fill="FFFFFF"/>
        </w:rPr>
        <w:t>。较上年支出数增加113.17万元，增长173.39%，主要原因是</w:t>
      </w:r>
      <w:r>
        <w:rPr>
          <w:rFonts w:ascii="仿宋_GB2312" w:hAnsi="仿宋" w:eastAsia="仿宋_GB2312"/>
          <w:sz w:val="32"/>
          <w:szCs w:val="32"/>
        </w:rPr>
        <w:t>本年度招商势头良好，为发展阀门产业园，邀请客商来垫考察人数增加，包含市外驻点招商接待费用</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主要用于机要文件交换、接待招商引资客商、市内因公出行、安全环保业务检查等工作所需车辆的燃料费、维修费、过桥过路费、保险费等。费用支出较年初预算数无增减，主要原因是响应政府过紧日子要求，按需支出。较上年支出数减少1.00万元，下降20.00%，主要原因是响应政府过紧日子要求，减少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174.44</w:t>
      </w:r>
      <w:r>
        <w:rPr>
          <w:rFonts w:ascii="方正仿宋_GBK" w:hAnsi="方正仿宋_GBK" w:eastAsia="方正仿宋_GBK" w:cs="方正仿宋_GBK"/>
          <w:sz w:val="32"/>
          <w:szCs w:val="32"/>
          <w:shd w:val="clear" w:color="auto" w:fill="FFFFFF"/>
        </w:rPr>
        <w:t>万元，主要用于接待招商引资客商及其他公务接待。费用支出较年初预算数增加172.44万元，增长8622.00%，主要原因是本年招商势头良好，调整增加预算。较上年支出数增加114.17万元，增长189.43%，主要原因是本年招商势头良好，为发展阀门产业园，邀请客商来垫考察人数增加，包含市外驻点招商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497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8723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199.98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1.12</w:t>
      </w:r>
      <w:r>
        <w:rPr>
          <w:rFonts w:ascii="方正仿宋_GBK" w:hAnsi="方正仿宋_GBK" w:eastAsia="方正仿宋_GBK" w:cs="方正仿宋_GBK"/>
          <w:sz w:val="32"/>
          <w:szCs w:val="32"/>
          <w:shd w:val="clear" w:color="auto" w:fill="FFFFFF"/>
        </w:rPr>
        <w:t>万元，与2023年度相比，减少0.84万元，下降42.86%，主要原因是招商会议减少。本年度培训费支出</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万元，与2023年度相比，增加1.78万元，增长217.07%，主要原因是</w:t>
      </w:r>
      <w:r>
        <w:rPr>
          <w:rFonts w:ascii="仿宋_GB2312" w:hAnsi="仿宋" w:eastAsia="仿宋_GB2312"/>
          <w:sz w:val="32"/>
          <w:szCs w:val="32"/>
        </w:rPr>
        <w:t>本年市外培训费用增加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52.61</w:t>
      </w:r>
      <w:r>
        <w:rPr>
          <w:rFonts w:ascii="方正仿宋_GBK" w:hAnsi="方正仿宋_GBK" w:eastAsia="方正仿宋_GBK" w:cs="方正仿宋_GBK"/>
          <w:sz w:val="32"/>
          <w:szCs w:val="32"/>
          <w:shd w:val="clear" w:color="auto" w:fill="FFFFFF"/>
        </w:rPr>
        <w:t>万元，机关运行经费主要用于开支办公费、公务车运行维护费、差旅费、邮电费、租赁费等。机关运行经费较上年支出数增加0.23万元，增长0.44%，主要原因是政策性增员增资。</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960" w:firstLineChars="3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.00%。2024年度我单位未发生政府采购事项，无相关经费支出。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根据预算绩效管理要求，我部门对部门整体和11个二级项目开展了绩效自评，涉及财政拨款项目支出资金</w:t>
      </w:r>
    </w:p>
    <w:p>
      <w:pPr>
        <w:pStyle w:val="12"/>
        <w:autoSpaceDE w:val="0"/>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20092.38万元。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r>
        <w:drawing>
          <wp:anchor distT="0" distB="0" distL="114300" distR="114300" simplePos="0" relativeHeight="251659264" behindDoc="0" locked="0" layoutInCell="1" allowOverlap="1">
            <wp:simplePos x="0" y="0"/>
            <wp:positionH relativeFrom="column">
              <wp:posOffset>-180975</wp:posOffset>
            </wp:positionH>
            <wp:positionV relativeFrom="paragraph">
              <wp:posOffset>457200</wp:posOffset>
            </wp:positionV>
            <wp:extent cx="5276215" cy="5288280"/>
            <wp:effectExtent l="0" t="0" r="635" b="762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76215" cy="5288280"/>
                    </a:xfrm>
                    <a:prstGeom prst="rect">
                      <a:avLst/>
                    </a:prstGeom>
                    <a:noFill/>
                    <a:ln>
                      <a:noFill/>
                    </a:ln>
                  </pic:spPr>
                </pic:pic>
              </a:graphicData>
            </a:graphic>
          </wp:anchor>
        </w:drawing>
      </w:r>
    </w:p>
    <w:p>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drawing>
          <wp:anchor distT="0" distB="0" distL="114300" distR="114300" simplePos="0" relativeHeight="251660288" behindDoc="0" locked="0" layoutInCell="1" allowOverlap="1">
            <wp:simplePos x="0" y="0"/>
            <wp:positionH relativeFrom="column">
              <wp:posOffset>215900</wp:posOffset>
            </wp:positionH>
            <wp:positionV relativeFrom="paragraph">
              <wp:posOffset>59690</wp:posOffset>
            </wp:positionV>
            <wp:extent cx="5274310" cy="3163570"/>
            <wp:effectExtent l="0" t="0" r="2540" b="17780"/>
            <wp:wrapTopAndBottom/>
            <wp:docPr id="2" name="图片 2" descr="0ec8b83be21dc858df27e6baed987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c8b83be21dc858df27e6baed987e6f"/>
                    <pic:cNvPicPr>
                      <a:picLocks noChangeAspect="1"/>
                    </pic:cNvPicPr>
                  </pic:nvPicPr>
                  <pic:blipFill>
                    <a:blip r:embed="rId8"/>
                    <a:stretch>
                      <a:fillRect/>
                    </a:stretch>
                  </pic:blipFill>
                  <pic:spPr>
                    <a:xfrm>
                      <a:off x="0" y="0"/>
                      <a:ext cx="5274310" cy="3163570"/>
                    </a:xfrm>
                    <a:prstGeom prst="rect">
                      <a:avLst/>
                    </a:prstGeom>
                  </pic:spPr>
                </pic:pic>
              </a:graphicData>
            </a:graphic>
          </wp:anchor>
        </w:drawing>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我部门未组织开展绩效评价。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县财政局未委托第三方对我部门开展绩效评价。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刘老师   023-74513729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部门：</w:t>
            </w:r>
            <w:r>
              <w:rPr>
                <w:sz w:val="20"/>
              </w:rPr>
              <w:t>重庆垫江高新技术产业开发区管理委员会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20,441.21</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12,502.12</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7,130.00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139.66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47.46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60.15</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22,441.21</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23,082.00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640.79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23,082.00</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23,082.00</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重庆垫江高新技术产业开发区管理委员会</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22,441.21</w:t>
            </w:r>
            <w:r>
              <w:rPr>
                <w:rFonts w:ascii="Times New Roman" w:hAnsi="Times New Roman"/>
                <w:b/>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22,441.21</w:t>
            </w:r>
            <w:r>
              <w:rPr>
                <w:rFonts w:ascii="Times New Roman" w:hAnsi="Times New Roman"/>
                <w:b/>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11,861.33</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11,861.33</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11,861.33</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11,861.33</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11,121.57</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11,121.57</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其他科学技术管理事务支出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139.66</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139.66</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85.03</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85.03</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41.04</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41.04</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13.57</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13.57</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60.15</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60.15</w:t>
            </w:r>
            <w:r>
              <w:rPr>
                <w:rFonts w:ascii="Times New Roman" w:hAnsi="Times New Roman"/>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部门：</w:t>
            </w:r>
            <w:r>
              <w:rPr>
                <w:sz w:val="20"/>
              </w:rPr>
              <w:t xml:space="preserve">重庆垫江高新技术产业开发区管理委员会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23,082.00</w:t>
            </w:r>
            <w:r>
              <w:rPr>
                <w:rFonts w:ascii="Times New Roman" w:hAnsi="Times New Roman"/>
                <w:b/>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989.62</w:t>
            </w:r>
            <w:r>
              <w:rPr>
                <w:rFonts w:ascii="Times New Roman" w:hAnsi="Times New Roman"/>
                <w:b/>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22,092.38</w:t>
            </w:r>
            <w:r>
              <w:rPr>
                <w:rFonts w:ascii="Times New Roman" w:hAnsi="Times New Roman"/>
                <w:b/>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12,502.12</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739.77</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11,762.36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12,502.12</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739.77</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11,762.36</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11,762.36</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11,762.36</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其他科学技术管理事务支出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139.66</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85.03</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85.03</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41.04</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41.04</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13.57</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13.57</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60.15</w:t>
            </w:r>
            <w:r>
              <w:rPr>
                <w:rFonts w:ascii="Times New Roman" w:hAnsi="Times New Roman"/>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60.15</w:t>
            </w:r>
            <w:r>
              <w:rPr>
                <w:rFonts w:ascii="Times New Roman" w:hAnsi="Times New Roman"/>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部门：</w:t>
            </w:r>
            <w:r>
              <w:rPr>
                <w:sz w:val="20"/>
              </w:rPr>
              <w:t>重庆垫江高新技术产业开发区管理委员会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20,441.21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12,502.12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12,502.12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7,130.00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7,130.00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139.66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139.66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47.46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47.46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60.15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60.15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22,441.21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23,082.00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21,082.00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640.79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640.79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23,082.00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23,082.00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21,082.00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重庆垫江高新技术产业开发区管理委员会</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21,082.00</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989.62</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20,092.38</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12,502.12</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739.77</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11,762.36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12,502.12</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739.77</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11,762.36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272.95</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272.95</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11,762.36</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11,762.36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466.81</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466.81</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2.60</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2.60</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2.60</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650.00</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650.00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其他科学技术管理事务支出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6,480.00</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6,480.00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139.66</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0.02</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0.02</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139.64</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85.03</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85.03</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41.04</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41.04</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13.57</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13.57</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47.46</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19.61</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19.61</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27.85</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27.85</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1,200.00</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1,200.00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60.15</w:t>
            </w:r>
            <w:r>
              <w:rPr>
                <w:rFonts w:ascii="Times New Roman" w:hAnsi="Times New Roman"/>
                <w:b/>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60.15</w:t>
            </w:r>
            <w:r>
              <w:rPr>
                <w:rFonts w:ascii="Times New Roman" w:hAnsi="Times New Roman"/>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60.15</w:t>
            </w:r>
            <w:r>
              <w:rPr>
                <w:rFonts w:ascii="Times New Roman" w:hAnsi="Times New Roman"/>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部门：</w:t>
            </w:r>
            <w:r>
              <w:rPr>
                <w:sz w:val="20"/>
              </w:rPr>
              <w:t>重庆垫江高新技术产业开发区管理委员会</w:t>
            </w: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880.80</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86.59</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5.80</w:t>
            </w: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185.64</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4.92</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54.22</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0.10</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5.80</w:t>
            </w: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93.84</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0.17</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282.59</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85.03</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41.04</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4.86</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47.46</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1.16</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2.64</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60.15</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19.72</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9.94</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16.43</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1.10</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2.60</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2.00</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15.43</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w:t>
            </w: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1.62</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36.54</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3.91</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4.00</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11.62</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9.50</w:t>
            </w: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897.23</w:t>
            </w:r>
            <w:r>
              <w:rPr>
                <w:rFonts w:ascii="Times New Roman" w:hAnsi="Times New Roman"/>
                <w:sz w:val="18"/>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92.39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重庆垫江高新技术产业开发区管理委员会</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重庆垫江高新技术产业开发区管理委员会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sz w:val="20"/>
                <w:szCs w:val="20"/>
              </w:rPr>
              <w:t>部门</w:t>
            </w:r>
            <w:r>
              <w:rPr>
                <w:rFonts w:cs="宋体"/>
                <w:kern w:val="2"/>
                <w:sz w:val="20"/>
                <w:szCs w:val="20"/>
              </w:rPr>
              <w:t>：</w:t>
            </w:r>
            <w:r>
              <w:rPr>
                <w:sz w:val="20"/>
              </w:rPr>
              <w:t>重庆垫江高新技术产业开发区管理委员会</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52.61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178.44</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178.44</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52.61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174.44</w:t>
            </w:r>
            <w:r>
              <w:rPr>
                <w:rFonts w:ascii="Times New Roman" w:hAnsi="Times New Roman"/>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174.44</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174.44</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497</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8,723</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1.12</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2.60</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154.13</w:t>
            </w:r>
            <w:r>
              <w:rPr>
                <w:rFonts w:ascii="Times New Roman" w:hAnsi="Times New Roman"/>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A018A"/>
    <w:rsid w:val="00CC6B99"/>
    <w:rsid w:val="00DC3FE1"/>
    <w:rsid w:val="00DF7706"/>
    <w:rsid w:val="00E05175"/>
    <w:rsid w:val="00E23B7E"/>
    <w:rsid w:val="00E654E2"/>
    <w:rsid w:val="00E76362"/>
    <w:rsid w:val="00E86B80"/>
    <w:rsid w:val="00F137D3"/>
    <w:rsid w:val="00F13C36"/>
    <w:rsid w:val="00F23C68"/>
    <w:rsid w:val="00F32C53"/>
    <w:rsid w:val="00F73F90"/>
    <w:rsid w:val="00F7623D"/>
    <w:rsid w:val="00F8598B"/>
    <w:rsid w:val="00FA0819"/>
    <w:rsid w:val="00FB4BF0"/>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185C4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823385"/>
    <w:rsid w:val="11ED0F98"/>
    <w:rsid w:val="11F03528"/>
    <w:rsid w:val="12C921C4"/>
    <w:rsid w:val="12F52ECF"/>
    <w:rsid w:val="13871C70"/>
    <w:rsid w:val="13A71CB4"/>
    <w:rsid w:val="13AF1D43"/>
    <w:rsid w:val="13CE1647"/>
    <w:rsid w:val="13DA0C25"/>
    <w:rsid w:val="13FD55AB"/>
    <w:rsid w:val="14200702"/>
    <w:rsid w:val="14907817"/>
    <w:rsid w:val="1556647E"/>
    <w:rsid w:val="163A6CEE"/>
    <w:rsid w:val="173708E3"/>
    <w:rsid w:val="174C19C7"/>
    <w:rsid w:val="17C374FC"/>
    <w:rsid w:val="189079DC"/>
    <w:rsid w:val="189B0D0B"/>
    <w:rsid w:val="18AF03BF"/>
    <w:rsid w:val="18B43F7C"/>
    <w:rsid w:val="194A1770"/>
    <w:rsid w:val="19B906A4"/>
    <w:rsid w:val="19FB026E"/>
    <w:rsid w:val="1B6F15B6"/>
    <w:rsid w:val="1BAA2EDC"/>
    <w:rsid w:val="1BB25271"/>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31B78"/>
    <w:rsid w:val="21556F04"/>
    <w:rsid w:val="22403BD3"/>
    <w:rsid w:val="23DA37D9"/>
    <w:rsid w:val="24B92327"/>
    <w:rsid w:val="24C14514"/>
    <w:rsid w:val="2533755C"/>
    <w:rsid w:val="25791755"/>
    <w:rsid w:val="26396DF4"/>
    <w:rsid w:val="27167136"/>
    <w:rsid w:val="27B23302"/>
    <w:rsid w:val="29310A5F"/>
    <w:rsid w:val="29597EAD"/>
    <w:rsid w:val="29C37A35"/>
    <w:rsid w:val="2A076083"/>
    <w:rsid w:val="2A73162E"/>
    <w:rsid w:val="2A751F0B"/>
    <w:rsid w:val="2B167953"/>
    <w:rsid w:val="2B200583"/>
    <w:rsid w:val="2B220436"/>
    <w:rsid w:val="2B2328AA"/>
    <w:rsid w:val="2B8209DE"/>
    <w:rsid w:val="2C6762A3"/>
    <w:rsid w:val="2D4A07D1"/>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460B20"/>
    <w:rsid w:val="37841E99"/>
    <w:rsid w:val="37BF1123"/>
    <w:rsid w:val="383C3F15"/>
    <w:rsid w:val="38BE4696"/>
    <w:rsid w:val="3939115E"/>
    <w:rsid w:val="39B82A39"/>
    <w:rsid w:val="39C42CA8"/>
    <w:rsid w:val="39C54334"/>
    <w:rsid w:val="39DC4FD6"/>
    <w:rsid w:val="39F03D7A"/>
    <w:rsid w:val="39F33306"/>
    <w:rsid w:val="3A2C1C67"/>
    <w:rsid w:val="3B1705E5"/>
    <w:rsid w:val="3B18334B"/>
    <w:rsid w:val="3B36794F"/>
    <w:rsid w:val="3C363E89"/>
    <w:rsid w:val="3C566AD6"/>
    <w:rsid w:val="3C6A5B02"/>
    <w:rsid w:val="3D2757A1"/>
    <w:rsid w:val="3D3D4FC4"/>
    <w:rsid w:val="3DDF3AB1"/>
    <w:rsid w:val="3E1D0952"/>
    <w:rsid w:val="3E42660A"/>
    <w:rsid w:val="3E7555B1"/>
    <w:rsid w:val="3E787ED9"/>
    <w:rsid w:val="3EEC37F3"/>
    <w:rsid w:val="3F032E93"/>
    <w:rsid w:val="3F0527E5"/>
    <w:rsid w:val="3F374046"/>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FF1178"/>
    <w:rsid w:val="4CCF773C"/>
    <w:rsid w:val="4D337DBA"/>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36E46"/>
    <w:rsid w:val="5C5D2777"/>
    <w:rsid w:val="5CF66BF3"/>
    <w:rsid w:val="5D290C69"/>
    <w:rsid w:val="5E1470C0"/>
    <w:rsid w:val="5F2D4A41"/>
    <w:rsid w:val="60C74F6C"/>
    <w:rsid w:val="61025A59"/>
    <w:rsid w:val="613D5BBC"/>
    <w:rsid w:val="61536C39"/>
    <w:rsid w:val="61E64F4A"/>
    <w:rsid w:val="62252C10"/>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84335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0F710A"/>
    <w:rsid w:val="72DB435C"/>
    <w:rsid w:val="72E2613A"/>
    <w:rsid w:val="72F771F4"/>
    <w:rsid w:val="734150D5"/>
    <w:rsid w:val="736650B0"/>
    <w:rsid w:val="73934AD2"/>
    <w:rsid w:val="73967B15"/>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10529</Words>
  <Characters>14763</Characters>
  <Lines>130</Lines>
  <Paragraphs>36</Paragraphs>
  <TotalTime>3</TotalTime>
  <ScaleCrop>false</ScaleCrop>
  <LinksUpToDate>false</LinksUpToDate>
  <CharactersWithSpaces>16077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2025-09-18T07:50:19Z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