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重庆垫江高新技术产业开发区管理委员会（本级）</w:t>
      </w:r>
    </w:p>
    <w:p>
      <w:pPr>
        <w:pStyle w:val="6"/>
        <w:spacing w:before="0" w:beforeAutospacing="0" w:after="0" w:afterAutospacing="0" w:line="596" w:lineRule="exact"/>
        <w:jc w:val="center"/>
        <w:rPr>
          <w:rFonts w:hint="default"/>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高新区（工业园区）管委会要进一步推动职能转变，强化招商引资、项目管理、企业服务等经济发展主责主业，把优化营商环境作为首要任务，着力强化经济管理和投资服务等职能。</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根据垫江委编委发〔2024〕4号文件，按照优化协同高效原则，调整高新区（工业园区）党工委、管委会（以下简称高新区党工委、管委会）内设机构，调整后设置7个内设机构。</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党政办公室（信访科、审计科）。负责机关党务、政务协调；负责重要会议、重大活动的组织协调。负责公文处理、机要保密、档案管理等工作。负责机关组织人事、对外宣传、内部审计、督察督办等工作。负责机关信息化建设与管理工作。牵头开展法律事务、信访维稳、议案提案办理等工作。负责机关党的建设和全面从严治党具体工作，管理和指导高新区内非公有制经济组织和社会组织党的建设。负责统战侨台、群团建设、离退休人员管理等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财务部。负责财政预算、决算工作。负责内控制度建设和实施。负责机关财务收支管理、资产管理工作。负责建设工程项目的决算审计工作。牵头组织政府采购、合同审查工作；负责督促相关税费征收工作。负责政府性债务管理具体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招商发展部。负责招商项目策划、包装、宣传、推介工作。负责组织各类招商活动。负责招商项目洽谈，合同文本起草、审查与签订工作。负责入驻产业项目准入评估、履约监管等工作。协助做好招商项目落地建设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企业服务部。负责牵头高新区（工业园区）优化营商环境工作，负责企业综合服务工作，统筹协调产业项目落地建设及后续跟踪服务工作。负责高新技术企业、研发机构、科技产业服务机构培育工作。负责编制和组织实施产业发展规划、年度计划，负责项目建设的计划统计和进度管理工作。负责重点建设项目策划包装工作。负责生产统计和科技创新工作。负责推动企业转型升级、技术改造和节能降耗等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五）规划建设管理部。负责高新区（工业园区）国土空间总体规划及专项规划编制具体工作，配合相关部门做好土地征收、拆迁补偿、土地集约利用和用途管控工作。负责产业项目、基础设施及配套设施建设项目的规划管理具体工作，负责相关建设项目的选址定点和规划设计方案初审工作。负责规划许可阶段、工程建设许可阶段行政审批相关工作。协助有关部门做好建设工程招投标工作，牵头组织协调相关建设项目竣工验收工作。</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六）综合审批部。负责承接和办理市政府、县政府下放或县政府工作部门委托的相关审批服务事项。负责规范行政审批和政务服务行为，推进审批服务标准化建设，优化政务服务环境，协调解决审批事项办理中出现的相关问题。负责建立和完善政务服务工作机制。</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七）应急环保部（综合行政执法部）。负责相关在建工程质量、安全及文明施工的日常巡查和监督检查工作。负责安全生产、环境保护监管具体工作，督促企业落实安全生产和环境保护主体责任。负责编制安全生产和环境保护应急预案并组织演练。编制安全生产年度监督检查计划并组织实施，负责突发事件处置和应急救援工作。根据授权和委托，负责安全生产、生态环保等相关行政执法职责，配合有关部门开展执法工作。</w:t>
      </w:r>
    </w:p>
    <w:p>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2024年度收入总计22461.41万元，支出总计</w:t>
      </w:r>
      <w:r>
        <w:rPr>
          <w:rFonts w:ascii="方正仿宋_GBK" w:hAnsi="方正仿宋_GBK" w:eastAsia="方正仿宋_GBK" w:cs="方正仿宋_GBK"/>
          <w:sz w:val="32"/>
          <w:szCs w:val="32"/>
        </w:rPr>
        <w:t>22461.41</w:t>
      </w:r>
      <w:r>
        <w:rPr>
          <w:rFonts w:ascii="方正仿宋_GBK" w:hAnsi="方正仿宋_GBK" w:eastAsia="方正仿宋_GBK" w:cs="方正仿宋_GBK"/>
          <w:sz w:val="32"/>
          <w:szCs w:val="32"/>
          <w:shd w:val="clear" w:color="auto" w:fill="FFFFFF"/>
        </w:rPr>
        <w:t>万元。收、支与2023年度相比，增加16633.48万元，增长285.41%，主要原因是本年度新增政府性基金预算收入2000.00万元，高新区技改项目等项目经费增加。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2024年度收入合计21820.62万元，与2023年度相比，增加15992.69万元，增长274.41%，主要原因是本年度新增政府性基金预算收入2000.00万元，高新区技改项目经费等项目经费增加。其中：财政拨款收入</w:t>
      </w:r>
      <w:r>
        <w:rPr>
          <w:rFonts w:ascii="方正仿宋_GBK" w:hAnsi="方正仿宋_GBK" w:eastAsia="方正仿宋_GBK" w:cs="方正仿宋_GBK"/>
          <w:sz w:val="32"/>
          <w:szCs w:val="32"/>
        </w:rPr>
        <w:t>21820.62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640.79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22461.41</w:t>
      </w:r>
      <w:r>
        <w:rPr>
          <w:rFonts w:ascii="方正仿宋_GBK" w:hAnsi="方正仿宋_GBK" w:eastAsia="方正仿宋_GBK" w:cs="方正仿宋_GBK"/>
          <w:sz w:val="32"/>
          <w:szCs w:val="32"/>
          <w:shd w:val="clear" w:color="auto" w:fill="FFFFFF"/>
        </w:rPr>
        <w:t>万元，与2023年度相比，增加16633.48万元，增长285.41%，主要原因是项目经费支出增加较多。其中：基本支出</w:t>
      </w:r>
      <w:r>
        <w:rPr>
          <w:rFonts w:ascii="方正仿宋_GBK" w:hAnsi="方正仿宋_GBK" w:eastAsia="方正仿宋_GBK" w:cs="方正仿宋_GBK"/>
          <w:sz w:val="32"/>
          <w:szCs w:val="32"/>
        </w:rPr>
        <w:t>369.04</w:t>
      </w:r>
      <w:r>
        <w:rPr>
          <w:rFonts w:ascii="方正仿宋_GBK" w:hAnsi="方正仿宋_GBK" w:eastAsia="方正仿宋_GBK" w:cs="方正仿宋_GBK"/>
          <w:sz w:val="32"/>
          <w:szCs w:val="32"/>
          <w:shd w:val="clear" w:color="auto" w:fill="FFFFFF"/>
        </w:rPr>
        <w:t>万元，占1.64%；项目支出</w:t>
      </w:r>
      <w:r>
        <w:rPr>
          <w:rFonts w:ascii="方正仿宋_GBK" w:hAnsi="方正仿宋_GBK" w:eastAsia="方正仿宋_GBK" w:cs="方正仿宋_GBK"/>
          <w:sz w:val="32"/>
          <w:szCs w:val="32"/>
        </w:rPr>
        <w:t>22092.38</w:t>
      </w:r>
      <w:r>
        <w:rPr>
          <w:rFonts w:ascii="方正仿宋_GBK" w:hAnsi="方正仿宋_GBK" w:eastAsia="方正仿宋_GBK" w:cs="方正仿宋_GBK"/>
          <w:sz w:val="32"/>
          <w:szCs w:val="32"/>
          <w:shd w:val="clear" w:color="auto" w:fill="FFFFFF"/>
        </w:rPr>
        <w:t>万元，占98.36%；经营支出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本年度与上年度均无结转结余.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2024年度财政拨款收、支总计22461.41万元。与2023年相比，财政拨款收、支总计各增加16633.48万元，增长285.41%。主要原因是高新区技改项目经费等项目经费增加。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19820.62</w:t>
      </w:r>
      <w:r>
        <w:rPr>
          <w:rFonts w:ascii="方正仿宋_GBK" w:hAnsi="方正仿宋_GBK" w:eastAsia="方正仿宋_GBK" w:cs="方正仿宋_GBK"/>
          <w:sz w:val="32"/>
          <w:szCs w:val="32"/>
          <w:shd w:val="clear" w:color="auto" w:fill="FFFFFF"/>
        </w:rPr>
        <w:t>万元，与2023年度相比，增加13992.69万元，增长240.10%。主要原因是高新区技改项目等项目经费增加。较年初预算数增加10788.94万元，增长119.46%。主要原因是追加项目经费较多。此外，年初财政拨款结转和结余</w:t>
      </w:r>
      <w:r>
        <w:rPr>
          <w:rFonts w:ascii="方正仿宋_GBK" w:hAnsi="方正仿宋_GBK" w:eastAsia="方正仿宋_GBK" w:cs="方正仿宋_GBK"/>
          <w:sz w:val="32"/>
          <w:szCs w:val="32"/>
        </w:rPr>
        <w:t>640.79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20461.41</w:t>
      </w:r>
      <w:r>
        <w:rPr>
          <w:rFonts w:ascii="方正仿宋_GBK" w:hAnsi="方正仿宋_GBK" w:eastAsia="方正仿宋_GBK" w:cs="方正仿宋_GBK"/>
          <w:sz w:val="32"/>
          <w:szCs w:val="32"/>
          <w:shd w:val="clear" w:color="auto" w:fill="FFFFFF"/>
        </w:rPr>
        <w:t>万元，与2023年度相比，增加14633.48万元，增长251.09%。主要原因是高新区技改项目等项目经费增加。较年初预算数增加11429.73万元，增长126.55%。主要原因是追加项目经费支出较多。</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万元，与2023年度相比，无增减。本年度与上年度均无结转结余。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12035.31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58.82</w:t>
      </w:r>
      <w:r>
        <w:rPr>
          <w:rFonts w:ascii="方正仿宋_GBK" w:hAnsi="方正仿宋_GBK" w:eastAsia="方正仿宋_GBK" w:cs="方正仿宋_GBK"/>
          <w:sz w:val="32"/>
          <w:szCs w:val="32"/>
          <w:shd w:val="clear" w:color="auto" w:fill="FFFFFF"/>
        </w:rPr>
        <w:t>%，较年初预算数增加11425.28万元，增长1872.90%，主要原因是年初项目经费预算增加。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%，较年初预算数无增减，主要原因是严格</w:t>
      </w:r>
      <w:r>
        <w:rPr>
          <w:rFonts w:hint="default" w:ascii="方正仿宋_GBK" w:hAnsi="方正仿宋_GBK" w:eastAsia="方正仿宋_GBK" w:cs="方正仿宋_GBK"/>
          <w:sz w:val="32"/>
          <w:szCs w:val="32"/>
          <w:shd w:val="clear" w:color="auto" w:fill="FFFFFF"/>
        </w:rPr>
        <w:t>按照</w:t>
      </w:r>
      <w:r>
        <w:rPr>
          <w:rFonts w:ascii="方正仿宋_GBK" w:hAnsi="方正仿宋_GBK" w:eastAsia="方正仿宋_GBK" w:cs="方正仿宋_GBK"/>
          <w:sz w:val="32"/>
          <w:szCs w:val="32"/>
          <w:shd w:val="clear" w:color="auto" w:fill="FFFFFF"/>
        </w:rPr>
        <w:t>预算支出。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（3）科学技术支出7130.00万元，占34.85%，较年初预算数无增减，主要原因是严格</w:t>
      </w:r>
      <w:r>
        <w:rPr>
          <w:rFonts w:hint="default" w:ascii="方正仿宋_GBK" w:hAnsi="方正仿宋_GBK" w:eastAsia="方正仿宋_GBK" w:cs="方正仿宋_GBK"/>
          <w:sz w:val="32"/>
          <w:szCs w:val="32"/>
          <w:shd w:val="clear" w:color="auto" w:fill="FFFFFF"/>
        </w:rPr>
        <w:t>按照</w:t>
      </w:r>
      <w:r>
        <w:rPr>
          <w:rFonts w:ascii="方正仿宋_GBK" w:hAnsi="方正仿宋_GBK" w:eastAsia="方正仿宋_GBK" w:cs="方正仿宋_GBK"/>
          <w:sz w:val="32"/>
          <w:szCs w:val="32"/>
          <w:shd w:val="clear" w:color="auto" w:fill="FFFFFF"/>
        </w:rPr>
        <w:t>预算支出。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52.47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%，较年初预算数增加0.97万元，增长1.88%，主要原因是政策性增员增资。</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19.61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%，较年初预算数增加2.92万元，增长17.50%，主要原因是政策性增员增资。</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1200.00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5.86</w:t>
      </w:r>
      <w:r>
        <w:rPr>
          <w:rFonts w:ascii="方正仿宋_GBK" w:hAnsi="方正仿宋_GBK" w:eastAsia="方正仿宋_GBK" w:cs="方正仿宋_GBK"/>
          <w:sz w:val="32"/>
          <w:szCs w:val="32"/>
          <w:shd w:val="clear" w:color="auto" w:fill="FFFFFF"/>
        </w:rPr>
        <w:t>%，较年初预算数无增减，主要原因是下达污染治理和节能减碳专项（污染治理方向）中央基建投资预算1200.00万元。</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住房保障支出23.13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%，较年初预算数增加0.58万元，增长2.57%，主要原因是政策性增员增资。</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369.04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316.43</w:t>
      </w:r>
      <w:r>
        <w:rPr>
          <w:rFonts w:ascii="方正仿宋_GBK" w:hAnsi="方正仿宋_GBK" w:eastAsia="方正仿宋_GBK" w:cs="方正仿宋_GBK"/>
          <w:sz w:val="32"/>
          <w:szCs w:val="32"/>
          <w:shd w:val="clear" w:color="auto" w:fill="FFFFFF"/>
        </w:rPr>
        <w:t>万元，与2023年度相比，增加22.71万元，增长7.73%，主要原因是政策性增员增资。人员经费用途主要包括</w:t>
      </w:r>
      <w:r>
        <w:rPr>
          <w:rFonts w:ascii="仿宋_GB2312" w:hAnsi="仿宋" w:eastAsia="仿宋_GB2312"/>
          <w:sz w:val="32"/>
          <w:szCs w:val="32"/>
        </w:rPr>
        <w:t>保障在职人员工资福利及社会保险缴费、离休人员离休费、退休人员补助等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52.61</w:t>
      </w:r>
      <w:r>
        <w:rPr>
          <w:rFonts w:ascii="方正仿宋_GBK" w:hAnsi="方正仿宋_GBK" w:eastAsia="方正仿宋_GBK" w:cs="方正仿宋_GBK"/>
          <w:sz w:val="32"/>
          <w:szCs w:val="32"/>
          <w:shd w:val="clear" w:color="auto" w:fill="FFFFFF"/>
        </w:rPr>
        <w:t>万元，与2023年度相比，增加0.23万元，增长0.44%，主要原因是</w:t>
      </w:r>
      <w:r>
        <w:rPr>
          <w:rFonts w:ascii="仿宋_GB2312" w:hAnsi="仿宋" w:eastAsia="仿宋_GB2312"/>
          <w:sz w:val="32"/>
          <w:szCs w:val="32"/>
        </w:rPr>
        <w:t>响应政府过紧日子要求，按需支出</w:t>
      </w:r>
      <w:r>
        <w:rPr>
          <w:rFonts w:ascii="方正仿宋_GBK" w:hAnsi="方正仿宋_GBK" w:eastAsia="方正仿宋_GBK" w:cs="方正仿宋_GBK"/>
          <w:sz w:val="32"/>
          <w:szCs w:val="32"/>
          <w:shd w:val="clear" w:color="auto" w:fill="FFFFFF"/>
        </w:rPr>
        <w:t>。公用经费用途主要包括</w:t>
      </w:r>
      <w:r>
        <w:rPr>
          <w:rFonts w:ascii="仿宋_GB2312" w:hAnsi="仿宋" w:eastAsia="仿宋_GB2312"/>
          <w:sz w:val="32"/>
          <w:szCs w:val="32"/>
        </w:rPr>
        <w:t>保障部门正常运转的各项商品服务支出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2000.00</w:t>
      </w:r>
      <w:r>
        <w:rPr>
          <w:rFonts w:ascii="方正仿宋_GBK" w:hAnsi="方正仿宋_GBK" w:eastAsia="方正仿宋_GBK" w:cs="方正仿宋_GBK"/>
          <w:sz w:val="32"/>
          <w:szCs w:val="32"/>
          <w:shd w:val="clear" w:color="auto" w:fill="FFFFFF"/>
        </w:rPr>
        <w:t>万元，与2023年度相比，增加2000.00万元，增长100.00%，主要原因是增加园区体制资金补助项目2000.00万元。本年支出</w:t>
      </w:r>
      <w:r>
        <w:rPr>
          <w:rFonts w:ascii="方正仿宋_GBK" w:hAnsi="方正仿宋_GBK" w:eastAsia="方正仿宋_GBK" w:cs="方正仿宋_GBK"/>
          <w:sz w:val="32"/>
          <w:szCs w:val="32"/>
        </w:rPr>
        <w:t>2000.00</w:t>
      </w:r>
      <w:r>
        <w:rPr>
          <w:rFonts w:ascii="方正仿宋_GBK" w:hAnsi="方正仿宋_GBK" w:eastAsia="方正仿宋_GBK" w:cs="方正仿宋_GBK"/>
          <w:sz w:val="32"/>
          <w:szCs w:val="32"/>
          <w:shd w:val="clear" w:color="auto" w:fill="FFFFFF"/>
        </w:rPr>
        <w:t>万元，与2023年度相比，增加2000.00万元，增长100.00%，主要原因是增加园区体制资金补助项目2000.00万元。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bookmarkStart w:id="0" w:name="_GoBack"/>
      <w:bookmarkEnd w:id="0"/>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178.44</w:t>
      </w:r>
      <w:r>
        <w:rPr>
          <w:rFonts w:ascii="方正仿宋_GBK" w:hAnsi="方正仿宋_GBK" w:eastAsia="方正仿宋_GBK" w:cs="方正仿宋_GBK"/>
          <w:sz w:val="32"/>
          <w:szCs w:val="32"/>
          <w:shd w:val="clear" w:color="auto" w:fill="FFFFFF"/>
        </w:rPr>
        <w:t>万元，较年初预算数增加172.44万元，主要原因是</w:t>
      </w:r>
      <w:r>
        <w:rPr>
          <w:rFonts w:ascii="仿宋_GB2312" w:hAnsi="仿宋" w:eastAsia="仿宋_GB2312"/>
          <w:sz w:val="32"/>
          <w:szCs w:val="32"/>
        </w:rPr>
        <w:t>本年度招商接待费纳入公务接待统计</w:t>
      </w:r>
      <w:r>
        <w:rPr>
          <w:rFonts w:ascii="方正仿宋_GBK" w:hAnsi="方正仿宋_GBK" w:eastAsia="方正仿宋_GBK" w:cs="方正仿宋_GBK"/>
          <w:sz w:val="32"/>
          <w:szCs w:val="32"/>
          <w:shd w:val="clear" w:color="auto" w:fill="FFFFFF"/>
        </w:rPr>
        <w:t>。较上年支出数增加113.17万元，增长173.39%，主要原因是</w:t>
      </w:r>
      <w:r>
        <w:rPr>
          <w:rFonts w:ascii="仿宋_GB2312" w:hAnsi="仿宋" w:eastAsia="仿宋_GB2312"/>
          <w:sz w:val="32"/>
          <w:szCs w:val="32"/>
        </w:rPr>
        <w:t>本年度招商势头良好，为发展阀门产业园，邀请客商来垫考察人数增加，包含市外驻点招商接待费用</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主要用于机要文件交换、接待招商引资客商、市内因公出行、安全环保业务检查等工作所需车辆的燃料费、维修费、过桥过路费、保险费等。费用支出较年初预算数无增减，主要原因是响应政府过紧日子要求，按需支出。较上年支出数减少1.00万元，下降20.00%，主要原因是响应政府过紧日子要求，财政减少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174.44</w:t>
      </w:r>
      <w:r>
        <w:rPr>
          <w:rFonts w:ascii="方正仿宋_GBK" w:hAnsi="方正仿宋_GBK" w:eastAsia="方正仿宋_GBK" w:cs="方正仿宋_GBK"/>
          <w:sz w:val="32"/>
          <w:szCs w:val="32"/>
          <w:shd w:val="clear" w:color="auto" w:fill="FFFFFF"/>
        </w:rPr>
        <w:t>万元，主要用于接待招商引资客商及其他公务接待。费用支出较年初预算数增加172.44万元，增长8622.00%，主要原因是本年招商势头良好，调整增加预算。较上年支出数增加114.17万元，增长189.43%，主要原因是本年招商势头良好，为发展阀门产业园，邀请客商来垫考察人数增加，包含市外驻点招商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497</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8723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199.98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万元，与2023年度相比，减少0.48万元，下降60.00%，主要原因是招商会议减少。本年度培训费支出</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万元，与2023年度相比，增加0.09万元，增长11.25%，主要原因是</w:t>
      </w:r>
      <w:r>
        <w:rPr>
          <w:rFonts w:ascii="仿宋_GB2312" w:hAnsi="仿宋" w:eastAsia="仿宋_GB2312"/>
          <w:sz w:val="32"/>
          <w:szCs w:val="32"/>
        </w:rPr>
        <w:t>本年市外培训费用增加。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52.61</w:t>
      </w:r>
      <w:r>
        <w:rPr>
          <w:rFonts w:ascii="方正仿宋_GBK" w:hAnsi="方正仿宋_GBK" w:eastAsia="方正仿宋_GBK" w:cs="方正仿宋_GBK"/>
          <w:sz w:val="32"/>
          <w:szCs w:val="32"/>
          <w:shd w:val="clear" w:color="auto" w:fill="FFFFFF"/>
        </w:rPr>
        <w:t>万元，机关运行经费主要用于开支办公费、公务车运行维护费、差旅费、邮电费、租赁费等。机关运行经费较上年支出数增加0.23万元，增长0.44%，主要原因是政策性增员增资。</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2"/>
        <w:spacing w:before="0" w:beforeAutospacing="0" w:after="0" w:afterAutospacing="0" w:line="596" w:lineRule="exact"/>
        <w:ind w:firstLine="640" w:firstLineChars="200"/>
        <w:rPr>
          <w:rStyle w:val="10"/>
          <w:rFonts w:ascii="黑体" w:hAnsi="黑体" w:eastAsia="黑体" w:cs="黑体"/>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度我单位未发生政府采购事项，无相关经费支出</w:t>
      </w:r>
      <w:r>
        <w:rPr>
          <w:rFonts w:hint="eastAsia" w:ascii="方正仿宋_GBK" w:hAnsi="方正仿宋_GBK" w:eastAsia="方正仿宋_GBK" w:cs="方正仿宋_GBK"/>
          <w:sz w:val="32"/>
          <w:szCs w:val="32"/>
          <w:shd w:val="clear" w:color="auto" w:fill="FFFFFF"/>
        </w:rPr>
        <w:t>。</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根据预算绩效管理要求，我单位对11个二级项目开展了绩效自评，涉及财政拨款项目支出资金20092.38万元</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drawing>
          <wp:anchor distT="0" distB="0" distL="114300" distR="114300" simplePos="0" relativeHeight="251659264" behindDoc="0" locked="0" layoutInCell="1" allowOverlap="1">
            <wp:simplePos x="0" y="0"/>
            <wp:positionH relativeFrom="column">
              <wp:posOffset>273050</wp:posOffset>
            </wp:positionH>
            <wp:positionV relativeFrom="paragraph">
              <wp:posOffset>88265</wp:posOffset>
            </wp:positionV>
            <wp:extent cx="5274310" cy="3391535"/>
            <wp:effectExtent l="0" t="0" r="2540" b="18415"/>
            <wp:wrapTopAndBottom/>
            <wp:docPr id="7" name="图片 7" descr="0ec8b83be21dc858df27e6baed987e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ec8b83be21dc858df27e6baed987e6f"/>
                    <pic:cNvPicPr>
                      <a:picLocks noChangeAspect="1"/>
                    </pic:cNvPicPr>
                  </pic:nvPicPr>
                  <pic:blipFill>
                    <a:blip r:embed="rId7"/>
                    <a:stretch>
                      <a:fillRect/>
                    </a:stretch>
                  </pic:blipFill>
                  <pic:spPr>
                    <a:xfrm>
                      <a:off x="0" y="0"/>
                      <a:ext cx="5274310" cy="3391535"/>
                    </a:xfrm>
                    <a:prstGeom prst="rect">
                      <a:avLst/>
                    </a:prstGeom>
                  </pic:spPr>
                </pic:pic>
              </a:graphicData>
            </a:graphic>
          </wp:anchor>
        </w:drawing>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lang w:bidi="ar"/>
        </w:rPr>
        <w:t>我单位未组织开展绩效评价。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刘老师   023-74513729</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重庆垫江高新技术产业开发区管理委员会（本级）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19,820.62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12,035.31</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0.89</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7,130.00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52.47</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19.61</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23.13</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21,820.62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22,461.41</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640.79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22,461.41</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22,461.41</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重庆垫江高新技术产业开发区管理委员会（本级）</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21,820.62</w:t>
            </w:r>
            <w:r>
              <w:rPr>
                <w:rFonts w:ascii="Times New Roman" w:hAnsi="Times New Roman"/>
                <w:b/>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21,820.62</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11,394.52</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11,394.52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11,394.52</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11,394.52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272.95</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272.95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11,121.57</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11,121.57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0.89</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0.89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650.00</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其他科学技术管理事务支出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6,480.00</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6,480.00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52.47</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52.47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52.45</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52.45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27.79</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27.79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13.89</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13.89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10.77</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10.77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19.61</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23.13</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23.13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重庆垫江高新技术产业开发区管理委员会（本级）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22,461.41</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369.04</w:t>
            </w:r>
            <w:r>
              <w:rPr>
                <w:rFonts w:ascii="Times New Roman" w:hAnsi="Times New Roman"/>
                <w:b/>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22,092.38</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12,035.31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272.95</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11,762.36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12,035.31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272.95</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11,762.36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272.95</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272.95</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11,762.36</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11,762.36</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0.89</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0.89</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650.00</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其他科学技术管理事务支出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6,480.00</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6,480.00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52.47</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52.45</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0.02</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52.45</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52.45</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27.79</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27.79</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13.89</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13.89</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10.77</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10.77</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19.61</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19.61</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23.13</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23.13</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重庆垫江高新技术产业开发区管理委员会（本级）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19,820.62</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12,035.31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12,035.31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0.89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0.89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7,130.00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7,130.00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52.47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52.47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19.61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19.61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23.13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23.13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21,820.62</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22,461.41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20,461.41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640.79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640.79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22,461.41</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22,461.41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20,461.41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重庆垫江高新技术产业开发区管理委员会（本级）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20,461.41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369.04</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20,092.38</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12,035.31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272.95</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11,762.36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12,035.31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272.95</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11,762.36</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272.95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272.95</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11,762.36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11,762.36</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0.89</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0.89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0.89</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7,130.00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7,130.00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7,130.00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650.00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650.00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其他科学技术管理事务支出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6,480.00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6,480.00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52.47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52.45</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0.02</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0.02</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52.45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52.45</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27.79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27.79</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13.89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13.89</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10.77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10.77</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19.61</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19.61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19.61</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1,200.00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1,200.00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23.13</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23.13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23.13</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重庆垫江高新技术产业开发区管理委员会（本级）</w:t>
            </w: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303.74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46.80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5.80</w:t>
            </w: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65.68</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2.10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49.62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0.10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5.80</w:t>
            </w: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93.84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0.17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27.79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13.89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4.73</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19.61</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0.50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23.13</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3.04</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6.63</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12.69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0.30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0.89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2.00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11.89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0.80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18.39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2.29</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4.00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11.62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0.21</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316.43</w:t>
            </w:r>
            <w:r>
              <w:rPr>
                <w:rFonts w:ascii="Times New Roman" w:hAnsi="Times New Roman"/>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52.61</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重庆垫江高新技术产业开发区管理委员会（本级）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2,000.00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重庆垫江高新技术产业开发区管理委员会（本级）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重庆垫江高新技术产业开发区管理委员会（本级）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w:t>
            </w:r>
            <w:r>
              <w:rPr>
                <w:rFonts w:hint="eastAsia" w:cs="宋体"/>
                <w:b/>
                <w:kern w:val="2"/>
                <w:sz w:val="16"/>
                <w:szCs w:val="16"/>
                <w:lang w:eastAsia="zh-CN"/>
              </w:rPr>
              <w:t>三公</w:t>
            </w:r>
            <w:r>
              <w:rPr>
                <w:rFonts w:cs="宋体"/>
                <w:b/>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52.61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178.44</w:t>
            </w: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178.44</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52.61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4.00</w:t>
            </w: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4.00</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4.00</w:t>
            </w: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4.00</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174.44</w:t>
            </w: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174.44</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174.44</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497</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8,723</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0.32</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0.89</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151.48</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076247"/>
    <w:rsid w:val="001D3BB7"/>
    <w:rsid w:val="002B254B"/>
    <w:rsid w:val="0034050A"/>
    <w:rsid w:val="003D379A"/>
    <w:rsid w:val="0044504F"/>
    <w:rsid w:val="00466C9B"/>
    <w:rsid w:val="00486CFC"/>
    <w:rsid w:val="00491DDD"/>
    <w:rsid w:val="004E5A06"/>
    <w:rsid w:val="00550ABE"/>
    <w:rsid w:val="00623A85"/>
    <w:rsid w:val="00770383"/>
    <w:rsid w:val="007819D4"/>
    <w:rsid w:val="007B419D"/>
    <w:rsid w:val="007B7C4B"/>
    <w:rsid w:val="007D3D39"/>
    <w:rsid w:val="00984C6A"/>
    <w:rsid w:val="00994AF7"/>
    <w:rsid w:val="009B67B8"/>
    <w:rsid w:val="009C14C9"/>
    <w:rsid w:val="009D2B67"/>
    <w:rsid w:val="009D3A5D"/>
    <w:rsid w:val="009E1452"/>
    <w:rsid w:val="00A0394C"/>
    <w:rsid w:val="00A566F9"/>
    <w:rsid w:val="00AF2751"/>
    <w:rsid w:val="00B03CCD"/>
    <w:rsid w:val="00B10E8F"/>
    <w:rsid w:val="00BE2B89"/>
    <w:rsid w:val="00BE386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4B5097"/>
    <w:rsid w:val="0B9335CE"/>
    <w:rsid w:val="0BF2311A"/>
    <w:rsid w:val="0C7927C4"/>
    <w:rsid w:val="0C9B098C"/>
    <w:rsid w:val="0D076C40"/>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963A3E"/>
    <w:rsid w:val="14A475D6"/>
    <w:rsid w:val="163A6CEE"/>
    <w:rsid w:val="16C84EA6"/>
    <w:rsid w:val="173708E3"/>
    <w:rsid w:val="174171F1"/>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A0370D"/>
    <w:rsid w:val="1ECF0A66"/>
    <w:rsid w:val="1EF67CA4"/>
    <w:rsid w:val="1F020D3A"/>
    <w:rsid w:val="1F2C5189"/>
    <w:rsid w:val="1F4B0B02"/>
    <w:rsid w:val="1FBB35CD"/>
    <w:rsid w:val="1FCD26AF"/>
    <w:rsid w:val="20276154"/>
    <w:rsid w:val="20642787"/>
    <w:rsid w:val="21556F04"/>
    <w:rsid w:val="22403BD3"/>
    <w:rsid w:val="22AD3177"/>
    <w:rsid w:val="235417B6"/>
    <w:rsid w:val="240D3F63"/>
    <w:rsid w:val="24B92327"/>
    <w:rsid w:val="24C14514"/>
    <w:rsid w:val="252D4D73"/>
    <w:rsid w:val="2533755C"/>
    <w:rsid w:val="25791755"/>
    <w:rsid w:val="26396DF4"/>
    <w:rsid w:val="27167136"/>
    <w:rsid w:val="271B442C"/>
    <w:rsid w:val="27B23302"/>
    <w:rsid w:val="288208C1"/>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1044F8"/>
    <w:rsid w:val="32285F6F"/>
    <w:rsid w:val="32770556"/>
    <w:rsid w:val="329C0913"/>
    <w:rsid w:val="32AA0460"/>
    <w:rsid w:val="33061435"/>
    <w:rsid w:val="3337290D"/>
    <w:rsid w:val="33E31118"/>
    <w:rsid w:val="33EF7674"/>
    <w:rsid w:val="342D7BC6"/>
    <w:rsid w:val="352930DB"/>
    <w:rsid w:val="35573069"/>
    <w:rsid w:val="355F6038"/>
    <w:rsid w:val="358C217E"/>
    <w:rsid w:val="360D7E76"/>
    <w:rsid w:val="36C9128A"/>
    <w:rsid w:val="37841E99"/>
    <w:rsid w:val="37BF1123"/>
    <w:rsid w:val="383C3F15"/>
    <w:rsid w:val="38BE4696"/>
    <w:rsid w:val="3939115E"/>
    <w:rsid w:val="39B82A39"/>
    <w:rsid w:val="39C42CA8"/>
    <w:rsid w:val="39DC4FD6"/>
    <w:rsid w:val="39F03D7A"/>
    <w:rsid w:val="39F33306"/>
    <w:rsid w:val="3A02366F"/>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0B593D"/>
    <w:rsid w:val="411B6CE5"/>
    <w:rsid w:val="412070D7"/>
    <w:rsid w:val="41314E40"/>
    <w:rsid w:val="41E0734B"/>
    <w:rsid w:val="426C1EA8"/>
    <w:rsid w:val="42736402"/>
    <w:rsid w:val="42E86A87"/>
    <w:rsid w:val="43307B09"/>
    <w:rsid w:val="439A3EB9"/>
    <w:rsid w:val="43BB152F"/>
    <w:rsid w:val="447C53F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7B1A4E"/>
    <w:rsid w:val="4B135857"/>
    <w:rsid w:val="4B7951CB"/>
    <w:rsid w:val="4B7C315C"/>
    <w:rsid w:val="4D1F53CA"/>
    <w:rsid w:val="4DAC4ACA"/>
    <w:rsid w:val="4DBE01D2"/>
    <w:rsid w:val="4EFD467F"/>
    <w:rsid w:val="4F0C6BA3"/>
    <w:rsid w:val="4F186D58"/>
    <w:rsid w:val="501940AE"/>
    <w:rsid w:val="504B6EAA"/>
    <w:rsid w:val="50F06B6E"/>
    <w:rsid w:val="51D21804"/>
    <w:rsid w:val="521E1766"/>
    <w:rsid w:val="52234D33"/>
    <w:rsid w:val="522F6E0C"/>
    <w:rsid w:val="52463BA1"/>
    <w:rsid w:val="52F163D4"/>
    <w:rsid w:val="531A2DB4"/>
    <w:rsid w:val="531C2826"/>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F6159C"/>
    <w:rsid w:val="5842572D"/>
    <w:rsid w:val="5A3B59D6"/>
    <w:rsid w:val="5A9D2EB7"/>
    <w:rsid w:val="5AD134D8"/>
    <w:rsid w:val="5BF41F67"/>
    <w:rsid w:val="5C263CE4"/>
    <w:rsid w:val="5C5D2777"/>
    <w:rsid w:val="5CF66BF3"/>
    <w:rsid w:val="5D290C69"/>
    <w:rsid w:val="5DA80C2C"/>
    <w:rsid w:val="5F274ED7"/>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2129B8"/>
    <w:rsid w:val="726E7CF0"/>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10473</Words>
  <Characters>14515</Characters>
  <Lines>127</Lines>
  <Paragraphs>35</Paragraphs>
  <TotalTime>6</TotalTime>
  <ScaleCrop>false</ScaleCrop>
  <LinksUpToDate>false</LinksUpToDate>
  <CharactersWithSpaces>15792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2025-09-18T07:55:33Z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