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垫江县高新区服务中心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pacing w:before="0" w:beforeAutospacing="0" w:after="0" w:afterAutospacing="0" w:line="596" w:lineRule="exact"/>
        <w:rPr>
          <w:rFonts w:hint="default"/>
          <w:sz w:val="27"/>
          <w:szCs w:val="27"/>
          <w:shd w:val="clear" w:color="auto" w:fill="FFFF00"/>
        </w:rPr>
      </w:pP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根据《垫江县高新区服务中心机构职能编制方案》，职能职责如下：</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根据高新区发展需要，协助做好高新区发展建设、产业规划、招商引资、项目建设 、园区管理等各项工作，为入驻工业企业提供从企业开办到建设生产的全周期服务。</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1.负责为高新区管委会提供战略设计、发展规划、政策分析、管理模式等方面的研究服务；协助高新区管委会开展招商引资和企业服务具体工作；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2.协助做好高新区重大投资项目建设的具体工作；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3.负责协助推进审批服务便民化工作，协助高新区内企业办理相关手续，提供代办服务；负责提供产业导向、财税、法律、技术等咨询服务；</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4.负责协同解决高新区内企业用地、用水、用电、用气等方面的问题；</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5.跟踪落实相关优惠政策兑现情况；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6.负责受理高新区内企业投诉、信访，协助解决企业诉求；</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7.承办高新区管委会交办的其他任务。</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按照优化协同高效原则，调整县高新区服务中心内设机构，调整后设置7个内设机构。</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（一）综合科。负责中心日常事务。负责公文处理、档案、后勤管理等工作。参与高新区（工业园区）重要会议、重大活动的策划、组织、宣传工作。 </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（二）财务服务科。协助开展高新区（工业园区）管委会财政预决算、财务收支管理、资产管理工作。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（三）招商服务科。参与招商项目策划、包装、宣传、推介工作；负责开展入驻高新区产业项目跟踪服务、履约监管、招商政策兑现，以及后续跟踪服务等具体工作。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（四）惠企服务科。为入驻工业企业提供行政审批手续代办服务。负责承办惠企政策申报、兑现等相关具体工作。负责提供产业政策、财务税收、技术转化等咨询服务。</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（五）建设工程服务科。负责协助推进工业建设项目、基础设施及配套设施建设项目建设工作，负责提供建设工程设计、施工建设、综合验收等技术支撑服务。</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（六）要素保障科。负责协调电力、自来水、燃气、通信等公用企业，保障入园企业水、电、气等建设和供给服务工作。负责组织协调金融机构支持企业项目建设和生产经营等服务工作。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（七）安全应急环保服务科。协助开展安全生产、环境保护工作，负责组织编制安全生产和环境保护应急预案。协助开展高新区（工业园区）应急救援、生态修复有关工作</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hint="default" w:ascii="黑体" w:hAnsi="黑体" w:eastAsia="黑体" w:cs="黑体"/>
          <w:sz w:val="32"/>
          <w:szCs w:val="32"/>
          <w:shd w:val="clear" w:color="auto" w:fill="FFFFFF"/>
        </w:rPr>
        <w:t>二、</w:t>
      </w:r>
      <w:r>
        <w:rPr>
          <w:rStyle w:val="10"/>
          <w:rFonts w:ascii="黑体" w:hAnsi="黑体" w:eastAsia="黑体" w:cs="黑体"/>
          <w:sz w:val="32"/>
          <w:szCs w:val="32"/>
          <w:shd w:val="clear" w:color="auto" w:fill="FFFFFF"/>
        </w:rPr>
        <w:t>单位</w:t>
      </w:r>
      <w:r>
        <w:rPr>
          <w:rStyle w:val="10"/>
          <w:rFonts w:hint="default" w:ascii="黑体" w:hAnsi="黑体" w:eastAsia="黑体" w:cs="黑体"/>
          <w:sz w:val="32"/>
          <w:szCs w:val="32"/>
          <w:shd w:val="clear" w:color="auto" w:fill="FFFFFF"/>
        </w:rPr>
        <w:t>决算</w:t>
      </w:r>
      <w:r>
        <w:rPr>
          <w:rStyle w:val="10"/>
          <w:rFonts w:ascii="黑体" w:hAnsi="黑体" w:eastAsia="黑体" w:cs="黑体"/>
          <w:sz w:val="32"/>
          <w:szCs w:val="32"/>
          <w:shd w:val="clear" w:color="auto" w:fill="FFFFFF"/>
        </w:rPr>
        <w:t>收支</w:t>
      </w:r>
      <w:r>
        <w:rPr>
          <w:rStyle w:val="10"/>
          <w:rFonts w:hint="default" w:ascii="黑体" w:hAnsi="黑体" w:eastAsia="黑体" w:cs="黑体"/>
          <w:sz w:val="32"/>
          <w:szCs w:val="32"/>
          <w:shd w:val="clear" w:color="auto" w:fill="FFFFFF"/>
        </w:rPr>
        <w:t>情况说明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2024年度收入总计620.58万元，支出总计</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万元。收、支与2023年度相比，增加22.82万元，增长3.80%，主要原因是政策性增员增资。</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2024年度收入合计620.58万元，与2023年度相比，增加22.82万元，增长3.80%，主要原因是政策性增员增资。其中：财政拨款收入</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万元，与2023年度相比，增加22.82万元，增长3.80%，主要原因是政策性增员增资。其中：基本支出</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9"/>
        <w:ind w:left="360" w:firstLine="0" w:firstLineChars="0"/>
        <w:rPr>
          <w:rFonts w:hint="eastAsia" w:ascii="Times New Roman" w:hAnsi="Times New Roman" w:eastAsia="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本年度与上年度均无结转结余</w:t>
      </w:r>
      <w:r>
        <w:rPr>
          <w:rFonts w:hint="eastAsia" w:ascii="Times New Roman" w:hAnsi="Times New Roman" w:eastAsia="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2024年度财政拨款收、支总计620.58万元。与2023年相比，财政拨款收、支总计各增加22.82万元，增长3.80%。主要原因是政策性增员增资。</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万元，与2023年度相比，增加22.82万元，增长3.8%。主要原因是政策性增员增资。较年初预算数增加58.23万元，增长10.4%。主要原因是政策性增员增资。此外，年初财政拨款结转和结余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万元，与2023年度相比，增加22.82万元，增长3.80%。主要原因是政策性增员增资。较年初预算数增加58.23万元，增长10.40%。主要原因是政策性增员增资。</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本年度与上年度均无结转结余。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466.81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75.22</w:t>
      </w:r>
      <w:r>
        <w:rPr>
          <w:rFonts w:ascii="方正仿宋_GBK" w:hAnsi="方正仿宋_GBK" w:eastAsia="方正仿宋_GBK" w:cs="方正仿宋_GBK"/>
          <w:sz w:val="32"/>
          <w:szCs w:val="32"/>
          <w:shd w:val="clear" w:color="auto" w:fill="FFFFFF"/>
        </w:rPr>
        <w:t>%，较年初预算数增加10.49万元，增长2.30%，主要原因是政策性增员增资。</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%，较年初预算数无增减，主要原因是按需预算支出。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87.19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14.05</w:t>
      </w:r>
      <w:r>
        <w:rPr>
          <w:rFonts w:ascii="方正仿宋_GBK" w:hAnsi="方正仿宋_GBK" w:eastAsia="方正仿宋_GBK" w:cs="方正仿宋_GBK"/>
          <w:sz w:val="32"/>
          <w:szCs w:val="32"/>
          <w:shd w:val="clear" w:color="auto" w:fill="FFFFFF"/>
        </w:rPr>
        <w:t>%，较年初预算数增加31.39万元，增长56.30%，主要原因是政策性增员增资。</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27.85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4.49</w:t>
      </w:r>
      <w:r>
        <w:rPr>
          <w:rFonts w:ascii="方正仿宋_GBK" w:hAnsi="方正仿宋_GBK" w:eastAsia="方正仿宋_GBK" w:cs="方正仿宋_GBK"/>
          <w:sz w:val="32"/>
          <w:szCs w:val="32"/>
          <w:shd w:val="clear" w:color="auto" w:fill="FFFFFF"/>
        </w:rPr>
        <w:t>%，较年初预算数增加5.79万元，增长26.30%，主要原因是政策性增员增资。</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住房保障支出37.02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5.97</w:t>
      </w:r>
      <w:r>
        <w:rPr>
          <w:rFonts w:ascii="方正仿宋_GBK" w:hAnsi="方正仿宋_GBK" w:eastAsia="方正仿宋_GBK" w:cs="方正仿宋_GBK"/>
          <w:sz w:val="32"/>
          <w:szCs w:val="32"/>
          <w:shd w:val="clear" w:color="auto" w:fill="FFFFFF"/>
        </w:rPr>
        <w:t>%，较年初预算数增加10.55万元，增长39.90%，主要原因是政策性增员增资。</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620.58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580.80</w:t>
      </w:r>
      <w:r>
        <w:rPr>
          <w:rFonts w:ascii="方正仿宋_GBK" w:hAnsi="方正仿宋_GBK" w:eastAsia="方正仿宋_GBK" w:cs="方正仿宋_GBK"/>
          <w:sz w:val="32"/>
          <w:szCs w:val="32"/>
          <w:shd w:val="clear" w:color="auto" w:fill="FFFFFF"/>
        </w:rPr>
        <w:t>万元，与2023年度相比，增加55.59万元，增长10.60%，主要原因是政策性增员增资。人员经费用途主要包括保障在职人员工资福利及社会保险缴费、离休人员离休费、退休人员补助等。公用经费</w:t>
      </w:r>
      <w:r>
        <w:rPr>
          <w:rFonts w:ascii="方正仿宋_GBK" w:hAnsi="方正仿宋_GBK" w:eastAsia="方正仿宋_GBK" w:cs="方正仿宋_GBK"/>
          <w:sz w:val="32"/>
          <w:szCs w:val="32"/>
        </w:rPr>
        <w:t>39.79</w:t>
      </w:r>
      <w:r>
        <w:rPr>
          <w:rFonts w:ascii="方正仿宋_GBK" w:hAnsi="方正仿宋_GBK" w:eastAsia="方正仿宋_GBK" w:cs="方正仿宋_GBK"/>
          <w:sz w:val="32"/>
          <w:szCs w:val="32"/>
          <w:shd w:val="clear" w:color="auto" w:fill="FFFFFF"/>
        </w:rPr>
        <w:t>万元，与2023年度相比，减少32.75万元，下降45.20%，主要原因是</w:t>
      </w:r>
      <w:r>
        <w:rPr>
          <w:rFonts w:ascii="仿宋_GB2312" w:hAnsi="仿宋" w:eastAsia="仿宋_GB2312"/>
          <w:sz w:val="32"/>
          <w:szCs w:val="32"/>
        </w:rPr>
        <w:t>响应政府过紧日子要求，按需支出。</w:t>
      </w:r>
      <w:r>
        <w:rPr>
          <w:rFonts w:ascii="方正仿宋_GBK" w:hAnsi="方正仿宋_GBK" w:eastAsia="方正仿宋_GBK" w:cs="方正仿宋_GBK"/>
          <w:sz w:val="32"/>
          <w:szCs w:val="32"/>
          <w:shd w:val="clear" w:color="auto" w:fill="FFFFFF"/>
        </w:rPr>
        <w:t>公用经费用途主要包括保障部门正常运转的各项商品服务支出。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1"/>
        <w:autoSpaceDE w:val="0"/>
        <w:ind w:firstLine="64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是本年度无政府性基金预算财政拨款支出。本单位2024年度无政府性基金预算财政拨款收支。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bookmarkStart w:id="0" w:name="_GoBack"/>
      <w:bookmarkEnd w:id="0"/>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经费支出。较上年支出数无增减，主要原因是我单位本年及上年均未发生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11"/>
        <w:autoSpaceDE w:val="0"/>
        <w:spacing w:line="58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r>
        <w:rPr>
          <w:rFonts w:hint="eastAsia" w:ascii="方正仿宋_GBK" w:hAnsi="方正仿宋_GBK" w:eastAsia="方正仿宋_GBK" w:cs="方正仿宋_GBK"/>
          <w:sz w:val="32"/>
          <w:szCs w:val="32"/>
          <w:shd w:val="clear" w:color="auto" w:fill="FFFFFF"/>
        </w:rPr>
        <w:t xml:space="preserve">  </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0.80</w:t>
      </w:r>
      <w:r>
        <w:rPr>
          <w:rFonts w:ascii="方正仿宋_GBK" w:hAnsi="方正仿宋_GBK" w:eastAsia="方正仿宋_GBK" w:cs="方正仿宋_GBK"/>
          <w:sz w:val="32"/>
          <w:szCs w:val="32"/>
          <w:shd w:val="clear" w:color="auto" w:fill="FFFFFF"/>
        </w:rPr>
        <w:t>万元，与2023年度相比，减少0.36万元，下降31.00%，主要原因是招商会议减少。本年度培训费支出</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万元，与2023年度相比，增加1.68万元，增长5600.00%，主要原因是</w:t>
      </w:r>
      <w:r>
        <w:rPr>
          <w:rFonts w:ascii="仿宋_GB2312" w:hAnsi="仿宋" w:eastAsia="仿宋_GB2312"/>
          <w:sz w:val="32"/>
          <w:szCs w:val="32"/>
        </w:rPr>
        <w:t>本年市外培训费用增加</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2024年度本单位机关运行经费支出0.00万元。机关运行经费较上年支出数无增减。</w:t>
      </w: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2"/>
        <w:spacing w:before="0" w:beforeAutospacing="0" w:after="0" w:afterAutospacing="0" w:line="596" w:lineRule="exact"/>
        <w:ind w:firstLine="640" w:firstLineChars="200"/>
        <w:rPr>
          <w:rStyle w:val="10"/>
          <w:rFonts w:ascii="黑体" w:hAnsi="黑体" w:eastAsia="黑体" w:cs="黑体"/>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度我单位未发生政府采购事项，无相关经费支出</w:t>
      </w:r>
      <w:r>
        <w:rPr>
          <w:rFonts w:hint="eastAsia" w:ascii="方正仿宋_GBK" w:hAnsi="方正仿宋_GBK" w:eastAsia="方正仿宋_GBK" w:cs="方正仿宋_GBK"/>
          <w:sz w:val="32"/>
          <w:szCs w:val="32"/>
          <w:shd w:val="clear" w:color="auto" w:fill="FFFFFF"/>
        </w:rPr>
        <w:t>。</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根据预算绩效管理要求，我单位属重庆垫江高新技术产业开发区管理委员会下属单位，202</w:t>
      </w: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年未开展项目自评，涉及项目支出资金0</w:t>
      </w:r>
      <w:r>
        <w:rPr>
          <w:rFonts w:hint="eastAsia" w:ascii="方正仿宋_GBK" w:hAnsi="方正仿宋_GBK" w:eastAsia="方正仿宋_GBK" w:cs="方正仿宋_GBK"/>
          <w:sz w:val="32"/>
          <w:szCs w:val="32"/>
        </w:rPr>
        <w:t>.00</w:t>
      </w:r>
      <w:r>
        <w:rPr>
          <w:rFonts w:ascii="方正仿宋_GBK" w:hAnsi="方正仿宋_GBK" w:eastAsia="方正仿宋_GBK" w:cs="方正仿宋_GBK"/>
          <w:sz w:val="32"/>
          <w:szCs w:val="32"/>
        </w:rPr>
        <w:t>万元。</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我单位未组织开展绩效评价。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刘老师   023-74513729</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垫江县高新区服务中心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620.58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1.71</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87.19</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37.02</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620.58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620.58</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620.58</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620.58</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垫江县高新区服务中心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1.71</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57.24</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57.24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27.15</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27.15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2.80</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37.02</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37.02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垫江县高新区服务中心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26"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466.81</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1.71</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1.71</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57.24</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57.24</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27.15</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27.15</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2.80</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27.85</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37.02</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37.02</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垫江县高新区服务中心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466.81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466.81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87.19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87.19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27.85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27.85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37.02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37.02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620.58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垫江县高新区服务中心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620.58</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466.81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466.81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466.81</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1.71</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87.19</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57.24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57.24</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27.15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27.15</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2.80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2.80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27.85</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27.85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27.85</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37.02</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37.02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37.02</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垫江县高新区服务中心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577.06</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39.79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119.97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2.82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4.59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282.59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57.24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27.15</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0.13</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27.85</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0.66</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2.64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37.02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16.68</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3.31</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3.74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0.80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1.71</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3.54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0.20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18.15</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9.29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580.80</w:t>
            </w:r>
            <w:r>
              <w:rPr>
                <w:rFonts w:ascii="Times New Roman" w:hAnsi="Times New Roman"/>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39.79</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垫江县高新区服务中心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垫江县高新区服务中心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垫江县高新区服务中心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w:t>
            </w:r>
            <w:r>
              <w:rPr>
                <w:rFonts w:hint="eastAsia" w:cs="宋体"/>
                <w:b/>
                <w:kern w:val="2"/>
                <w:sz w:val="16"/>
                <w:szCs w:val="16"/>
                <w:lang w:eastAsia="zh-CN"/>
              </w:rPr>
              <w:t>三公</w:t>
            </w:r>
            <w:r>
              <w:rPr>
                <w:rFonts w:cs="宋体"/>
                <w:b/>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0.80</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1.71</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2.64</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A410E"/>
    <w:rsid w:val="001D3BB7"/>
    <w:rsid w:val="002B254B"/>
    <w:rsid w:val="002E50BB"/>
    <w:rsid w:val="0034050A"/>
    <w:rsid w:val="0044504F"/>
    <w:rsid w:val="00466C9B"/>
    <w:rsid w:val="00486CFC"/>
    <w:rsid w:val="00491DDD"/>
    <w:rsid w:val="00550ABE"/>
    <w:rsid w:val="005E1FE6"/>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EF1189"/>
    <w:rsid w:val="00F73F90"/>
    <w:rsid w:val="00FB4B3B"/>
    <w:rsid w:val="01474EBF"/>
    <w:rsid w:val="01F3521E"/>
    <w:rsid w:val="030F5AD1"/>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0B45C6"/>
    <w:rsid w:val="0C7927C4"/>
    <w:rsid w:val="0C9B098C"/>
    <w:rsid w:val="0D673E11"/>
    <w:rsid w:val="0DDA54E4"/>
    <w:rsid w:val="0E3A5F83"/>
    <w:rsid w:val="0F836721"/>
    <w:rsid w:val="0FA25D96"/>
    <w:rsid w:val="10472DC7"/>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071C63"/>
    <w:rsid w:val="1F2C5189"/>
    <w:rsid w:val="1F4B0B02"/>
    <w:rsid w:val="1FBB35CD"/>
    <w:rsid w:val="1FCD26AF"/>
    <w:rsid w:val="20642787"/>
    <w:rsid w:val="21556F04"/>
    <w:rsid w:val="22403BD3"/>
    <w:rsid w:val="22AD3177"/>
    <w:rsid w:val="235417B6"/>
    <w:rsid w:val="244B4B31"/>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525736"/>
    <w:rsid w:val="2B8209DE"/>
    <w:rsid w:val="2B821C91"/>
    <w:rsid w:val="2BF81A22"/>
    <w:rsid w:val="2C636760"/>
    <w:rsid w:val="2C6762A3"/>
    <w:rsid w:val="2D8A0B41"/>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0C54C2B"/>
    <w:rsid w:val="411B6CE5"/>
    <w:rsid w:val="412070D7"/>
    <w:rsid w:val="41314E40"/>
    <w:rsid w:val="41E0734B"/>
    <w:rsid w:val="426C1EA8"/>
    <w:rsid w:val="42736402"/>
    <w:rsid w:val="42E86A87"/>
    <w:rsid w:val="43307B09"/>
    <w:rsid w:val="439A3EB9"/>
    <w:rsid w:val="43BB152F"/>
    <w:rsid w:val="44910443"/>
    <w:rsid w:val="44C37687"/>
    <w:rsid w:val="45962775"/>
    <w:rsid w:val="45CB699A"/>
    <w:rsid w:val="46423C66"/>
    <w:rsid w:val="465B470D"/>
    <w:rsid w:val="469D6AD4"/>
    <w:rsid w:val="471E6C84"/>
    <w:rsid w:val="4748792B"/>
    <w:rsid w:val="475D719D"/>
    <w:rsid w:val="47674801"/>
    <w:rsid w:val="48225EF7"/>
    <w:rsid w:val="488F422B"/>
    <w:rsid w:val="48E36915"/>
    <w:rsid w:val="48EB6572"/>
    <w:rsid w:val="4908483A"/>
    <w:rsid w:val="495C4A24"/>
    <w:rsid w:val="497135DF"/>
    <w:rsid w:val="4A263DF2"/>
    <w:rsid w:val="4A2F278B"/>
    <w:rsid w:val="4A6F6675"/>
    <w:rsid w:val="4B135857"/>
    <w:rsid w:val="4B7951CB"/>
    <w:rsid w:val="4B7C315C"/>
    <w:rsid w:val="4D1F53CA"/>
    <w:rsid w:val="4DAC4ACA"/>
    <w:rsid w:val="4DBE01D2"/>
    <w:rsid w:val="4E9A768B"/>
    <w:rsid w:val="4EFD467F"/>
    <w:rsid w:val="4F0C6BA3"/>
    <w:rsid w:val="4F186D58"/>
    <w:rsid w:val="504B6EAA"/>
    <w:rsid w:val="50F06B6E"/>
    <w:rsid w:val="51D21804"/>
    <w:rsid w:val="52234D33"/>
    <w:rsid w:val="522F6E0C"/>
    <w:rsid w:val="52463BA1"/>
    <w:rsid w:val="52F163D4"/>
    <w:rsid w:val="531A2DB4"/>
    <w:rsid w:val="535A25B4"/>
    <w:rsid w:val="53C0244D"/>
    <w:rsid w:val="53DD4D4E"/>
    <w:rsid w:val="53E578CE"/>
    <w:rsid w:val="541330F0"/>
    <w:rsid w:val="54272666"/>
    <w:rsid w:val="543B029D"/>
    <w:rsid w:val="543F36FB"/>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2C7EC0"/>
    <w:rsid w:val="5BF41F67"/>
    <w:rsid w:val="5C263CE4"/>
    <w:rsid w:val="5C5D2777"/>
    <w:rsid w:val="5CF66BF3"/>
    <w:rsid w:val="5D290C69"/>
    <w:rsid w:val="5DA80C2C"/>
    <w:rsid w:val="5DA97551"/>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2D1F90"/>
    <w:rsid w:val="796D60A4"/>
    <w:rsid w:val="79A031D5"/>
    <w:rsid w:val="79A601B0"/>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20"/>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 w:type="paragraph" w:styleId="19">
    <w:name w:val="List Paragraph"/>
    <w:basedOn w:val="1"/>
    <w:qFormat/>
    <w:uiPriority w:val="34"/>
    <w:pPr>
      <w:widowControl w:val="0"/>
      <w:ind w:firstLine="420" w:firstLineChars="200"/>
      <w:jc w:val="both"/>
    </w:pPr>
    <w:rPr>
      <w:rFonts w:hint="default" w:asciiTheme="minorHAnsi" w:hAnsiTheme="minorHAnsi" w:eastAsiaTheme="minorEastAsia" w:cstheme="minorBidi"/>
      <w:kern w:val="2"/>
      <w:sz w:val="21"/>
      <w:szCs w:val="22"/>
    </w:rPr>
  </w:style>
  <w:style w:type="character" w:customStyle="1" w:styleId="20">
    <w:name w:val="页脚 字符"/>
    <w:basedOn w:val="9"/>
    <w:link w:val="3"/>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9000</Words>
  <Characters>11420</Characters>
  <Lines>101</Lines>
  <Paragraphs>28</Paragraphs>
  <TotalTime>5</TotalTime>
  <ScaleCrop>false</ScaleCrop>
  <LinksUpToDate>false</LinksUpToDate>
  <CharactersWithSpaces>12474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2025-09-18T08:01:41Z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