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垫江县融媒体中心</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9"/>
          <w:rFonts w:ascii="黑体" w:hAnsi="黑体" w:eastAsia="黑体" w:cs="黑体"/>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rPr>
      </w:pPr>
      <w:r>
        <w:rPr>
          <w:rFonts w:hint="default" w:ascii="方正仿宋_GBK" w:hAnsi="方正仿宋_GBK" w:eastAsia="方正仿宋_GBK" w:cs="方正仿宋_GBK"/>
          <w:sz w:val="32"/>
        </w:rPr>
        <w:t>1</w:t>
      </w:r>
      <w:r>
        <w:rPr>
          <w:rFonts w:ascii="方正仿宋_GBK" w:hAnsi="方正仿宋_GBK" w:eastAsia="方正仿宋_GBK" w:cs="方正仿宋_GBK"/>
          <w:sz w:val="32"/>
        </w:rPr>
        <w:t>.</w:t>
      </w:r>
      <w:r>
        <w:rPr>
          <w:rFonts w:hint="default" w:ascii="方正仿宋_GBK" w:hAnsi="方正仿宋_GBK" w:eastAsia="方正仿宋_GBK" w:cs="方正仿宋_GBK"/>
          <w:sz w:val="32"/>
        </w:rPr>
        <w:t>认真贯彻党的新闻宣传方针政策，推动媒体融合发展，负责新闻舆论宣传，统筹办好包括报纸、广播、电视、网络和新兴媒体在内的融媒体平台。</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w:t>
      </w:r>
      <w:r>
        <w:rPr>
          <w:rFonts w:hint="default" w:ascii="方正仿宋_GBK" w:hAnsi="方正仿宋_GBK" w:eastAsia="方正仿宋_GBK" w:cs="方正仿宋_GBK"/>
          <w:sz w:val="32"/>
        </w:rPr>
        <w:t>坚持正确舆论导向，坚持正面宣传为主，负责积极引导社会热点，加强和改进舆论监督，确保刊播安全，统筹策划组织实施重大新闻宣传报道，做好对外新闻宣传。</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3.</w:t>
      </w:r>
      <w:r>
        <w:rPr>
          <w:rFonts w:hint="default" w:ascii="方正仿宋_GBK" w:hAnsi="方正仿宋_GBK" w:eastAsia="方正仿宋_GBK" w:cs="方正仿宋_GBK"/>
          <w:sz w:val="32"/>
        </w:rPr>
        <w:t>架设党委政府与人民群众沟通交流的桥梁，负责综合服务平台和社区信息枢纽建设，打造“指尖上的政务服务中心”，搭建群众之间的联络纽带。</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4.</w:t>
      </w:r>
      <w:r>
        <w:rPr>
          <w:rFonts w:hint="default" w:ascii="方正仿宋_GBK" w:hAnsi="方正仿宋_GBK" w:eastAsia="方正仿宋_GBK" w:cs="方正仿宋_GBK"/>
          <w:sz w:val="32"/>
        </w:rPr>
        <w:t>负责各乡镇（街道）和县级各部门新闻宣传队伍建设方面的指导和人员培训。</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5.</w:t>
      </w:r>
      <w:r>
        <w:rPr>
          <w:rFonts w:hint="default" w:ascii="方正仿宋_GBK" w:hAnsi="方正仿宋_GBK" w:eastAsia="方正仿宋_GBK" w:cs="方正仿宋_GBK"/>
          <w:sz w:val="32"/>
        </w:rPr>
        <w:t>负责为县委、县政府决策撰写有价值的内参或调研报告。</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6.</w:t>
      </w:r>
      <w:r>
        <w:rPr>
          <w:rFonts w:hint="default" w:ascii="方正仿宋_GBK" w:hAnsi="方正仿宋_GBK" w:eastAsia="方正仿宋_GBK" w:cs="方正仿宋_GBK"/>
          <w:sz w:val="32"/>
        </w:rPr>
        <w:t>负责“媒体+N”传媒创意产业发展和“新闻+N”等信息服务。</w:t>
      </w:r>
      <w:bookmarkStart w:id="0" w:name="_GoBack"/>
      <w:bookmarkEnd w:id="0"/>
    </w:p>
    <w:p>
      <w:pPr>
        <w:pStyle w:val="6"/>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 xml:space="preserve"> 我中心内设12个部室，分别是</w:t>
      </w:r>
      <w:r>
        <w:rPr>
          <w:rFonts w:hint="default" w:ascii="方正仿宋_GBK" w:hAnsi="方正仿宋_GBK" w:eastAsia="方正仿宋_GBK" w:cs="方正仿宋_GBK"/>
          <w:sz w:val="32"/>
        </w:rPr>
        <w:t>办公室、</w:t>
      </w:r>
      <w:r>
        <w:rPr>
          <w:rFonts w:ascii="方正仿宋_GBK" w:hAnsi="方正仿宋_GBK" w:eastAsia="方正仿宋_GBK" w:cs="方正仿宋_GBK"/>
          <w:sz w:val="32"/>
        </w:rPr>
        <w:t>党建人事部、</w:t>
      </w:r>
      <w:r>
        <w:rPr>
          <w:rFonts w:hint="default" w:ascii="方正仿宋_GBK" w:hAnsi="方正仿宋_GBK" w:eastAsia="方正仿宋_GBK" w:cs="方正仿宋_GBK"/>
          <w:sz w:val="32"/>
        </w:rPr>
        <w:t>总编室、</w:t>
      </w:r>
      <w:r>
        <w:rPr>
          <w:rFonts w:ascii="方正仿宋_GBK" w:hAnsi="方正仿宋_GBK" w:eastAsia="方正仿宋_GBK" w:cs="方正仿宋_GBK"/>
          <w:sz w:val="32"/>
        </w:rPr>
        <w:t>质量考评部、</w:t>
      </w:r>
      <w:r>
        <w:rPr>
          <w:rFonts w:hint="default" w:ascii="方正仿宋_GBK" w:hAnsi="方正仿宋_GBK" w:eastAsia="方正仿宋_GBK" w:cs="方正仿宋_GBK"/>
          <w:sz w:val="32"/>
        </w:rPr>
        <w:t>新闻采访部、</w:t>
      </w:r>
      <w:r>
        <w:rPr>
          <w:rFonts w:ascii="方正仿宋_GBK" w:hAnsi="方正仿宋_GBK" w:eastAsia="方正仿宋_GBK" w:cs="方正仿宋_GBK"/>
          <w:sz w:val="32"/>
        </w:rPr>
        <w:t>融合</w:t>
      </w:r>
      <w:r>
        <w:rPr>
          <w:rFonts w:hint="default" w:ascii="方正仿宋_GBK" w:hAnsi="方正仿宋_GBK" w:eastAsia="方正仿宋_GBK" w:cs="方正仿宋_GBK"/>
          <w:sz w:val="32"/>
        </w:rPr>
        <w:t>新闻编辑部、视觉创意部、专题节目部、播音主持部、媒体运营部、技术保障部、计划财务部。</w:t>
      </w:r>
    </w:p>
    <w:p>
      <w:pPr>
        <w:pStyle w:val="6"/>
        <w:shd w:val="clear" w:color="auto" w:fill="FFFFFF"/>
        <w:ind w:firstLine="643" w:firstLineChars="200"/>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二、部门决算收支情况说明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2024年度收入总计1866.33万元，支出总计</w:t>
      </w:r>
      <w:r>
        <w:rPr>
          <w:rFonts w:ascii="方正仿宋_GBK" w:hAnsi="方正仿宋_GBK" w:eastAsia="方正仿宋_GBK" w:cs="方正仿宋_GBK"/>
          <w:sz w:val="32"/>
          <w:szCs w:val="32"/>
        </w:rPr>
        <w:t>1866.33</w:t>
      </w:r>
      <w:r>
        <w:rPr>
          <w:rFonts w:ascii="方正仿宋_GBK" w:hAnsi="方正仿宋_GBK" w:eastAsia="方正仿宋_GBK" w:cs="方正仿宋_GBK"/>
          <w:sz w:val="32"/>
          <w:szCs w:val="32"/>
          <w:shd w:val="clear" w:color="auto" w:fill="FFFFFF"/>
        </w:rPr>
        <w:t>万元。收、支与2023年度相比，减少892.73万元，下降32.36%，主要原因是2024年度较2023年减少了</w:t>
      </w:r>
      <w:r>
        <w:rPr>
          <w:rFonts w:ascii="Times New Roman" w:hAnsi="Times New Roman" w:eastAsia="方正仿宋_GBK"/>
          <w:sz w:val="32"/>
          <w:szCs w:val="32"/>
        </w:rPr>
        <w:t>融媒体中心技术平台、他乡追梦人大型系列主题人物报道、垫江手机报等项目资金，同时2024年度较2023年度的年初结转和结余资金减少。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2024年度收入合计1866.32万元，与2023年度相比，减少769.32万元，下降29.19%，主要原因是</w:t>
      </w:r>
      <w:r>
        <w:rPr>
          <w:rFonts w:ascii="Times New Roman" w:hAnsi="Times New Roman" w:eastAsia="方正仿宋_GBK"/>
          <w:sz w:val="32"/>
          <w:szCs w:val="32"/>
        </w:rPr>
        <w:t>2024年度较2023年度减少了融媒体中心技术平台、他乡追梦人大型系列主题人物报道、垫江手机报等项目资金的拨付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1866.32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1866.33</w:t>
      </w:r>
      <w:r>
        <w:rPr>
          <w:rFonts w:ascii="方正仿宋_GBK" w:hAnsi="方正仿宋_GBK" w:eastAsia="方正仿宋_GBK" w:cs="方正仿宋_GBK"/>
          <w:sz w:val="32"/>
          <w:szCs w:val="32"/>
          <w:shd w:val="clear" w:color="auto" w:fill="FFFFFF"/>
        </w:rPr>
        <w:t>万元，与2023年度相比，减少887.74万元，下降32.23%，主要原因是2024年度较2023年度减少了融媒体中心技术平台、他乡追梦人大型系列主题人物报道、垫江手机报等项目资金的支付。其中：基本支出</w:t>
      </w:r>
      <w:r>
        <w:rPr>
          <w:rFonts w:ascii="方正仿宋_GBK" w:hAnsi="方正仿宋_GBK" w:eastAsia="方正仿宋_GBK" w:cs="方正仿宋_GBK"/>
          <w:sz w:val="32"/>
          <w:szCs w:val="32"/>
        </w:rPr>
        <w:t>1315.03</w:t>
      </w:r>
      <w:r>
        <w:rPr>
          <w:rFonts w:ascii="方正仿宋_GBK" w:hAnsi="方正仿宋_GBK" w:eastAsia="方正仿宋_GBK" w:cs="方正仿宋_GBK"/>
          <w:sz w:val="32"/>
          <w:szCs w:val="32"/>
          <w:shd w:val="clear" w:color="auto" w:fill="FFFFFF"/>
        </w:rPr>
        <w:t>万元，占70.46%；项目支出</w:t>
      </w:r>
      <w:r>
        <w:rPr>
          <w:rFonts w:ascii="方正仿宋_GBK" w:hAnsi="方正仿宋_GBK" w:eastAsia="方正仿宋_GBK" w:cs="方正仿宋_GBK"/>
          <w:sz w:val="32"/>
          <w:szCs w:val="32"/>
        </w:rPr>
        <w:t>551.30</w:t>
      </w:r>
      <w:r>
        <w:rPr>
          <w:rFonts w:ascii="方正仿宋_GBK" w:hAnsi="方正仿宋_GBK" w:eastAsia="方正仿宋_GBK" w:cs="方正仿宋_GBK"/>
          <w:sz w:val="32"/>
          <w:szCs w:val="32"/>
          <w:shd w:val="clear" w:color="auto" w:fill="FFFFFF"/>
        </w:rPr>
        <w:t>万元，占29.54%；经营支出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万元，与2023年度相比，减少4.99万元，下降100.00%，主要原因是本年度结转和结余资金已使用完。</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2024年度财政拨款收、支总计1866.33万元。与2023年相比，财政拨款收、支总计各减少892.73万元，下降32.36%。主要原因是2024年度较2023年减少了</w:t>
      </w:r>
      <w:r>
        <w:rPr>
          <w:rFonts w:ascii="Times New Roman" w:hAnsi="Times New Roman" w:eastAsia="方正仿宋_GBK"/>
          <w:sz w:val="32"/>
          <w:szCs w:val="32"/>
        </w:rPr>
        <w:t>融媒体中心技术平台、他乡追梦人大型系列主题人物报道、垫江手机报等项目资金，同时2024年度较2023年度的年初结转和结余资金减少。</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1866.32</w:t>
      </w:r>
      <w:r>
        <w:rPr>
          <w:rFonts w:ascii="方正仿宋_GBK" w:hAnsi="方正仿宋_GBK" w:eastAsia="方正仿宋_GBK" w:cs="方正仿宋_GBK"/>
          <w:sz w:val="32"/>
          <w:szCs w:val="32"/>
          <w:shd w:val="clear" w:color="auto" w:fill="FFFFFF"/>
        </w:rPr>
        <w:t>万元，与2023年度相比，减少769.32万元，下降29.19%。主要原因是主要原因是</w:t>
      </w:r>
      <w:r>
        <w:rPr>
          <w:rFonts w:ascii="Times New Roman" w:hAnsi="Times New Roman" w:eastAsia="方正仿宋_GBK"/>
          <w:sz w:val="32"/>
          <w:szCs w:val="32"/>
        </w:rPr>
        <w:t>2024年度较2023年度减少了融媒体中心技术平台、他乡追梦人大型系列主题人物报道、垫江手机报等项目资金的拨付。</w:t>
      </w:r>
      <w:r>
        <w:rPr>
          <w:rFonts w:ascii="方正仿宋_GBK" w:hAnsi="方正仿宋_GBK" w:eastAsia="方正仿宋_GBK" w:cs="方正仿宋_GBK"/>
          <w:sz w:val="32"/>
          <w:szCs w:val="32"/>
          <w:shd w:val="clear" w:color="auto" w:fill="FFFFFF"/>
        </w:rPr>
        <w:t>较年初预算数增加169.57万元，增长9.99%。主要原因是追加了职工2022-2023年度因基数调整增加的养老保险和职业年金资金、追加了中央公服体系广播电视节目无线覆盖运维项目资</w:t>
      </w:r>
      <w:r>
        <w:rPr>
          <w:rFonts w:ascii="Times New Roman" w:hAnsi="Times New Roman" w:eastAsia="方正仿宋_GBK"/>
          <w:sz w:val="32"/>
          <w:szCs w:val="32"/>
        </w:rPr>
        <w:t>金等。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1866.33</w:t>
      </w:r>
      <w:r>
        <w:rPr>
          <w:rFonts w:ascii="方正仿宋_GBK" w:hAnsi="方正仿宋_GBK" w:eastAsia="方正仿宋_GBK" w:cs="方正仿宋_GBK"/>
          <w:sz w:val="32"/>
          <w:szCs w:val="32"/>
          <w:shd w:val="clear" w:color="auto" w:fill="FFFFFF"/>
        </w:rPr>
        <w:t>万元，与2023年度相比，减少887.74万元，下降32.23%。主要原因是2024年度较2023年度减少了融媒体中心技术平台、他乡追梦人大型系列主题人物报道、垫江手机报等项目资金的支付。较年初预算数增加169.58万元，增长9.99%。主要原因是缴纳了职工2022-2023年度因基数调整增加的养老保险和职业年金资金、支付了增加的中央公服体系广播电视节目无线覆盖运维项目。</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万元，与2023年度相比，减少4.99万元，下降100.00%，主要原因是本年度结转和结余资金已使用完。</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%，较年初预算数减少1.20万元，下降34.09%，主要原因是我中心严格控制外出培训，减少非必要的培训费开支。</w:t>
      </w:r>
    </w:p>
    <w:p>
      <w:pPr>
        <w:pStyle w:val="6"/>
        <w:numPr>
          <w:ilvl w:val="0"/>
          <w:numId w:val="1"/>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1477.23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79.15</w:t>
      </w:r>
      <w:r>
        <w:rPr>
          <w:rFonts w:ascii="方正仿宋_GBK" w:hAnsi="方正仿宋_GBK" w:eastAsia="方正仿宋_GBK" w:cs="方正仿宋_GBK"/>
          <w:sz w:val="32"/>
          <w:szCs w:val="32"/>
          <w:shd w:val="clear" w:color="auto" w:fill="FFFFFF"/>
        </w:rPr>
        <w:t>%，较年初预算数增加28.71万元，增长1.98%，主要原因是增加了中央公服体系广播电视节目无线覆盖运维项目资金和工会经费等公用经费的支出。</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（3）社会保障与就业支出</w:t>
      </w:r>
      <w:r>
        <w:rPr>
          <w:rFonts w:ascii="方正仿宋_GBK" w:hAnsi="方正仿宋_GBK" w:eastAsia="方正仿宋_GBK" w:cs="方正仿宋_GBK"/>
          <w:sz w:val="32"/>
          <w:szCs w:val="32"/>
        </w:rPr>
        <w:t>260.50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13.96</w:t>
      </w:r>
      <w:r>
        <w:rPr>
          <w:rFonts w:ascii="方正仿宋_GBK" w:hAnsi="方正仿宋_GBK" w:eastAsia="方正仿宋_GBK" w:cs="方正仿宋_GBK"/>
          <w:sz w:val="32"/>
          <w:szCs w:val="32"/>
          <w:shd w:val="clear" w:color="auto" w:fill="FFFFFF"/>
        </w:rPr>
        <w:t>%，较年初预算数增加109.57万元，增长72.60%，主要原因是本年度补缴了职工2022-2023年度因基数调整增加的养老保险和职业年金。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41.25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%，较年初预算数减少1.38万元，下降3.24%，主要原因是本年度中途有人员退休，未产生全年支出。</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住房保障支出85.04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4.56</w:t>
      </w:r>
      <w:r>
        <w:rPr>
          <w:rFonts w:ascii="方正仿宋_GBK" w:hAnsi="方正仿宋_GBK" w:eastAsia="方正仿宋_GBK" w:cs="方正仿宋_GBK"/>
          <w:sz w:val="32"/>
          <w:szCs w:val="32"/>
          <w:shd w:val="clear" w:color="auto" w:fill="FFFFFF"/>
        </w:rPr>
        <w:t>%，较年初预算数增加33.89万元，增长66.26%，主要原因是</w:t>
      </w:r>
      <w:r>
        <w:rPr>
          <w:rFonts w:ascii="Times New Roman" w:hAnsi="Times New Roman" w:eastAsia="方正仿宋_GBK"/>
          <w:sz w:val="32"/>
          <w:szCs w:val="32"/>
        </w:rPr>
        <w:t>超额绩效工资的缴费基数年初未纳入预算，实际缴纳数比预算数多。</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pacing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1315.03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1166.80</w:t>
      </w:r>
      <w:r>
        <w:rPr>
          <w:rFonts w:ascii="方正仿宋_GBK" w:hAnsi="方正仿宋_GBK" w:eastAsia="方正仿宋_GBK" w:cs="方正仿宋_GBK"/>
          <w:sz w:val="32"/>
          <w:szCs w:val="32"/>
          <w:shd w:val="clear" w:color="auto" w:fill="FFFFFF"/>
        </w:rPr>
        <w:t>万元，与2023年度相比，增加54.50万元，增长4.90%，主要原因是补缴了职工2022-2023年度因基数调整增加的养老保险和职业年金。人员经费用途主要包括</w:t>
      </w:r>
      <w:r>
        <w:rPr>
          <w:rFonts w:ascii="Times New Roman" w:hAnsi="Times New Roman" w:eastAsia="方正仿宋_GBK"/>
          <w:sz w:val="32"/>
          <w:szCs w:val="32"/>
        </w:rPr>
        <w:t>基本工资、津贴补贴、社会保障缴费、住房公积金、医疗费、退休职工健康休养费等。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148.23</w:t>
      </w:r>
      <w:r>
        <w:rPr>
          <w:rFonts w:ascii="方正仿宋_GBK" w:hAnsi="方正仿宋_GBK" w:eastAsia="方正仿宋_GBK" w:cs="方正仿宋_GBK"/>
          <w:sz w:val="32"/>
          <w:szCs w:val="32"/>
          <w:shd w:val="clear" w:color="auto" w:fill="FFFFFF"/>
        </w:rPr>
        <w:t>万元，与2023年度相比，减少47.95万元，下降24.44%，主要原因是本年度差旅费较上年度有所下降。公用经费用途主要包括</w:t>
      </w:r>
      <w:r>
        <w:rPr>
          <w:rFonts w:ascii="Times New Roman" w:hAnsi="Times New Roman" w:eastAsia="方正仿宋_GBK"/>
          <w:sz w:val="32"/>
          <w:szCs w:val="32"/>
        </w:rPr>
        <w:t>办公费、印刷费、电费、邮电费、差旅费、维修（护）费、培训费、公务接待费、劳务费、工会经费、福利费、公务用车运行维护费、其他交通费用、其他商品和服务支出等。</w:t>
      </w:r>
    </w:p>
    <w:p>
      <w:pPr>
        <w:pStyle w:val="10"/>
        <w:numPr>
          <w:ilvl w:val="0"/>
          <w:numId w:val="2"/>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政府性基金预算收支决算情况说明</w:t>
      </w:r>
    </w:p>
    <w:p>
      <w:pPr>
        <w:pStyle w:val="6"/>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sz w:val="32"/>
          <w:szCs w:val="32"/>
          <w:shd w:val="clear" w:color="auto" w:fill="FFFFFF"/>
        </w:rPr>
        <w:t>是本年度无政府性基金预算财政拨款支出。本部门2024年度无政府性基金预算财政拨款收支。</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三、财政拨款</w:t>
      </w:r>
      <w:r>
        <w:rPr>
          <w:rStyle w:val="9"/>
          <w:rFonts w:hint="eastAsia" w:ascii="黑体" w:hAnsi="黑体" w:eastAsia="黑体" w:cs="黑体"/>
          <w:sz w:val="32"/>
          <w:szCs w:val="32"/>
          <w:shd w:val="clear" w:color="auto" w:fill="FFFFFF"/>
          <w:lang w:eastAsia="zh-CN"/>
        </w:rPr>
        <w:t>三公</w:t>
      </w:r>
      <w:r>
        <w:rPr>
          <w:rStyle w:val="9"/>
          <w:rFonts w:ascii="黑体" w:hAnsi="黑体" w:eastAsia="黑体" w:cs="黑体"/>
          <w:sz w:val="32"/>
          <w:szCs w:val="32"/>
          <w:shd w:val="clear" w:color="auto" w:fill="FFFFFF"/>
        </w:rPr>
        <w:t>经费情况说明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6.73</w:t>
      </w:r>
      <w:r>
        <w:rPr>
          <w:rFonts w:ascii="方正仿宋_GBK" w:hAnsi="方正仿宋_GBK" w:eastAsia="方正仿宋_GBK" w:cs="方正仿宋_GBK"/>
          <w:sz w:val="32"/>
          <w:szCs w:val="32"/>
          <w:shd w:val="clear" w:color="auto" w:fill="FFFFFF"/>
        </w:rPr>
        <w:t>万元，较年初预算数减少14.27万元，下降67.95%，主要原因是</w:t>
      </w:r>
      <w:r>
        <w:rPr>
          <w:rFonts w:ascii="Times New Roman" w:hAnsi="Times New Roman" w:eastAsia="方正仿宋_GBK"/>
          <w:sz w:val="32"/>
          <w:szCs w:val="32"/>
        </w:rPr>
        <w:t>我中心按照年初预算数严格控制经费开支，严格按要求进行公务接待及车辆运行维护，确保接待费、公务用车运行维护费只减不增。</w:t>
      </w:r>
      <w:r>
        <w:rPr>
          <w:rFonts w:ascii="方正仿宋_GBK" w:hAnsi="方正仿宋_GBK" w:eastAsia="方正仿宋_GBK" w:cs="方正仿宋_GBK"/>
          <w:sz w:val="32"/>
          <w:szCs w:val="32"/>
          <w:shd w:val="clear" w:color="auto" w:fill="FFFFFF"/>
        </w:rPr>
        <w:t>较上年支出数减少0.58万元，下降7.93%，一是严格控制公车出行，采编一线等用车采用组合出行，减少车辆出行频次；二是严格公务接待，不符合接待规定的不予接待。</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ascii="Times New Roman" w:hAnsi="Times New Roman" w:eastAsia="方正仿宋_GBK"/>
          <w:sz w:val="32"/>
          <w:szCs w:val="32"/>
        </w:rPr>
        <w:t>因公出国（境）。</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zCs w:val="32"/>
        </w:rPr>
        <w:t>本部门2024年未发生因公出国（境）费用。</w:t>
      </w:r>
      <w:r>
        <w:rPr>
          <w:rFonts w:ascii="方正仿宋_GBK" w:hAnsi="方正仿宋_GBK" w:eastAsia="方正仿宋_GBK" w:cs="方正仿宋_GBK"/>
          <w:sz w:val="32"/>
          <w:szCs w:val="32"/>
          <w:shd w:val="clear" w:color="auto" w:fill="FFFFFF"/>
        </w:rPr>
        <w:t>与2023年度相比，无增减，主要原因是</w:t>
      </w:r>
      <w:r>
        <w:rPr>
          <w:rFonts w:ascii="Times New Roman" w:hAnsi="Times New Roman" w:eastAsia="方正仿宋_GBK"/>
          <w:sz w:val="32"/>
          <w:szCs w:val="32"/>
        </w:rPr>
        <w:t>本部门2024年未发生因公出国（境）费用。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rPr>
        <w:t>公务车购置</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cs="方正仿宋_GBK"/>
          <w:sz w:val="32"/>
          <w:szCs w:val="32"/>
        </w:rPr>
        <w:t>本部门2024年未发生公务车购置。</w:t>
      </w:r>
      <w:r>
        <w:rPr>
          <w:rFonts w:ascii="方正仿宋_GBK" w:hAnsi="方正仿宋_GBK" w:eastAsia="方正仿宋_GBK" w:cs="方正仿宋_GBK"/>
          <w:sz w:val="32"/>
          <w:szCs w:val="32"/>
          <w:shd w:val="clear" w:color="auto" w:fill="FFFFFF"/>
        </w:rPr>
        <w:t>与2023年度相比，无增减，主要原因是</w:t>
      </w:r>
      <w:r>
        <w:rPr>
          <w:rFonts w:ascii="Times New Roman" w:hAnsi="Times New Roman" w:eastAsia="方正仿宋_GBK" w:cs="方正仿宋_GBK"/>
          <w:sz w:val="32"/>
          <w:szCs w:val="32"/>
        </w:rPr>
        <w:t>本部门2024年未发生公务车购置。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5.49</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rPr>
        <w:t>一线记者外出新闻采访、机要文件交换、市内因公出行等工作所需车辆的燃料费、维修费、过桥过路费、保险费等。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费用支出较年初预算数减少3.51万元，下降39.00%，主要原因是</w:t>
      </w:r>
      <w:r>
        <w:rPr>
          <w:rFonts w:ascii="Times New Roman" w:hAnsi="Times New Roman" w:eastAsia="方正仿宋_GBK" w:cs="方正仿宋_GBK"/>
          <w:sz w:val="32"/>
          <w:szCs w:val="32"/>
        </w:rPr>
        <w:t>我中心严格执行年初预算，严格落实公车管理规定，外出采访或办事尽可能自行解决出行问题，减少公车运行。</w:t>
      </w:r>
      <w:r>
        <w:rPr>
          <w:rFonts w:ascii="方正仿宋_GBK" w:hAnsi="方正仿宋_GBK" w:eastAsia="方正仿宋_GBK" w:cs="方正仿宋_GBK"/>
          <w:sz w:val="32"/>
          <w:szCs w:val="32"/>
          <w:shd w:val="clear" w:color="auto" w:fill="FFFFFF"/>
        </w:rPr>
        <w:t>较上年支出数减少0.55万元，下降9.11%，主要原因是严格控制公车出行，采编一线等用车采用组合出行，减少车辆出行频次，降低燃料费等费用的产生。</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1.24</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cs="方正仿宋_GBK"/>
          <w:sz w:val="32"/>
          <w:szCs w:val="32"/>
        </w:rPr>
        <w:t>友邻融媒体中心考察交流学习，华龙数智公司、成都索贝、重庆音像出版社等相关公司联系工作用餐。</w:t>
      </w:r>
      <w:r>
        <w:rPr>
          <w:rFonts w:ascii="方正仿宋_GBK" w:hAnsi="方正仿宋_GBK" w:eastAsia="方正仿宋_GBK" w:cs="方正仿宋_GBK"/>
          <w:sz w:val="32"/>
          <w:szCs w:val="32"/>
          <w:shd w:val="clear" w:color="auto" w:fill="FFFFFF"/>
        </w:rPr>
        <w:t>费用支出较年初预算数减少10.76万元，下降89.67%，主要原因是主要原因是</w:t>
      </w:r>
      <w:r>
        <w:rPr>
          <w:rFonts w:ascii="Times New Roman" w:hAnsi="Times New Roman" w:eastAsia="方正仿宋_GBK" w:cs="方正仿宋_GBK"/>
          <w:sz w:val="32"/>
          <w:szCs w:val="32"/>
        </w:rPr>
        <w:t>严格按照年初预算数严格控制开支、严格遵守公务接待开支范围和开支标准。</w:t>
      </w:r>
      <w:r>
        <w:rPr>
          <w:rFonts w:ascii="方正仿宋_GBK" w:hAnsi="方正仿宋_GBK" w:eastAsia="方正仿宋_GBK" w:cs="方正仿宋_GBK"/>
          <w:sz w:val="32"/>
          <w:szCs w:val="32"/>
          <w:shd w:val="clear" w:color="auto" w:fill="FFFFFF"/>
        </w:rPr>
        <w:t>较上年支出数减少0.03万元，下降2.36%，主要原因是严格公务接待，不符合接待规定的不予接待。</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65.43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s="方正仿宋_GBK"/>
          <w:sz w:val="32"/>
          <w:szCs w:val="32"/>
        </w:rPr>
        <w:t>本年度未发生会议支出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2.32</w:t>
      </w:r>
      <w:r>
        <w:rPr>
          <w:rFonts w:ascii="方正仿宋_GBK" w:hAnsi="方正仿宋_GBK" w:eastAsia="方正仿宋_GBK" w:cs="方正仿宋_GBK"/>
          <w:sz w:val="32"/>
          <w:szCs w:val="32"/>
          <w:shd w:val="clear" w:color="auto" w:fill="FFFFFF"/>
        </w:rPr>
        <w:t>万元，与2023年度相比，减少0.01万元，下降0.43%，主要原因是严格控制外出培训，减少非必要的培训费开支，确保经费支出只减不增。</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FF0000"/>
          <w:sz w:val="32"/>
          <w:szCs w:val="32"/>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主要原因是按照部门决算列报口径，我部门不在机关运行经费统计范围之内。</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284.95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269.40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284.95万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284.95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Times New Roman" w:hAnsi="Times New Roman" w:eastAsia="方正仿宋_GBK" w:cs="方正仿宋_GBK"/>
          <w:sz w:val="32"/>
          <w:szCs w:val="32"/>
        </w:rPr>
        <w:t>手机台技术服务、节目播出购片、垫江手机报技术服务、重庆垫江APP运行及维护、融媒体中心系统安全运营维护。</w:t>
      </w:r>
    </w:p>
    <w:p>
      <w:pPr>
        <w:pStyle w:val="6"/>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五、预算绩效管理情况说明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1"/>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    根据预算绩效管理要求，我部门对部门整体和11个二级项目开展了绩效自评，涉及财政拨款项目支出资金551.30万元。</w:t>
      </w:r>
    </w:p>
    <w:p>
      <w:pPr>
        <w:pStyle w:val="11"/>
        <w:autoSpaceDE w:val="0"/>
        <w:spacing w:before="0" w:before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 xml:space="preserve">    部门整体绩效自评表</w:t>
      </w:r>
    </w:p>
    <w:p>
      <w:pPr>
        <w:pStyle w:val="11"/>
        <w:spacing w:before="0" w:beforeAutospacing="0"/>
        <w:rPr>
          <w:rFonts w:ascii="方正仿宋_GBK" w:hAnsi="方正仿宋_GBK" w:eastAsia="方正仿宋_GBK" w:cs="方正仿宋_GBK"/>
          <w:sz w:val="32"/>
          <w:szCs w:val="32"/>
          <w:shd w:val="clear" w:color="auto" w:fill="FFFFFF"/>
        </w:rPr>
      </w:pPr>
      <w:r>
        <w:pict>
          <v:shape id="_x0000_i1025" o:spt="75" type="#_x0000_t75" style="height:318pt;width:415.5pt;" filled="f" o:preferrelative="t" stroked="f" coordsize="21600,21600">
            <v:path/>
            <v:fill on="f" focussize="0,0"/>
            <v:stroke on="f" joinstyle="miter"/>
            <v:imagedata r:id="rId6" o:title=""/>
            <o:lock v:ext="edit" aspectratio="t"/>
            <w10:wrap type="none"/>
            <w10:anchorlock/>
          </v:shape>
        </w:pict>
      </w:r>
    </w:p>
    <w:p>
      <w:pPr>
        <w:pStyle w:val="11"/>
        <w:spacing w:before="0" w:before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28"/>
          <w:szCs w:val="28"/>
          <w:shd w:val="clear" w:color="auto" w:fill="FFFFFF"/>
        </w:rPr>
        <w:t>项目支出绩效自评表（二级项目）</w:t>
      </w:r>
    </w:p>
    <w:p>
      <w:pPr>
        <w:pStyle w:val="11"/>
        <w:autoSpaceDE w:val="0"/>
        <w:spacing w:before="0" w:beforeAutospacing="0" w:after="0" w:afterAutospacing="0"/>
      </w:pPr>
      <w:r>
        <w:pict>
          <v:shape id="_x0000_i1026" o:spt="75" type="#_x0000_t75" style="height:231pt;width:415.5pt;" filled="f" o:preferrelative="t" stroked="f" coordsize="21600,21600">
            <v:path/>
            <v:fill on="f" focussize="0,0"/>
            <v:stroke on="f" joinstyle="miter"/>
            <v:imagedata r:id="rId7" o:title=""/>
            <o:lock v:ext="edit" aspectratio="t"/>
            <w10:wrap type="none"/>
            <w10:anchorlock/>
          </v:shape>
        </w:pict>
      </w:r>
    </w:p>
    <w:p>
      <w:pPr>
        <w:pStyle w:val="11"/>
        <w:spacing w:before="0" w:beforeAutospacing="0"/>
        <w:rPr>
          <w:rFonts w:ascii="方正仿宋_GBK" w:hAnsi="方正仿宋_GBK" w:eastAsia="方正仿宋_GBK" w:cs="方正仿宋_GBK"/>
          <w:sz w:val="28"/>
          <w:szCs w:val="28"/>
          <w:shd w:val="clear" w:color="auto" w:fill="FFFFFF"/>
        </w:rPr>
      </w:pPr>
      <w:r>
        <w:pict>
          <v:shape id="_x0000_i1027" o:spt="75" type="#_x0000_t75" style="height:243.75pt;width:415.5pt;" filled="f" o:preferrelative="t" stroked="f" coordsize="21600,21600">
            <v:path/>
            <v:fill on="f" focussize="0,0"/>
            <v:stroke on="f" joinstyle="miter"/>
            <v:imagedata r:id="rId8" o:title=""/>
            <o:lock v:ext="edit" aspectratio="t"/>
            <w10:wrap type="none"/>
            <w10:anchorlock/>
          </v:shape>
        </w:pic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0"/>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pacing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县财政局未委托第三方对我部门开展绩效评价。</w:t>
      </w:r>
    </w:p>
    <w:p>
      <w:pPr>
        <w:pStyle w:val="6"/>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w:t>
      </w:r>
      <w:r>
        <w:rPr>
          <w:rStyle w:val="9"/>
          <w:rFonts w:hint="eastAsia" w:ascii="楷体" w:hAnsi="楷体" w:eastAsia="楷体" w:cs="楷体"/>
          <w:sz w:val="32"/>
          <w:szCs w:val="32"/>
          <w:shd w:val="clear" w:color="auto" w:fill="FFFFFF"/>
          <w:lang w:eastAsia="zh-CN"/>
        </w:rPr>
        <w:t>三公</w:t>
      </w:r>
      <w:r>
        <w:rPr>
          <w:rStyle w:val="9"/>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ascii="Times New Roman" w:hAnsi="Times New Roman" w:eastAsia="方正仿宋_GBK"/>
          <w:sz w:val="32"/>
          <w:szCs w:val="32"/>
        </w:rPr>
        <w:t>黄老师  023-74605835</w:t>
      </w:r>
      <w:r>
        <w:rPr>
          <w:rFonts w:asci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eastAsia="方正仿宋_GBK" w:cs="方正仿宋_GBK"/>
          <w:sz w:val="32"/>
          <w:szCs w:val="32"/>
          <w:shd w:val="clear" w:color="auto" w:fill="FFFFFF"/>
        </w:rPr>
      </w:pPr>
    </w:p>
    <w:p>
      <w:pPr>
        <w:pStyle w:val="6"/>
        <w:snapToGrid w:val="0"/>
        <w:spacing w:before="0" w:beforeAutospacing="0" w:after="0" w:afterAutospacing="0" w:line="600" w:lineRule="exact"/>
        <w:jc w:val="both"/>
        <w:rPr>
          <w:rFonts w:hint="default" w:ascii="方正仿宋_GBK" w:eastAsia="方正仿宋_GBK" w:cs="方正仿宋_GBK"/>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垫江县融媒体中心</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1,866.33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垫江县融媒体中心</w:t>
            </w: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1,866.32</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1,866.32</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广播电视</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传输发射</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广播电视事务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1,438.83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1,438.83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其他广播电视支出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垫江县融媒体中心 </w:t>
            </w: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1,866.33</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1,315.03</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广播电视</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传输发射</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广播电视事务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925.93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512.91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其他广播电视支出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垫江县融媒体中心</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垫江县融媒体中心</w:t>
            </w: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1,866.33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1,315.03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广播电视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925.93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传输发射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广播电视事务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1,438.84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925.93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其他广播电视支出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垫江县融媒体中心</w:t>
            </w: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1,119.05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231.57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501.95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1,166.80</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垫江县融媒体中心</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垫江县融媒体中心</w:t>
            </w: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垫江县融媒体中心</w:t>
            </w:r>
          </w:p>
        </w:tc>
        <w:tc>
          <w:tcPr>
            <w:tcW w:w="2375"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269.40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284.95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30.02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rect id="文本框 127" o:spid="_x0000_s2050" o:spt="1" style="position:absolute;left:0pt;margin-top:0pt;height:144pt;width:144pt;mso-position-horizontal:center;mso-position-horizontal-relative:margin;mso-wrap-style:none;z-index:251659264;mso-width-relative:page;mso-height-relative:page;" filled="f" o:preferrelative="t" stroked="f" coordsize="21600,21600" o:allowoverlap="f">
          <v:path/>
          <v:fill on="f" focussize="0,0"/>
          <v:stroke on="f"/>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rect>
      </w:pict>
    </w:r>
    <w:r>
      <w:rPr>
        <w:rFonts w:hint="default"/>
      </w:rPr>
      <w:pict>
        <v:rect id="文本框 126" o:spid="_x0000_s2049"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pPr>
                  <w:pStyle w:val="3"/>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4867"/>
    <w:multiLevelType w:val="singleLevel"/>
    <w:tmpl w:val="689C4867"/>
    <w:lvl w:ilvl="0" w:tentative="0">
      <w:start w:val="1"/>
      <w:numFmt w:val="decimal"/>
      <w:suff w:val="nothing"/>
      <w:lvlText w:val="（%1）"/>
      <w:lvlJc w:val="left"/>
    </w:lvl>
  </w:abstractNum>
  <w:abstractNum w:abstractNumId="1">
    <w:nsid w:val="689D4C1E"/>
    <w:multiLevelType w:val="singleLevel"/>
    <w:tmpl w:val="689D4C1E"/>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lkNmIwODI1Y2QwNGQxZDFhYmRhZWMyNWM5ZTJhMjUifQ=="/>
  </w:docVars>
  <w:rsids>
    <w:rsidRoot w:val="00D83DE3"/>
    <w:rsid w:val="00CF6ED1"/>
    <w:rsid w:val="00D37D3F"/>
    <w:rsid w:val="00D83DE3"/>
    <w:rsid w:val="00F3126B"/>
    <w:rsid w:val="08EA0667"/>
    <w:rsid w:val="44C4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character" w:customStyle="1" w:styleId="14">
    <w:name w:val="批注框文本 字符"/>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9529</Words>
  <Characters>12495</Characters>
  <Lines>110</Lines>
  <Paragraphs>31</Paragraphs>
  <TotalTime>1</TotalTime>
  <ScaleCrop>false</ScaleCrop>
  <LinksUpToDate>false</LinksUpToDate>
  <CharactersWithSpaces>13621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2025-09-17T09:47:16Z</dcterms:modified>
  <dc:title>垫江县融媒体中心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