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中共垫江县委社会工作部</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widowControl w:val="0"/>
        <w:shd w:val="clear" w:color="auto" w:fill="FFFFFF"/>
        <w:adjustRightInd w:val="0"/>
        <w:snapToGrid w:val="0"/>
        <w:spacing w:before="0" w:beforeAutospacing="0" w:after="0" w:afterAutospacing="0" w:line="594" w:lineRule="exact"/>
        <w:ind w:firstLine="643" w:firstLineChars="200"/>
        <w:rPr>
          <w:rStyle w:val="11"/>
          <w:rFonts w:hint="default" w:ascii="黑体" w:hAnsi="黑体" w:eastAsia="黑体" w:cs="黑体"/>
          <w:sz w:val="32"/>
          <w:szCs w:val="32"/>
          <w:shd w:val="clear" w:color="auto" w:fill="FFFFFF"/>
        </w:rPr>
      </w:pPr>
    </w:p>
    <w:p>
      <w:pPr>
        <w:pStyle w:val="7"/>
        <w:widowControl w:val="0"/>
        <w:shd w:val="clear" w:color="auto" w:fill="FFFFFF"/>
        <w:adjustRightInd w:val="0"/>
        <w:snapToGrid w:val="0"/>
        <w:spacing w:before="0" w:beforeAutospacing="0" w:after="0" w:afterAutospacing="0" w:line="594"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一、部门基本情况</w:t>
      </w:r>
    </w:p>
    <w:p>
      <w:pPr>
        <w:pStyle w:val="7"/>
        <w:widowControl w:val="0"/>
        <w:shd w:val="clear" w:color="auto" w:fill="FFFFFF"/>
        <w:adjustRightInd w:val="0"/>
        <w:snapToGrid w:val="0"/>
        <w:spacing w:beforeAutospacing="0" w:afterAutospacing="0" w:line="594" w:lineRule="exact"/>
        <w:ind w:firstLine="640" w:firstLineChars="200"/>
        <w:rPr>
          <w:rFonts w:hint="default" w:ascii="Times New Roman" w:hAnsi="Times New Roman" w:eastAsia="方正仿宋_GBK"/>
          <w:sz w:val="32"/>
          <w:szCs w:val="32"/>
        </w:rPr>
      </w:pPr>
      <w:r>
        <w:rPr>
          <w:rStyle w:val="11"/>
          <w:rFonts w:ascii="方正楷体_GBK" w:hAnsi="方正楷体_GBK" w:eastAsia="方正楷体_GBK" w:cs="方正楷体_GBK"/>
          <w:b w:val="0"/>
          <w:bCs/>
          <w:sz w:val="32"/>
          <w:szCs w:val="32"/>
          <w:shd w:val="clear" w:color="auto" w:fill="FFFFFF"/>
        </w:rPr>
        <w:t>（一）职能职责</w:t>
      </w:r>
    </w:p>
    <w:p>
      <w:pPr>
        <w:pStyle w:val="17"/>
        <w:widowControl w:val="0"/>
        <w:tabs>
          <w:tab w:val="center" w:pos="4153"/>
          <w:tab w:val="left" w:pos="7275"/>
        </w:tabs>
        <w:adjustRightInd w:val="0"/>
        <w:snapToGrid w:val="0"/>
        <w:spacing w:line="594" w:lineRule="exact"/>
        <w:ind w:firstLine="640"/>
        <w:rPr>
          <w:rFonts w:hint="default" w:ascii="Times New Roman" w:hAnsi="Times New Roman" w:eastAsia="方正仿宋_GBK"/>
          <w:kern w:val="2"/>
          <w:sz w:val="32"/>
          <w:szCs w:val="22"/>
        </w:rPr>
      </w:pPr>
      <w:r>
        <w:rPr>
          <w:rFonts w:hint="default" w:ascii="Times New Roman" w:hAnsi="Times New Roman" w:eastAsia="方正仿宋_GBK"/>
          <w:sz w:val="32"/>
        </w:rPr>
        <w:t>中共垫江县委社会工作部职能职责主要为</w:t>
      </w:r>
      <w:r>
        <w:rPr>
          <w:rFonts w:hint="default" w:ascii="Times New Roman" w:hAnsi="Times New Roman" w:eastAsia="方正仿宋_GBK"/>
          <w:kern w:val="2"/>
          <w:sz w:val="32"/>
          <w:szCs w:val="22"/>
        </w:rPr>
        <w:t>负责统筹指导人民信访工作，指导人民建议征集工作，统筹推进党建引领基层治理和基层政权建设，健全和落实党建引领基层治理领导体制和工作机制，统一领导全县行业协会商会党的工作，协调推动行业协会商会深化改革和转型发展，指导混合所有制企业、非公有制企业和新经济组织、新社会组织、新就业群体党建工作，指导社会工作人才队伍建设，负责志愿服务工作等。</w:t>
      </w:r>
    </w:p>
    <w:p>
      <w:pPr>
        <w:pStyle w:val="7"/>
        <w:widowControl w:val="0"/>
        <w:shd w:val="clear" w:color="auto" w:fill="FFFFFF"/>
        <w:adjustRightInd w:val="0"/>
        <w:snapToGrid w:val="0"/>
        <w:spacing w:beforeAutospacing="0" w:afterAutospacing="0" w:line="594" w:lineRule="exact"/>
        <w:ind w:firstLine="640" w:firstLineChars="200"/>
        <w:rPr>
          <w:rStyle w:val="11"/>
          <w:rFonts w:hint="default" w:ascii="方正楷体_GBK" w:hAnsi="方正楷体_GBK" w:eastAsia="方正楷体_GBK" w:cs="方正楷体_GBK"/>
          <w:b w:val="0"/>
          <w:bCs/>
          <w:sz w:val="32"/>
          <w:szCs w:val="32"/>
          <w:shd w:val="clear" w:color="auto" w:fill="FFFFFF"/>
        </w:rPr>
      </w:pPr>
      <w:r>
        <w:rPr>
          <w:rStyle w:val="11"/>
          <w:rFonts w:hint="default" w:ascii="方正楷体_GBK" w:hAnsi="方正楷体_GBK" w:eastAsia="方正楷体_GBK" w:cs="方正楷体_GBK"/>
          <w:b w:val="0"/>
          <w:bCs/>
          <w:sz w:val="32"/>
          <w:szCs w:val="32"/>
          <w:shd w:val="clear" w:color="auto" w:fill="FFFFFF"/>
        </w:rPr>
        <w:t>（二）机构设置</w:t>
      </w:r>
    </w:p>
    <w:p>
      <w:pPr>
        <w:pStyle w:val="7"/>
        <w:widowControl w:val="0"/>
        <w:shd w:val="clear" w:color="auto" w:fill="FFFFFF"/>
        <w:adjustRightInd w:val="0"/>
        <w:snapToGrid w:val="0"/>
        <w:spacing w:before="0" w:beforeAutospacing="0" w:after="0" w:afterAutospacing="0" w:line="594" w:lineRule="exact"/>
        <w:ind w:firstLine="640" w:firstLineChars="200"/>
        <w:rPr>
          <w:rFonts w:hint="default" w:ascii="Times New Roman" w:hAnsi="Times New Roman" w:eastAsia="方正仿宋_GBK"/>
          <w:sz w:val="32"/>
        </w:rPr>
      </w:pPr>
      <w:r>
        <w:rPr>
          <w:rFonts w:hint="default" w:ascii="Times New Roman" w:hAnsi="Times New Roman" w:eastAsia="方正仿宋_GBK"/>
          <w:sz w:val="32"/>
        </w:rPr>
        <w:t>中共垫江县委社会工作部是县委职能部门，</w:t>
      </w:r>
      <w:r>
        <w:rPr>
          <w:rFonts w:hint="default" w:ascii="Times New Roman" w:hAnsi="Times New Roman" w:eastAsia="方正仿宋_GBK"/>
          <w:sz w:val="32"/>
          <w:szCs w:val="32"/>
        </w:rPr>
        <w:t>机构规格为</w:t>
      </w:r>
      <w:r>
        <w:rPr>
          <w:rFonts w:hint="default" w:ascii="Times New Roman" w:hAnsi="Times New Roman" w:eastAsia="方正仿宋_GBK"/>
          <w:sz w:val="32"/>
        </w:rPr>
        <w:t>正科级。核定机关行政编制9名，设部长1名，副部长2名，内设机构领导职数3名，内部机构设置为办公室、基层治理科、非公党建科（行业协会商会科）。</w:t>
      </w:r>
    </w:p>
    <w:p>
      <w:pPr>
        <w:pStyle w:val="7"/>
        <w:widowControl w:val="0"/>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Style w:val="11"/>
          <w:rFonts w:ascii="方正黑体_GBK" w:hAnsi="方正黑体_GBK" w:eastAsia="方正黑体_GBK" w:cs="方正黑体_GBK"/>
          <w:b w:val="0"/>
          <w:bCs/>
          <w:sz w:val="32"/>
          <w:szCs w:val="32"/>
          <w:shd w:val="clear" w:color="auto" w:fill="FFFFFF"/>
        </w:rPr>
        <w:t>二、部门决算收支情况说明</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pPr>
        <w:pStyle w:val="7"/>
        <w:widowControl w:val="0"/>
        <w:shd w:val="clear" w:color="auto" w:fill="FFFFFF"/>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2024年度收入总计110.22万元，支出总计</w:t>
      </w:r>
      <w:r>
        <w:rPr>
          <w:rFonts w:hint="default" w:ascii="Times New Roman" w:hAnsi="Times New Roman" w:eastAsia="方正仿宋_GBK"/>
          <w:sz w:val="32"/>
          <w:szCs w:val="32"/>
        </w:rPr>
        <w:t>110.22</w:t>
      </w:r>
      <w:r>
        <w:rPr>
          <w:rFonts w:hint="default" w:ascii="Times New Roman" w:hAnsi="Times New Roman" w:eastAsia="方正仿宋_GBK"/>
          <w:sz w:val="32"/>
          <w:szCs w:val="32"/>
          <w:shd w:val="clear" w:color="auto" w:fill="FFFFFF"/>
        </w:rPr>
        <w:t>万元。收、支与2023年度相比，增加110.22万元，增长100.00%，主要原因是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2024年度收入合计89.23万元，与2023年度相比，增加89.23万元，增长100.00%，主要原因是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89.23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20.99</w:t>
      </w:r>
      <w:r>
        <w:rPr>
          <w:rFonts w:hint="default" w:ascii="Times New Roman" w:hAnsi="Times New Roman" w:eastAsia="方正仿宋_GBK"/>
          <w:sz w:val="32"/>
          <w:szCs w:val="32"/>
          <w:shd w:val="clear" w:color="auto" w:fill="FFFFFF"/>
        </w:rPr>
        <w:t>万元。</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110.22</w:t>
      </w:r>
      <w:r>
        <w:rPr>
          <w:rFonts w:hint="default" w:ascii="Times New Roman" w:hAnsi="Times New Roman" w:eastAsia="方正仿宋_GBK"/>
          <w:sz w:val="32"/>
          <w:szCs w:val="32"/>
          <w:shd w:val="clear" w:color="auto" w:fill="FFFFFF"/>
        </w:rPr>
        <w:t>万元，与2023年度相比，增加110.22万元，增长100.00%，主要原因是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80.45</w:t>
      </w:r>
      <w:r>
        <w:rPr>
          <w:rFonts w:hint="default" w:ascii="Times New Roman" w:hAnsi="Times New Roman" w:eastAsia="方正仿宋_GBK"/>
          <w:sz w:val="32"/>
          <w:szCs w:val="32"/>
          <w:shd w:val="clear" w:color="auto" w:fill="FFFFFF"/>
        </w:rPr>
        <w:t>万元，占72.99%；项目支出</w:t>
      </w:r>
      <w:r>
        <w:rPr>
          <w:rFonts w:hint="default" w:ascii="Times New Roman" w:hAnsi="Times New Roman" w:eastAsia="方正仿宋_GBK"/>
          <w:sz w:val="32"/>
          <w:szCs w:val="32"/>
        </w:rPr>
        <w:t>29.77</w:t>
      </w:r>
      <w:r>
        <w:rPr>
          <w:rFonts w:hint="default" w:ascii="Times New Roman" w:hAnsi="Times New Roman" w:eastAsia="方正仿宋_GBK"/>
          <w:sz w:val="32"/>
          <w:szCs w:val="32"/>
          <w:shd w:val="clear" w:color="auto" w:fill="FFFFFF"/>
        </w:rPr>
        <w:t>万元，占27.01%；经营支出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7"/>
        <w:widowControl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pPr>
        <w:pStyle w:val="12"/>
        <w:widowControl w:val="0"/>
        <w:autoSpaceDE w:val="0"/>
        <w:adjustRightInd w:val="0"/>
        <w:snapToGrid w:val="0"/>
        <w:spacing w:line="594" w:lineRule="exact"/>
        <w:ind w:firstLine="640"/>
        <w:rPr>
          <w:rFonts w:ascii="Times New Roman" w:hAnsi="Times New Roman" w:eastAsia="仿宋_GB2312"/>
          <w:sz w:val="32"/>
          <w:szCs w:val="32"/>
        </w:rPr>
      </w:pPr>
      <w:r>
        <w:rPr>
          <w:rFonts w:ascii="Times New Roman" w:hAnsi="Times New Roman" w:eastAsia="方正仿宋_GBK"/>
          <w:sz w:val="32"/>
          <w:szCs w:val="32"/>
          <w:shd w:val="clear" w:color="auto" w:fill="FFFFFF"/>
        </w:rPr>
        <w:t>2024年度财政拨款收、支总计110.22万元。与2023年相比，财政拨款收、支总计各增加110.22万元，增长100.00%。主要原因是</w:t>
      </w:r>
      <w:r>
        <w:rPr>
          <w:rFonts w:hint="eastAsia" w:ascii="Times New Roman" w:hAnsi="Times New Roman" w:eastAsia="仿宋_GB2312"/>
          <w:sz w:val="32"/>
          <w:szCs w:val="32"/>
        </w:rPr>
        <w:t>本部门</w:t>
      </w:r>
      <w:r>
        <w:rPr>
          <w:rFonts w:ascii="Times New Roman" w:hAnsi="Times New Roman" w:eastAsia="仿宋_GB2312"/>
          <w:sz w:val="32"/>
          <w:szCs w:val="32"/>
        </w:rPr>
        <w:t>为2024年机构改革新成立单位，无上年数据。</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89.23</w:t>
      </w:r>
      <w:r>
        <w:rPr>
          <w:rFonts w:hint="default" w:ascii="Times New Roman" w:hAnsi="Times New Roman" w:eastAsia="方正仿宋_GBK"/>
          <w:sz w:val="32"/>
          <w:szCs w:val="32"/>
          <w:shd w:val="clear" w:color="auto" w:fill="FFFFFF"/>
        </w:rPr>
        <w:t>万元，与2023年度相比，增加89.23万元，增长100.00%。主要原因是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r>
        <w:rPr>
          <w:rFonts w:hint="default" w:ascii="Times New Roman" w:hAnsi="Times New Roman" w:eastAsia="方正仿宋_GBK"/>
          <w:sz w:val="32"/>
          <w:szCs w:val="32"/>
          <w:shd w:val="clear" w:color="auto" w:fill="FFFFFF"/>
        </w:rPr>
        <w:t>较年初预算数增加89.23万元，增长100.00%。主要原因是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20.99</w:t>
      </w:r>
      <w:r>
        <w:rPr>
          <w:rFonts w:hint="default" w:ascii="Times New Roman" w:hAnsi="Times New Roman" w:eastAsia="方正仿宋_GBK"/>
          <w:sz w:val="32"/>
          <w:szCs w:val="32"/>
          <w:shd w:val="clear" w:color="auto" w:fill="FFFFFF"/>
        </w:rPr>
        <w:t>万元。</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110.22</w:t>
      </w:r>
      <w:r>
        <w:rPr>
          <w:rFonts w:hint="default" w:ascii="Times New Roman" w:hAnsi="Times New Roman" w:eastAsia="方正仿宋_GBK"/>
          <w:sz w:val="32"/>
          <w:szCs w:val="32"/>
          <w:shd w:val="clear" w:color="auto" w:fill="FFFFFF"/>
        </w:rPr>
        <w:t>万元，与2023年度相比，增加110.22万元，增长100.00%。主要原因是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r>
        <w:rPr>
          <w:rFonts w:hint="default" w:ascii="Times New Roman" w:hAnsi="Times New Roman" w:eastAsia="方正仿宋_GBK"/>
          <w:sz w:val="32"/>
          <w:szCs w:val="32"/>
          <w:shd w:val="clear" w:color="auto" w:fill="FFFFFF"/>
        </w:rPr>
        <w:t>较年初预算数增加110.22万元，增长100.00%。主要原因是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highlight w:val="cyan"/>
          <w:shd w:val="clear" w:color="auto" w:fill="FFFFFF"/>
        </w:rPr>
      </w:pPr>
      <w:r>
        <w:rPr>
          <w:rStyle w:val="11"/>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86.37</w:t>
      </w:r>
      <w:r>
        <w:rPr>
          <w:rFonts w:hint="default" w:ascii="Times New Roman" w:hAnsi="Times New Roman" w:eastAsia="方正仿宋_GBK"/>
          <w:sz w:val="32"/>
          <w:szCs w:val="32"/>
          <w:shd w:val="clear" w:color="auto" w:fill="FFFFFF"/>
        </w:rPr>
        <w:t>%，较年初预算数增加95.20万元，增长100.00%，主要原因是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w:t>
      </w:r>
      <w:r>
        <w:rPr>
          <w:rFonts w:ascii="Times New Roman" w:hAnsi="Times New Roman" w:eastAsia="仿宋_GB2312"/>
          <w:sz w:val="32"/>
          <w:szCs w:val="32"/>
        </w:rPr>
        <w:t>执行中</w:t>
      </w:r>
      <w:r>
        <w:rPr>
          <w:rFonts w:hint="default" w:ascii="Times New Roman" w:hAnsi="Times New Roman" w:eastAsia="仿宋_GB2312"/>
          <w:sz w:val="32"/>
          <w:szCs w:val="32"/>
        </w:rPr>
        <w:t>新增预算。</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8.09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7.34</w:t>
      </w:r>
      <w:r>
        <w:rPr>
          <w:rFonts w:hint="default" w:ascii="Times New Roman" w:hAnsi="Times New Roman" w:eastAsia="方正仿宋_GBK"/>
          <w:sz w:val="32"/>
          <w:szCs w:val="32"/>
          <w:shd w:val="clear" w:color="auto" w:fill="FFFFFF"/>
        </w:rPr>
        <w:t>%，较年初预算数增加8.09万元，增长100.00%，主要原因是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w:t>
      </w:r>
      <w:r>
        <w:rPr>
          <w:rFonts w:ascii="Times New Roman" w:hAnsi="Times New Roman" w:eastAsia="仿宋_GB2312"/>
          <w:sz w:val="32"/>
          <w:szCs w:val="32"/>
        </w:rPr>
        <w:t>执行中</w:t>
      </w:r>
      <w:r>
        <w:rPr>
          <w:rFonts w:hint="default" w:ascii="Times New Roman" w:hAnsi="Times New Roman" w:eastAsia="仿宋_GB2312"/>
          <w:sz w:val="32"/>
          <w:szCs w:val="32"/>
        </w:rPr>
        <w:t>新增预算。</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（3）卫生健康支出</w:t>
      </w:r>
      <w:r>
        <w:rPr>
          <w:rFonts w:hint="default" w:ascii="Times New Roman" w:hAnsi="Times New Roman" w:eastAsia="方正仿宋_GBK"/>
          <w:sz w:val="32"/>
          <w:szCs w:val="32"/>
        </w:rPr>
        <w:t>2.95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2.68</w:t>
      </w:r>
      <w:r>
        <w:rPr>
          <w:rFonts w:hint="default" w:ascii="Times New Roman" w:hAnsi="Times New Roman" w:eastAsia="方正仿宋_GBK"/>
          <w:sz w:val="32"/>
          <w:szCs w:val="32"/>
          <w:shd w:val="clear" w:color="auto" w:fill="FFFFFF"/>
        </w:rPr>
        <w:t>%，较年初预算数增加2.95万元，增长100.00%，主要原因是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w:t>
      </w:r>
      <w:r>
        <w:rPr>
          <w:rFonts w:ascii="Times New Roman" w:hAnsi="Times New Roman" w:eastAsia="仿宋_GB2312"/>
          <w:sz w:val="32"/>
          <w:szCs w:val="32"/>
        </w:rPr>
        <w:t>执行中</w:t>
      </w:r>
      <w:r>
        <w:rPr>
          <w:rFonts w:hint="default" w:ascii="Times New Roman" w:hAnsi="Times New Roman" w:eastAsia="仿宋_GB2312"/>
          <w:sz w:val="32"/>
          <w:szCs w:val="32"/>
        </w:rPr>
        <w:t>新增预算。</w:t>
      </w:r>
    </w:p>
    <w:p>
      <w:pPr>
        <w:widowControl w:val="0"/>
        <w:adjustRightInd w:val="0"/>
        <w:snapToGrid w:val="0"/>
        <w:spacing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住房保障支出3.97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3.61</w:t>
      </w:r>
      <w:r>
        <w:rPr>
          <w:rFonts w:hint="default" w:ascii="Times New Roman" w:hAnsi="Times New Roman" w:eastAsia="方正仿宋_GBK"/>
          <w:sz w:val="32"/>
          <w:szCs w:val="32"/>
          <w:shd w:val="clear" w:color="auto" w:fill="FFFFFF"/>
        </w:rPr>
        <w:t>%，较年初预算数增加3.97万元，增长100.00%，主要原因是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w:t>
      </w:r>
      <w:r>
        <w:rPr>
          <w:rFonts w:ascii="Times New Roman" w:hAnsi="Times New Roman" w:eastAsia="仿宋_GB2312"/>
          <w:sz w:val="32"/>
          <w:szCs w:val="32"/>
        </w:rPr>
        <w:t>执行中</w:t>
      </w:r>
      <w:r>
        <w:rPr>
          <w:rFonts w:hint="default" w:ascii="Times New Roman" w:hAnsi="Times New Roman" w:eastAsia="仿宋_GB2312"/>
          <w:sz w:val="32"/>
          <w:szCs w:val="32"/>
        </w:rPr>
        <w:t>新增预算。</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pPr>
        <w:pStyle w:val="7"/>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80.45</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64.96</w:t>
      </w:r>
      <w:r>
        <w:rPr>
          <w:rFonts w:hint="default" w:ascii="Times New Roman" w:hAnsi="Times New Roman" w:eastAsia="方正仿宋_GBK"/>
          <w:sz w:val="32"/>
          <w:szCs w:val="32"/>
          <w:shd w:val="clear" w:color="auto" w:fill="FFFFFF"/>
        </w:rPr>
        <w:t>万元，与2023年度相比，增加64.96万元，增长100.00%，主要原因是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r>
        <w:rPr>
          <w:rFonts w:hint="default" w:ascii="Times New Roman" w:hAnsi="Times New Roman" w:eastAsia="方正仿宋_GBK"/>
          <w:sz w:val="32"/>
          <w:szCs w:val="32"/>
          <w:shd w:val="clear" w:color="auto" w:fill="FFFFFF"/>
        </w:rPr>
        <w:t>人员经费用途主要包括</w:t>
      </w:r>
      <w:r>
        <w:rPr>
          <w:rFonts w:hint="default" w:ascii="Times New Roman" w:hAnsi="Times New Roman" w:eastAsia="方正仿宋_GBK"/>
          <w:sz w:val="32"/>
        </w:rPr>
        <w:t>保障</w:t>
      </w:r>
      <w:r>
        <w:rPr>
          <w:rFonts w:ascii="Times New Roman" w:hAnsi="Times New Roman" w:eastAsia="方正仿宋_GBK"/>
          <w:sz w:val="32"/>
        </w:rPr>
        <w:t>本部门</w:t>
      </w:r>
      <w:r>
        <w:rPr>
          <w:rFonts w:hint="default" w:ascii="Times New Roman" w:hAnsi="Times New Roman" w:eastAsia="方正仿宋_GBK"/>
          <w:sz w:val="32"/>
        </w:rPr>
        <w:t>在职人员工资福利及社会保险缴费等。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15.49</w:t>
      </w:r>
      <w:r>
        <w:rPr>
          <w:rFonts w:hint="default" w:ascii="Times New Roman" w:hAnsi="Times New Roman" w:eastAsia="方正仿宋_GBK"/>
          <w:sz w:val="32"/>
          <w:szCs w:val="32"/>
          <w:shd w:val="clear" w:color="auto" w:fill="FFFFFF"/>
        </w:rPr>
        <w:t>万元，与2023年度相比，增加15.49万元，增长100.00%，主要原因是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r>
        <w:rPr>
          <w:rFonts w:hint="default" w:ascii="Times New Roman" w:hAnsi="Times New Roman" w:eastAsia="方正仿宋_GBK"/>
          <w:sz w:val="32"/>
          <w:szCs w:val="32"/>
          <w:shd w:val="clear" w:color="auto" w:fill="FFFFFF"/>
        </w:rPr>
        <w:t>公用经费用途主要包括</w:t>
      </w:r>
      <w:r>
        <w:rPr>
          <w:rFonts w:hint="default" w:ascii="Times New Roman" w:hAnsi="Times New Roman" w:eastAsia="方正仿宋_GBK"/>
          <w:sz w:val="32"/>
        </w:rPr>
        <w:t>保障本部门正常运转的各项商品服务支出。</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（五）政府性基金预算收支决算情况说明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bookmarkStart w:id="0" w:name="_GoBack"/>
      <w:bookmarkEnd w:id="0"/>
      <w:r>
        <w:rPr>
          <w:rFonts w:hint="default" w:ascii="Times New Roman" w:hAnsi="Times New Roman" w:eastAsia="方正仿宋_GBK" w:cs="Times New Roman"/>
          <w:color w:val="000000" w:themeColor="text1"/>
          <w:sz w:val="32"/>
          <w:szCs w:val="32"/>
          <w:shd w:val="clear" w:color="auto" w:fill="FFFFFF"/>
        </w:rPr>
        <w:t>本年度无政府性基金预算财政拨款支出。</w:t>
      </w:r>
      <w:r>
        <w:rPr>
          <w:rFonts w:ascii="Times New Roman" w:hAnsi="Times New Roman" w:eastAsia="方正仿宋_GBK"/>
          <w:color w:val="000000" w:themeColor="text1"/>
          <w:sz w:val="32"/>
          <w:szCs w:val="32"/>
          <w:shd w:val="clear" w:color="auto" w:fill="FFFFFF"/>
        </w:rPr>
        <w:t>本部门2024年度无政府性基金预算财政拨款收支。</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（六）国有资本经营预算财政拨款支出决算情况说明</w:t>
      </w:r>
    </w:p>
    <w:p>
      <w:pPr>
        <w:pStyle w:val="7"/>
        <w:widowControl w:val="0"/>
        <w:shd w:val="clear" w:color="auto" w:fill="FFFFFF"/>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万元。本部门2024年度无国有资本经营预算财政拨款支出。</w:t>
      </w:r>
    </w:p>
    <w:p>
      <w:pPr>
        <w:pStyle w:val="7"/>
        <w:widowControl w:val="0"/>
        <w:shd w:val="clear" w:color="auto" w:fill="FFFFFF"/>
        <w:adjustRightInd w:val="0"/>
        <w:snapToGrid w:val="0"/>
        <w:spacing w:before="0" w:beforeAutospacing="0" w:after="0" w:afterAutospacing="0" w:line="594"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三、财政拨款</w:t>
      </w:r>
      <w:r>
        <w:rPr>
          <w:rStyle w:val="11"/>
          <w:rFonts w:hint="eastAsia" w:ascii="方正黑体_GBK" w:hAnsi="方正黑体_GBK" w:eastAsia="方正黑体_GBK" w:cs="方正黑体_GBK"/>
          <w:b w:val="0"/>
          <w:bCs/>
          <w:sz w:val="32"/>
          <w:szCs w:val="32"/>
          <w:shd w:val="clear" w:color="auto" w:fill="FFFFFF"/>
          <w:lang w:eastAsia="zh-CN"/>
        </w:rPr>
        <w:t>三公</w:t>
      </w:r>
      <w:r>
        <w:rPr>
          <w:rStyle w:val="11"/>
          <w:rFonts w:ascii="方正黑体_GBK" w:hAnsi="方正黑体_GBK" w:eastAsia="方正黑体_GBK" w:cs="方正黑体_GBK"/>
          <w:b w:val="0"/>
          <w:bCs/>
          <w:sz w:val="32"/>
          <w:szCs w:val="32"/>
          <w:shd w:val="clear" w:color="auto" w:fill="FFFFFF"/>
        </w:rPr>
        <w:t>经费情况说明</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ascii="方正楷体_GBK" w:hAnsi="方正楷体_GBK" w:eastAsia="方正楷体_GBK" w:cs="方正楷体_GBK"/>
          <w:sz w:val="32"/>
          <w:szCs w:val="32"/>
          <w:shd w:val="clear" w:color="auto" w:fill="FFFFFF"/>
        </w:rPr>
        <w:t>（一）</w:t>
      </w:r>
      <w:r>
        <w:rPr>
          <w:rFonts w:hint="eastAsia" w:ascii="方正楷体_GBK" w:hAnsi="方正楷体_GBK" w:eastAsia="方正楷体_GBK" w:cs="方正楷体_GBK"/>
          <w:sz w:val="32"/>
          <w:szCs w:val="32"/>
          <w:shd w:val="clear" w:color="auto" w:fill="FFFFFF"/>
          <w:lang w:eastAsia="zh-CN"/>
        </w:rPr>
        <w:t>三公</w:t>
      </w:r>
      <w:r>
        <w:rPr>
          <w:rFonts w:ascii="方正楷体_GBK" w:hAnsi="方正楷体_GBK" w:eastAsia="方正楷体_GBK" w:cs="方正楷体_GBK"/>
          <w:sz w:val="32"/>
          <w:szCs w:val="32"/>
          <w:shd w:val="clear" w:color="auto" w:fill="FFFFFF"/>
        </w:rPr>
        <w:t>经费支出总体情况说明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0.34</w:t>
      </w:r>
      <w:r>
        <w:rPr>
          <w:rFonts w:hint="default" w:ascii="Times New Roman" w:hAnsi="Times New Roman" w:eastAsia="方正仿宋_GBK"/>
          <w:sz w:val="32"/>
          <w:szCs w:val="32"/>
          <w:shd w:val="clear" w:color="auto" w:fill="FFFFFF"/>
        </w:rPr>
        <w:t>万元，较年初预算数增加0.34万元，增长100.00%，主要原因是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较上年支出数增加0.34万元，增长100.00%，主要原因是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ascii="方正楷体_GBK" w:hAnsi="方正楷体_GBK" w:eastAsia="方正楷体_GBK" w:cs="方正楷体_GBK"/>
          <w:sz w:val="32"/>
          <w:szCs w:val="32"/>
          <w:shd w:val="clear" w:color="auto" w:fill="FFFFFF"/>
        </w:rPr>
        <w:t>（二）</w:t>
      </w:r>
      <w:r>
        <w:rPr>
          <w:rFonts w:hint="eastAsia" w:ascii="方正楷体_GBK" w:hAnsi="方正楷体_GBK" w:eastAsia="方正楷体_GBK" w:cs="方正楷体_GBK"/>
          <w:sz w:val="32"/>
          <w:szCs w:val="32"/>
          <w:shd w:val="clear" w:color="auto" w:fill="FFFFFF"/>
          <w:lang w:eastAsia="zh-CN"/>
        </w:rPr>
        <w:t>三公</w:t>
      </w:r>
      <w:r>
        <w:rPr>
          <w:rFonts w:ascii="方正楷体_GBK" w:hAnsi="方正楷体_GBK" w:eastAsia="方正楷体_GBK" w:cs="方正楷体_GBK"/>
          <w:sz w:val="32"/>
          <w:szCs w:val="32"/>
          <w:shd w:val="clear" w:color="auto" w:fill="FFFFFF"/>
        </w:rPr>
        <w:t>经费分项支出情况</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与2023年度相比，无增减，主要原因是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与2023年度相比，无增减，主要原因是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与2023年度相比，无增减，主要原因是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0.34</w:t>
      </w:r>
      <w:r>
        <w:rPr>
          <w:rFonts w:hint="default" w:ascii="Times New Roman" w:hAnsi="Times New Roman" w:eastAsia="方正仿宋_GBK"/>
          <w:sz w:val="32"/>
          <w:szCs w:val="32"/>
          <w:shd w:val="clear" w:color="auto" w:fill="FFFFFF"/>
        </w:rPr>
        <w:t>万元，主要用于接待市委社会工作部来垫调研、基层治理工作成效专项督查等工作。费用支出较年初预算数增加0.34万元，增长100.00%，主要原因是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较上年支出数增加0.34万元，增长100.00%，主要原因是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w:t>
      </w:r>
      <w:r>
        <w:rPr>
          <w:rFonts w:hint="eastAsia" w:ascii="方正楷体_GBK" w:hAnsi="方正楷体_GBK" w:eastAsia="方正楷体_GBK" w:cs="方正楷体_GBK"/>
          <w:sz w:val="32"/>
          <w:szCs w:val="32"/>
          <w:shd w:val="clear" w:color="auto" w:fill="FFFFFF"/>
          <w:lang w:eastAsia="zh-CN"/>
        </w:rPr>
        <w:t>三公</w:t>
      </w:r>
      <w:r>
        <w:rPr>
          <w:rFonts w:hint="eastAsia" w:ascii="方正楷体_GBK" w:hAnsi="方正楷体_GBK" w:eastAsia="方正楷体_GBK" w:cs="方正楷体_GBK"/>
          <w:sz w:val="32"/>
          <w:szCs w:val="32"/>
          <w:shd w:val="clear" w:color="auto" w:fill="FFFFFF"/>
        </w:rPr>
        <w:t>经费实物量情况</w:t>
      </w:r>
    </w:p>
    <w:p>
      <w:pPr>
        <w:pStyle w:val="7"/>
        <w:widowControl w:val="0"/>
        <w:shd w:val="clear" w:color="auto" w:fill="FFFFFF"/>
        <w:adjustRightInd w:val="0"/>
        <w:snapToGrid w:val="0"/>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3</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35</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98.23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7"/>
        <w:widowControl w:val="0"/>
        <w:shd w:val="clear" w:color="auto" w:fill="FFFFFF"/>
        <w:adjustRightInd w:val="0"/>
        <w:snapToGrid w:val="0"/>
        <w:spacing w:beforeAutospacing="0" w:afterAutospacing="0" w:line="594"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ascii="方正楷体_GBK" w:hAnsi="方正楷体_GBK" w:eastAsia="方正楷体_GBK" w:cs="方正楷体_GBK"/>
          <w:sz w:val="32"/>
          <w:szCs w:val="32"/>
          <w:shd w:val="clear" w:color="auto" w:fill="FFFFFF"/>
        </w:rPr>
        <w:t>（一）财政拨款会议费和培训费情况说明</w:t>
      </w:r>
    </w:p>
    <w:p>
      <w:pPr>
        <w:pStyle w:val="12"/>
        <w:widowControl w:val="0"/>
        <w:autoSpaceDE w:val="0"/>
        <w:adjustRightInd w:val="0"/>
        <w:snapToGrid w:val="0"/>
        <w:spacing w:line="594" w:lineRule="exact"/>
        <w:ind w:firstLine="640"/>
        <w:rPr>
          <w:rFonts w:ascii="Times New Roman" w:hAnsi="Times New Roman" w:eastAsia="仿宋_GB2312"/>
          <w:sz w:val="32"/>
          <w:szCs w:val="32"/>
        </w:rPr>
      </w:pPr>
      <w:r>
        <w:rPr>
          <w:rFonts w:ascii="Times New Roman" w:hAnsi="Times New Roman" w:eastAsia="方正仿宋_GBK"/>
          <w:sz w:val="32"/>
          <w:szCs w:val="32"/>
          <w:shd w:val="clear" w:color="auto" w:fill="FFFFFF"/>
        </w:rPr>
        <w:t>本年度会议费支出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万元，与2023年度相比，无增减，主要原因是</w:t>
      </w:r>
      <w:r>
        <w:rPr>
          <w:rFonts w:hint="eastAsia" w:ascii="Times New Roman" w:hAnsi="Times New Roman" w:eastAsia="仿宋_GB2312"/>
          <w:sz w:val="32"/>
          <w:szCs w:val="32"/>
        </w:rPr>
        <w:t>本部门</w:t>
      </w:r>
      <w:r>
        <w:rPr>
          <w:rFonts w:ascii="Times New Roman" w:hAnsi="Times New Roman" w:eastAsia="仿宋_GB2312"/>
          <w:sz w:val="32"/>
          <w:szCs w:val="32"/>
        </w:rPr>
        <w:t>为2024年机构改革新成立单位，无上年数据。</w:t>
      </w:r>
      <w:r>
        <w:rPr>
          <w:rFonts w:ascii="Times New Roman" w:hAnsi="Times New Roman" w:eastAsia="方正仿宋_GBK"/>
          <w:sz w:val="32"/>
          <w:szCs w:val="32"/>
          <w:shd w:val="clear" w:color="auto" w:fill="FFFFFF"/>
        </w:rPr>
        <w:t>本年度培训费支出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万元，与2023年度相比，无变化，主要原因是</w:t>
      </w:r>
      <w:r>
        <w:rPr>
          <w:rFonts w:hint="eastAsia" w:ascii="Times New Roman" w:hAnsi="Times New Roman" w:eastAsia="仿宋_GB2312"/>
          <w:sz w:val="32"/>
          <w:szCs w:val="32"/>
        </w:rPr>
        <w:t>本部门</w:t>
      </w:r>
      <w:r>
        <w:rPr>
          <w:rFonts w:ascii="Times New Roman" w:hAnsi="Times New Roman" w:eastAsia="仿宋_GB2312"/>
          <w:sz w:val="32"/>
          <w:szCs w:val="32"/>
        </w:rPr>
        <w:t>为2024年机构改革新成立单位，无上年数据。</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（二）机关运行经费情况说明</w:t>
      </w:r>
    </w:p>
    <w:p>
      <w:pPr>
        <w:pStyle w:val="7"/>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15.49</w:t>
      </w:r>
      <w:r>
        <w:rPr>
          <w:rFonts w:hint="default" w:ascii="Times New Roman" w:hAnsi="Times New Roman" w:eastAsia="方正仿宋_GBK"/>
          <w:sz w:val="32"/>
          <w:szCs w:val="32"/>
          <w:shd w:val="clear" w:color="auto" w:fill="FFFFFF"/>
        </w:rPr>
        <w:t>万元，机关运行经费主要用于开支</w:t>
      </w:r>
      <w:r>
        <w:rPr>
          <w:rFonts w:hint="default" w:ascii="Times New Roman" w:hAnsi="Times New Roman" w:eastAsia="方正仿宋_GBK"/>
          <w:sz w:val="32"/>
        </w:rPr>
        <w:t>办公费、印刷费、邮电费、差旅费、会议费、培训费及其他商品和服务支出等。</w:t>
      </w:r>
      <w:r>
        <w:rPr>
          <w:rFonts w:hint="default" w:ascii="Times New Roman" w:hAnsi="Times New Roman" w:eastAsia="方正仿宋_GBK"/>
          <w:sz w:val="32"/>
          <w:szCs w:val="32"/>
          <w:shd w:val="clear" w:color="auto" w:fill="FFFFFF"/>
        </w:rPr>
        <w:t>机关运行经费较上年支出数增加15.49万元，增长100.00%，主要原因是</w:t>
      </w:r>
      <w:r>
        <w:rPr>
          <w:rFonts w:ascii="Times New Roman" w:hAnsi="Times New Roman" w:eastAsia="仿宋_GB2312"/>
          <w:sz w:val="32"/>
          <w:szCs w:val="32"/>
        </w:rPr>
        <w:t>本部门</w:t>
      </w:r>
      <w:r>
        <w:rPr>
          <w:rFonts w:hint="default" w:ascii="Times New Roman" w:hAnsi="Times New Roman" w:eastAsia="仿宋_GB2312"/>
          <w:sz w:val="32"/>
          <w:szCs w:val="32"/>
        </w:rPr>
        <w:t>为2024年机构改革新成立单位，无上年数据。</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ascii="方正楷体_GBK" w:hAnsi="方正楷体_GBK" w:eastAsia="方正楷体_GBK" w:cs="方正楷体_GBK"/>
          <w:sz w:val="32"/>
          <w:szCs w:val="32"/>
          <w:shd w:val="clear" w:color="auto" w:fill="FFFFFF"/>
        </w:rPr>
        <w:t>（三）国有资产占用情况说明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（四）政府采购支出情况说明</w:t>
      </w:r>
    </w:p>
    <w:p>
      <w:pPr>
        <w:pStyle w:val="7"/>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w:t>
      </w:r>
      <w:r>
        <w:rPr>
          <w:rFonts w:hint="default" w:ascii="Times New Roman" w:hAnsi="Times New Roman" w:eastAsia="方正仿宋_GBK"/>
          <w:sz w:val="32"/>
          <w:szCs w:val="32"/>
        </w:rPr>
        <w:t>11.12</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11.12</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11.12万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11.12</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 xml:space="preserve"> %。主要用于采购办公家具和办公电脑设备等。</w:t>
      </w:r>
    </w:p>
    <w:p>
      <w:pPr>
        <w:pStyle w:val="13"/>
        <w:widowControl w:val="0"/>
        <w:adjustRightInd w:val="0"/>
        <w:snapToGrid w:val="0"/>
        <w:spacing w:before="0" w:beforeAutospacing="0" w:after="0" w:afterAutospacing="0" w:line="594"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w:t>
      </w:r>
      <w:r>
        <w:rPr>
          <w:rFonts w:hint="eastAsia" w:ascii="方正楷体_GBK" w:hAnsi="方正楷体_GBK" w:eastAsia="方正楷体_GBK" w:cs="方正楷体_GBK"/>
          <w:sz w:val="32"/>
          <w:szCs w:val="32"/>
          <w:shd w:val="clear" w:color="auto" w:fill="FFFFFF"/>
        </w:rPr>
        <w:t>部门</w:t>
      </w:r>
      <w:r>
        <w:rPr>
          <w:rFonts w:ascii="方正楷体_GBK" w:hAnsi="方正楷体_GBK" w:eastAsia="方正楷体_GBK" w:cs="方正楷体_GBK"/>
          <w:sz w:val="32"/>
          <w:szCs w:val="32"/>
          <w:shd w:val="clear" w:color="auto" w:fill="FFFFFF"/>
        </w:rPr>
        <w:t>自评情况</w:t>
      </w: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rPr>
        <w:t>部门</w:t>
      </w:r>
      <w:r>
        <w:rPr>
          <w:rFonts w:ascii="Times New Roman" w:hAnsi="Times New Roman" w:eastAsia="方正仿宋_GBK"/>
          <w:sz w:val="32"/>
          <w:szCs w:val="32"/>
          <w:shd w:val="clear" w:color="auto" w:fill="FFFFFF"/>
        </w:rPr>
        <w:t>对1个二级项目开展了绩效自评，涉及财政拨款项目支出资金29.77万元。</w:t>
      </w:r>
      <w:r>
        <w:rPr>
          <w:rFonts w:hint="eastAsia" w:ascii="Times New Roman" w:hAnsi="Times New Roman" w:eastAsia="方正仿宋_GBK"/>
          <w:sz w:val="32"/>
          <w:szCs w:val="32"/>
          <w:shd w:val="clear" w:color="auto" w:fill="FFFFFF"/>
        </w:rPr>
        <w:t>本部门为</w:t>
      </w:r>
      <w:r>
        <w:rPr>
          <w:rFonts w:ascii="Times New Roman" w:hAnsi="Times New Roman" w:eastAsia="仿宋_GB2312"/>
          <w:sz w:val="32"/>
          <w:szCs w:val="32"/>
        </w:rPr>
        <w:t>2024年机构改革新成立单位，无</w:t>
      </w:r>
      <w:r>
        <w:rPr>
          <w:rFonts w:hint="eastAsia" w:ascii="Times New Roman" w:hAnsi="Times New Roman" w:eastAsia="仿宋_GB2312"/>
          <w:sz w:val="32"/>
          <w:szCs w:val="32"/>
        </w:rPr>
        <w:t>部门整体绩效自评。</w:t>
      </w: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drawing>
          <wp:anchor distT="0" distB="0" distL="114300" distR="114300" simplePos="0" relativeHeight="251659264" behindDoc="0" locked="0" layoutInCell="1" allowOverlap="1">
            <wp:simplePos x="0" y="0"/>
            <wp:positionH relativeFrom="column">
              <wp:posOffset>177165</wp:posOffset>
            </wp:positionH>
            <wp:positionV relativeFrom="paragraph">
              <wp:posOffset>6985</wp:posOffset>
            </wp:positionV>
            <wp:extent cx="5730875" cy="37922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0875" cy="3792220"/>
                    </a:xfrm>
                    <a:prstGeom prst="rect">
                      <a:avLst/>
                    </a:prstGeom>
                    <a:noFill/>
                  </pic:spPr>
                </pic:pic>
              </a:graphicData>
            </a:graphic>
          </wp:anchor>
        </w:drawing>
      </w: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rPr>
          <w:rFonts w:hint="eastAsia" w:ascii="Times New Roman" w:hAnsi="Times New Roman" w:eastAsia="仿宋_GB2312"/>
          <w:sz w:val="32"/>
          <w:szCs w:val="32"/>
        </w:rPr>
      </w:pPr>
    </w:p>
    <w:p>
      <w:pPr>
        <w:pStyle w:val="13"/>
        <w:widowControl w:val="0"/>
        <w:autoSpaceDE w:val="0"/>
        <w:adjustRightInd w:val="0"/>
        <w:snapToGrid w:val="0"/>
        <w:spacing w:before="0" w:beforeAutospacing="0" w:after="0" w:afterAutospacing="0" w:line="594"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shd w:val="clear" w:color="auto" w:fill="FFFFFF"/>
        </w:rPr>
        <w:t>（二）部门绩效评价情况</w:t>
      </w:r>
    </w:p>
    <w:p>
      <w:pPr>
        <w:pStyle w:val="12"/>
        <w:widowControl w:val="0"/>
        <w:spacing w:line="594" w:lineRule="exact"/>
        <w:ind w:firstLine="640"/>
        <w:jc w:val="both"/>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本部门</w:t>
      </w:r>
      <w:r>
        <w:rPr>
          <w:rFonts w:ascii="Times New Roman" w:hAnsi="Times New Roman" w:eastAsia="方正仿宋_GBK"/>
          <w:sz w:val="32"/>
          <w:szCs w:val="32"/>
          <w:shd w:val="clear" w:color="auto" w:fill="FFFFFF"/>
        </w:rPr>
        <w:t>未组织开展绩效评价。</w:t>
      </w:r>
    </w:p>
    <w:p>
      <w:pPr>
        <w:pStyle w:val="13"/>
        <w:widowControl w:val="0"/>
        <w:autoSpaceDE w:val="0"/>
        <w:adjustRightInd w:val="0"/>
        <w:snapToGrid w:val="0"/>
        <w:spacing w:before="0" w:beforeAutospacing="0" w:after="0" w:afterAutospacing="0" w:line="594"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pPr>
        <w:pStyle w:val="17"/>
        <w:widowControl w:val="0"/>
        <w:autoSpaceDE w:val="0"/>
        <w:adjustRightInd w:val="0"/>
        <w:snapToGrid w:val="0"/>
        <w:spacing w:line="594" w:lineRule="exact"/>
        <w:ind w:firstLine="640"/>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县</w:t>
      </w:r>
      <w:r>
        <w:rPr>
          <w:rFonts w:hint="default" w:ascii="Times New Roman" w:hAnsi="Times New Roman" w:eastAsia="方正仿宋_GBK"/>
          <w:sz w:val="32"/>
          <w:szCs w:val="32"/>
          <w:shd w:val="clear" w:color="auto" w:fill="FFFFFF"/>
        </w:rPr>
        <w:t>财政局未委托第三方对我部门开展绩效评价。</w:t>
      </w:r>
    </w:p>
    <w:p>
      <w:pPr>
        <w:pStyle w:val="13"/>
        <w:widowControl w:val="0"/>
        <w:autoSpaceDE w:val="0"/>
        <w:adjustRightInd w:val="0"/>
        <w:snapToGrid w:val="0"/>
        <w:spacing w:before="0" w:beforeAutospacing="0" w:after="0" w:afterAutospacing="0" w:line="594" w:lineRule="exact"/>
        <w:ind w:firstLine="643" w:firstLineChars="200"/>
        <w:rPr>
          <w:rFonts w:ascii="Times New Roman" w:hAnsi="Times New Roman" w:eastAsia="方正仿宋_GBK"/>
          <w:sz w:val="32"/>
          <w:szCs w:val="32"/>
        </w:rPr>
      </w:pPr>
      <w:r>
        <w:rPr>
          <w:rStyle w:val="11"/>
          <w:rFonts w:ascii="Times New Roman" w:hAnsi="Times New Roman" w:eastAsia="黑体"/>
          <w:sz w:val="32"/>
          <w:szCs w:val="32"/>
          <w:shd w:val="clear" w:color="auto" w:fill="FFFFFF"/>
        </w:rPr>
        <w:t>六、专业名词解释</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（十二）</w:t>
      </w:r>
      <w:r>
        <w:rPr>
          <w:rFonts w:hint="eastAsia" w:ascii="方正楷体_GBK" w:hAnsi="方正楷体_GBK" w:eastAsia="方正楷体_GBK" w:cs="方正楷体_GBK"/>
          <w:sz w:val="32"/>
          <w:szCs w:val="32"/>
          <w:shd w:val="clear" w:color="auto" w:fill="FFFFFF"/>
          <w:lang w:eastAsia="zh-CN"/>
        </w:rPr>
        <w:t>三公</w:t>
      </w:r>
      <w:r>
        <w:rPr>
          <w:rFonts w:ascii="方正楷体_GBK" w:hAnsi="方正楷体_GBK" w:eastAsia="方正楷体_GBK" w:cs="方正楷体_GBK"/>
          <w:sz w:val="32"/>
          <w:szCs w:val="32"/>
          <w:shd w:val="clear" w:color="auto" w:fill="FFFFFF"/>
        </w:rPr>
        <w:t>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widowControl w:val="0"/>
        <w:adjustRightInd w:val="0"/>
        <w:snapToGrid w:val="0"/>
        <w:spacing w:before="0" w:beforeAutospacing="0" w:after="0" w:afterAutospacing="0" w:line="594" w:lineRule="exact"/>
        <w:ind w:firstLine="640" w:firstLineChars="200"/>
        <w:rPr>
          <w:rFonts w:ascii="方正黑体_GBK" w:hAnsi="方正黑体_GBK" w:eastAsia="方正黑体_GBK" w:cs="方正黑体_GBK"/>
          <w:bCs/>
          <w:sz w:val="32"/>
          <w:szCs w:val="32"/>
        </w:rPr>
      </w:pPr>
      <w:r>
        <w:rPr>
          <w:rStyle w:val="11"/>
          <w:rFonts w:hint="eastAsia" w:ascii="方正黑体_GBK" w:hAnsi="方正黑体_GBK" w:eastAsia="方正黑体_GBK" w:cs="方正黑体_GBK"/>
          <w:b w:val="0"/>
          <w:bCs/>
          <w:sz w:val="32"/>
          <w:szCs w:val="32"/>
          <w:shd w:val="clear" w:color="auto" w:fill="FFFFFF"/>
        </w:rPr>
        <w:t>七、决算公开联系方式及信息反馈渠道</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shd w:val="clear" w:color="auto" w:fill="FFFFFF"/>
        </w:rPr>
        <w:t>本部门</w:t>
      </w:r>
      <w:r>
        <w:rPr>
          <w:rFonts w:ascii="Times New Roman" w:hAnsi="Times New Roman" w:eastAsia="方正仿宋_GBK"/>
          <w:sz w:val="32"/>
          <w:szCs w:val="32"/>
          <w:shd w:val="clear" w:color="auto" w:fill="FFFFFF"/>
        </w:rPr>
        <w:t>决算公开信息反馈和联系方式：雷老师 023-74501778</w:t>
      </w:r>
    </w:p>
    <w:p>
      <w:pPr>
        <w:pStyle w:val="12"/>
        <w:widowControl w:val="0"/>
        <w:autoSpaceDE w:val="0"/>
        <w:adjustRightInd w:val="0"/>
        <w:snapToGrid w:val="0"/>
        <w:spacing w:line="594"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center"/>
          </w:tcPr>
          <w:p>
            <w:pPr>
              <w:spacing w:line="400" w:lineRule="exact"/>
              <w:jc w:val="center"/>
              <w:textAlignment w:val="bottom"/>
              <w:rPr>
                <w:rFonts w:hint="default" w:cs="宋体"/>
                <w:b/>
                <w:color w:val="000000"/>
                <w:sz w:val="32"/>
                <w:szCs w:val="32"/>
              </w:rPr>
            </w:pPr>
            <w:r>
              <w:rPr>
                <w:rFonts w:ascii="方正小标宋_GBK" w:hAnsi="方正小标宋_GBK" w:eastAsia="方正小标宋_GBK" w:cs="方正小标宋_GBK"/>
                <w:bCs/>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中共垫江县委社会工作部</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110.22</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eastAsia" w:eastAsia="宋体" w:cs="宋体"/>
          <w:sz w:val="20"/>
          <w:szCs w:val="20"/>
          <w:lang w:eastAsia="zh-CN"/>
        </w:rPr>
      </w:pPr>
      <w:r>
        <w:rPr>
          <w:rFonts w:cs="宋体"/>
          <w:sz w:val="20"/>
          <w:szCs w:val="20"/>
        </w:rPr>
        <w:t>备注：1.本表反映部门本年度的总收支和年末结转结余情况。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pStyle w:val="2"/>
        <w:rPr>
          <w:rFonts w:hint="eastAsia"/>
          <w:lang w:eastAsia="zh-CN"/>
        </w:rPr>
      </w:pPr>
    </w:p>
    <w:p>
      <w:pPr>
        <w:pStyle w:val="2"/>
        <w:rPr>
          <w:rFonts w:hint="eastAsia"/>
          <w:lang w:eastAsia="zh-CN"/>
        </w:rPr>
      </w:pPr>
    </w:p>
    <w:tbl>
      <w:tblPr>
        <w:tblStyle w:val="8"/>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ascii="方正小标宋_GBK" w:hAnsi="方正小标宋_GBK" w:eastAsia="方正小标宋_GBK" w:cs="方正小标宋_GBK"/>
                <w:bCs/>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中共垫江县委社会工作部</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89.23</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89.23</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eastAsia" w:eastAsia="宋体" w:cs="宋体"/>
          <w:sz w:val="20"/>
          <w:szCs w:val="20"/>
          <w:lang w:eastAsia="zh-CN"/>
        </w:rPr>
      </w:pPr>
      <w:r>
        <w:rPr>
          <w:rFonts w:cs="宋体"/>
          <w:sz w:val="20"/>
          <w:szCs w:val="20"/>
        </w:rPr>
        <w:t>备注：1.本表反映部门本年度取得的各项收入情况。</w:t>
      </w:r>
    </w:p>
    <w:p>
      <w:pPr>
        <w:ind w:left="600" w:hanging="600" w:hangingChars="300"/>
        <w:rPr>
          <w:rFonts w:hint="eastAsia" w:eastAsia="宋体" w:cs="宋体"/>
          <w:sz w:val="20"/>
          <w:szCs w:val="20"/>
          <w:lang w:eastAsia="zh-CN"/>
        </w:rPr>
      </w:pPr>
      <w:r>
        <w:rPr>
          <w:rFonts w:cs="宋体"/>
          <w:sz w:val="20"/>
          <w:szCs w:val="20"/>
        </w:rPr>
        <w:t>2.本套报表金额单位转换时可能存在尾数误差。</w:t>
      </w:r>
    </w:p>
    <w:p>
      <w:pPr>
        <w:pStyle w:val="2"/>
        <w:rPr>
          <w:rFonts w:hint="eastAsia"/>
          <w:lang w:eastAsia="zh-CN"/>
        </w:rPr>
      </w:pPr>
    </w:p>
    <w:p>
      <w:pPr>
        <w:pStyle w:val="2"/>
        <w:rPr>
          <w:rFonts w:hint="eastAsia"/>
          <w:lang w:eastAsia="zh-CN"/>
        </w:rPr>
      </w:pPr>
    </w:p>
    <w:tbl>
      <w:tblPr>
        <w:tblStyle w:val="8"/>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ascii="方正小标宋_GBK" w:hAnsi="方正小标宋_GBK" w:eastAsia="方正小标宋_GBK" w:cs="方正小标宋_GBK"/>
                <w:bCs/>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中共垫江县委社会工作部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110.22</w:t>
            </w:r>
            <w:r>
              <w:rPr>
                <w:rFonts w:ascii="Times New Roman" w:hAnsi="Times New Roman"/>
                <w:b/>
                <w:color w:val="000000"/>
                <w:sz w:val="20"/>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ascii="Times New Roman" w:hAnsi="Times New Roman"/>
                <w:b/>
                <w:color w:val="000000"/>
                <w:sz w:val="20"/>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29.77</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65.43</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65.43</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eastAsia" w:eastAsia="宋体" w:cs="宋体"/>
          <w:sz w:val="20"/>
          <w:szCs w:val="20"/>
          <w:lang w:eastAsia="zh-CN"/>
        </w:rPr>
      </w:pPr>
      <w:r>
        <w:rPr>
          <w:rFonts w:cs="宋体"/>
          <w:sz w:val="20"/>
          <w:szCs w:val="20"/>
        </w:rPr>
        <w:t>备注：1.本表反映部门本年度各项支出情况。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pStyle w:val="2"/>
        <w:rPr>
          <w:rFonts w:hint="eastAsia"/>
          <w:lang w:eastAsia="zh-CN"/>
        </w:rPr>
      </w:pP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center"/>
          </w:tcPr>
          <w:p>
            <w:pPr>
              <w:spacing w:line="400" w:lineRule="exact"/>
              <w:jc w:val="center"/>
              <w:textAlignment w:val="bottom"/>
              <w:rPr>
                <w:rFonts w:hint="default" w:cs="宋体"/>
                <w:b/>
                <w:color w:val="000000"/>
                <w:sz w:val="32"/>
                <w:szCs w:val="32"/>
              </w:rPr>
            </w:pPr>
            <w:r>
              <w:rPr>
                <w:rFonts w:ascii="方正小标宋_GBK" w:hAnsi="方正小标宋_GBK" w:eastAsia="方正小标宋_GBK" w:cs="方正小标宋_GBK"/>
                <w:bCs/>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中共垫江县委社会工作部</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eastAsia" w:eastAsia="宋体" w:cs="宋体"/>
          <w:sz w:val="20"/>
          <w:szCs w:val="20"/>
          <w:lang w:eastAsia="zh-CN"/>
        </w:rPr>
      </w:pPr>
      <w:r>
        <w:rPr>
          <w:rFonts w:cs="宋体"/>
          <w:sz w:val="20"/>
          <w:szCs w:val="20"/>
        </w:rPr>
        <w:t>备注：1.本表反映部门本年度一般公共预算财政拨款、政府性基金预算财政拨款及国有资本经营预算财政拨款的总收支和年末结转结余情况。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pStyle w:val="2"/>
        <w:rPr>
          <w:rFonts w:hint="eastAsia"/>
          <w:lang w:eastAsia="zh-CN"/>
        </w:rPr>
      </w:pPr>
    </w:p>
    <w:p>
      <w:pPr>
        <w:spacing w:line="240" w:lineRule="exact"/>
        <w:rPr>
          <w:rFonts w:hint="default" w:cs="宋体"/>
          <w:sz w:val="20"/>
          <w:szCs w:val="20"/>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ascii="方正小标宋_GBK" w:hAnsi="方正小标宋_GBK" w:eastAsia="方正小标宋_GBK" w:cs="方正小标宋_GBK"/>
                <w:bCs/>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中共垫江县委社会工作部</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29.77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eastAsia" w:eastAsia="宋体" w:cs="宋体"/>
          <w:sz w:val="20"/>
          <w:szCs w:val="20"/>
          <w:lang w:eastAsia="zh-CN"/>
        </w:rPr>
      </w:pPr>
      <w:r>
        <w:rPr>
          <w:rFonts w:cs="宋体"/>
          <w:sz w:val="20"/>
          <w:szCs w:val="20"/>
        </w:rPr>
        <w:t>备注：1.本表反映部门本年度一般公共预算财政拨款支出情况。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pStyle w:val="2"/>
        <w:rPr>
          <w:rFonts w:hint="eastAsia"/>
          <w:lang w:eastAsia="zh-CN"/>
        </w:rPr>
      </w:pPr>
    </w:p>
    <w:p>
      <w:pPr>
        <w:pStyle w:val="2"/>
        <w:rPr>
          <w:rFonts w:hint="eastAsia"/>
          <w:lang w:eastAsia="zh-CN"/>
        </w:rPr>
      </w:pP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center"/>
          </w:tcPr>
          <w:p>
            <w:pPr>
              <w:spacing w:line="440" w:lineRule="exact"/>
              <w:jc w:val="center"/>
              <w:textAlignment w:val="bottom"/>
              <w:rPr>
                <w:rFonts w:hint="default" w:cs="宋体"/>
                <w:b/>
                <w:color w:val="000000"/>
                <w:sz w:val="32"/>
                <w:szCs w:val="32"/>
              </w:rPr>
            </w:pPr>
            <w:r>
              <w:rPr>
                <w:rFonts w:ascii="方正小标宋_GBK" w:hAnsi="方正小标宋_GBK" w:eastAsia="方正小标宋_GBK" w:cs="方正小标宋_GBK"/>
                <w:bCs/>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中共垫江县委社会工作部</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64.96</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w:t>
            </w:r>
            <w:r>
              <w:rPr>
                <w:rFonts w:ascii="Times New Roman" w:hAnsi="Times New Roman"/>
                <w:color w:val="000000"/>
                <w:sz w:val="18"/>
              </w:rPr>
              <w:t xml:space="preserve"> </w:t>
            </w:r>
          </w:p>
        </w:tc>
      </w:tr>
    </w:tbl>
    <w:p>
      <w:pPr>
        <w:spacing w:line="280" w:lineRule="exact"/>
        <w:rPr>
          <w:rFonts w:hint="eastAsia" w:eastAsia="宋体" w:cs="宋体"/>
          <w:sz w:val="20"/>
          <w:szCs w:val="20"/>
          <w:lang w:eastAsia="zh-CN"/>
        </w:rPr>
      </w:pPr>
      <w:r>
        <w:rPr>
          <w:rFonts w:cs="宋体"/>
          <w:sz w:val="20"/>
          <w:szCs w:val="20"/>
        </w:rPr>
        <w:t>备注：1.本表反映部门本年度一般公共预算财政拨款基本支出明细情况。</w:t>
      </w:r>
    </w:p>
    <w:p>
      <w:pPr>
        <w:spacing w:line="280" w:lineRule="exact"/>
        <w:rPr>
          <w:rFonts w:hint="eastAsia" w:eastAsia="宋体" w:cs="宋体"/>
          <w:sz w:val="20"/>
          <w:szCs w:val="20"/>
          <w:lang w:eastAsia="zh-CN"/>
        </w:rPr>
      </w:pPr>
      <w:r>
        <w:rPr>
          <w:rFonts w:cs="宋体"/>
          <w:sz w:val="20"/>
          <w:szCs w:val="20"/>
        </w:rPr>
        <w:t xml:space="preserve">      2.本套报表金额单位转换时可能存在尾数误差。</w:t>
      </w:r>
    </w:p>
    <w:p>
      <w:pPr>
        <w:pStyle w:val="2"/>
        <w:rPr>
          <w:rFonts w:hint="eastAsia"/>
          <w:lang w:eastAsia="zh-CN"/>
        </w:rPr>
      </w:pPr>
    </w:p>
    <w:p>
      <w:pPr>
        <w:spacing w:line="280" w:lineRule="exact"/>
        <w:rPr>
          <w:rFonts w:hint="default" w:cs="宋体"/>
          <w:sz w:val="20"/>
          <w:szCs w:val="20"/>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ascii="方正小标宋_GBK" w:hAnsi="方正小标宋_GBK" w:eastAsia="方正小标宋_GBK" w:cs="方正小标宋_GBK"/>
                <w:bCs/>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中共垫江县委社会工作部</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eastAsia" w:eastAsia="宋体" w:cs="宋体"/>
          <w:sz w:val="20"/>
          <w:szCs w:val="20"/>
          <w:lang w:eastAsia="zh-CN"/>
        </w:rPr>
      </w:pPr>
      <w:r>
        <w:rPr>
          <w:rFonts w:cs="宋体"/>
          <w:sz w:val="20"/>
          <w:szCs w:val="20"/>
        </w:rPr>
        <w:t>备注：本表反映部门本年度政府性基金预算财政拨款收入支出及结转和结余情况。本部门无政府性基金收支，故本表无数据。</w:t>
      </w:r>
    </w:p>
    <w:p>
      <w:pPr>
        <w:pStyle w:val="2"/>
        <w:rPr>
          <w:rFonts w:hint="eastAsia"/>
          <w:lang w:eastAsia="zh-CN"/>
        </w:rPr>
      </w:pPr>
    </w:p>
    <w:p>
      <w:pPr>
        <w:pStyle w:val="2"/>
        <w:rPr>
          <w:rFonts w:hint="eastAsia"/>
          <w:lang w:eastAsia="zh-CN"/>
        </w:rPr>
      </w:pP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ascii="方正小标宋_GBK" w:hAnsi="方正小标宋_GBK" w:eastAsia="方正小标宋_GBK" w:cs="方正小标宋_GBK"/>
                <w:bCs/>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中共垫江县委社会工作部</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eastAsia="宋体" w:cs="宋体"/>
          <w:sz w:val="20"/>
          <w:szCs w:val="20"/>
          <w:lang w:eastAsia="zh-CN"/>
        </w:rPr>
      </w:pPr>
      <w:r>
        <w:rPr>
          <w:rFonts w:cs="宋体"/>
          <w:sz w:val="20"/>
          <w:szCs w:val="20"/>
        </w:rPr>
        <w:t>备注：本表反映部门本年度国有资本经营预算财政拨款支出情况。本部门无国有资本经营收支，故本表无数据。</w:t>
      </w:r>
    </w:p>
    <w:p>
      <w:pPr>
        <w:pStyle w:val="2"/>
        <w:rPr>
          <w:rFonts w:hint="eastAsia"/>
          <w:lang w:eastAsia="zh-CN"/>
        </w:rPr>
      </w:pPr>
    </w:p>
    <w:p>
      <w:pPr>
        <w:pStyle w:val="2"/>
        <w:rPr>
          <w:rFonts w:hint="eastAsia"/>
          <w:lang w:eastAsia="zh-CN"/>
        </w:rPr>
      </w:pP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center"/>
          </w:tcPr>
          <w:p>
            <w:pPr>
              <w:spacing w:line="400" w:lineRule="exact"/>
              <w:jc w:val="center"/>
              <w:textAlignment w:val="bottom"/>
              <w:rPr>
                <w:rFonts w:hint="default" w:cs="宋体"/>
                <w:b/>
                <w:color w:val="000000"/>
                <w:kern w:val="2"/>
                <w:sz w:val="32"/>
                <w:szCs w:val="32"/>
              </w:rPr>
            </w:pPr>
            <w:r>
              <w:rPr>
                <w:rFonts w:ascii="方正小标宋_GBK" w:hAnsi="方正小标宋_GBK" w:eastAsia="方正小标宋_GBK" w:cs="方正小标宋_GBK"/>
                <w:bCs/>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中共垫江县委社会工作部</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eastAsia" w:eastAsia="宋体" w:cs="宋体"/>
          <w:sz w:val="18"/>
          <w:szCs w:val="18"/>
          <w:lang w:eastAsia="zh-CN"/>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p>
    <w:p>
      <w:pPr>
        <w:rPr>
          <w:rFonts w:hint="eastAsia" w:eastAsia="宋体" w:cs="宋体"/>
          <w:sz w:val="18"/>
          <w:szCs w:val="18"/>
          <w:lang w:eastAsia="zh-CN"/>
        </w:rPr>
      </w:pPr>
      <w:r>
        <w:rPr>
          <w:rFonts w:cs="宋体"/>
          <w:sz w:val="18"/>
          <w:szCs w:val="18"/>
        </w:rPr>
        <w:t xml:space="preserve">      2.本套报表金额单位转换时可能存在尾数误差。</w:t>
      </w:r>
    </w:p>
    <w:p>
      <w:pPr>
        <w:pStyle w:val="2"/>
        <w:ind w:left="0" w:leftChars="0" w:firstLine="0" w:firstLineChars="0"/>
        <w:rPr>
          <w:rFonts w:hint="eastAsia"/>
          <w:lang w:eastAsia="zh-CN"/>
        </w:rPr>
      </w:pPr>
    </w:p>
    <w:sectPr>
      <w:headerReference r:id="rId4" w:type="default"/>
      <w:footerReference r:id="rId5" w:type="default"/>
      <w:pgSz w:w="16783" w:h="11850" w:orient="landscape"/>
      <w:pgMar w:top="567" w:right="454" w:bottom="567" w:left="1037" w:header="0" w:footer="340"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2" o:spid="_x0000_s2052" o:spt="202" type="#_x0000_t202" style="position:absolute;left:0pt;margin-top:0pt;height:144pt;width:144pt;mso-position-horizontal:outside;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22 -</w:t>
                </w:r>
                <w:r>
                  <w:rPr>
                    <w:sz w:val="28"/>
                    <w:szCs w:val="28"/>
                  </w:rPr>
                  <w:fldChar w:fldCharType="end"/>
                </w:r>
                <w:r>
                  <w:rPr>
                    <w:sz w:val="28"/>
                    <w:szCs w:val="28"/>
                  </w:rP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1190C"/>
    <w:rsid w:val="00A67739"/>
    <w:rsid w:val="00A820B7"/>
    <w:rsid w:val="00A82803"/>
    <w:rsid w:val="00A830E1"/>
    <w:rsid w:val="00AC5566"/>
    <w:rsid w:val="00B03CCD"/>
    <w:rsid w:val="00B104B0"/>
    <w:rsid w:val="00B40138"/>
    <w:rsid w:val="00BF5A85"/>
    <w:rsid w:val="00C14B91"/>
    <w:rsid w:val="00C307F6"/>
    <w:rsid w:val="00C32D61"/>
    <w:rsid w:val="00C96B11"/>
    <w:rsid w:val="00C97747"/>
    <w:rsid w:val="00CC6B99"/>
    <w:rsid w:val="00DF3E15"/>
    <w:rsid w:val="00DF7706"/>
    <w:rsid w:val="00E05175"/>
    <w:rsid w:val="00E654E2"/>
    <w:rsid w:val="00E76362"/>
    <w:rsid w:val="00E86B80"/>
    <w:rsid w:val="00F137D3"/>
    <w:rsid w:val="00F13C36"/>
    <w:rsid w:val="00F23C68"/>
    <w:rsid w:val="00F32C53"/>
    <w:rsid w:val="00F73F90"/>
    <w:rsid w:val="00F7623D"/>
    <w:rsid w:val="00F8598B"/>
    <w:rsid w:val="00FA0819"/>
    <w:rsid w:val="00FB7EF0"/>
    <w:rsid w:val="01325309"/>
    <w:rsid w:val="01474EBF"/>
    <w:rsid w:val="01F3521E"/>
    <w:rsid w:val="0215094D"/>
    <w:rsid w:val="02BA5D3C"/>
    <w:rsid w:val="02F079B0"/>
    <w:rsid w:val="03077B2E"/>
    <w:rsid w:val="03B87EA0"/>
    <w:rsid w:val="03CC3F79"/>
    <w:rsid w:val="03E3214F"/>
    <w:rsid w:val="044C50BA"/>
    <w:rsid w:val="04CB5FDF"/>
    <w:rsid w:val="04DC01EC"/>
    <w:rsid w:val="05BC6D49"/>
    <w:rsid w:val="06194FF1"/>
    <w:rsid w:val="06A2550B"/>
    <w:rsid w:val="06F80EE2"/>
    <w:rsid w:val="07001CCA"/>
    <w:rsid w:val="071F0864"/>
    <w:rsid w:val="075678DB"/>
    <w:rsid w:val="079D7CC7"/>
    <w:rsid w:val="08051BCA"/>
    <w:rsid w:val="086C12F4"/>
    <w:rsid w:val="08BA052C"/>
    <w:rsid w:val="08DB07BA"/>
    <w:rsid w:val="0969353F"/>
    <w:rsid w:val="098305D0"/>
    <w:rsid w:val="098A0877"/>
    <w:rsid w:val="0A5C4B69"/>
    <w:rsid w:val="0A86124A"/>
    <w:rsid w:val="0A9A1B2A"/>
    <w:rsid w:val="0AA03A6A"/>
    <w:rsid w:val="0AB54CC0"/>
    <w:rsid w:val="0B7C0033"/>
    <w:rsid w:val="0B9335CE"/>
    <w:rsid w:val="0C3D6637"/>
    <w:rsid w:val="0C6A432F"/>
    <w:rsid w:val="0C7927C4"/>
    <w:rsid w:val="0C9B098C"/>
    <w:rsid w:val="0D673E11"/>
    <w:rsid w:val="0DDA54E4"/>
    <w:rsid w:val="0E084ABF"/>
    <w:rsid w:val="0E3A5F83"/>
    <w:rsid w:val="0E74421A"/>
    <w:rsid w:val="0EA46639"/>
    <w:rsid w:val="0EC6180C"/>
    <w:rsid w:val="0EFF16A6"/>
    <w:rsid w:val="0F037D8A"/>
    <w:rsid w:val="0F497FB6"/>
    <w:rsid w:val="0F836721"/>
    <w:rsid w:val="0FA25D96"/>
    <w:rsid w:val="107B59E5"/>
    <w:rsid w:val="10E32902"/>
    <w:rsid w:val="10EC0126"/>
    <w:rsid w:val="10F70B9A"/>
    <w:rsid w:val="111445C7"/>
    <w:rsid w:val="114278C6"/>
    <w:rsid w:val="1158083A"/>
    <w:rsid w:val="11643A4B"/>
    <w:rsid w:val="11ED0F98"/>
    <w:rsid w:val="11F03528"/>
    <w:rsid w:val="12046FD4"/>
    <w:rsid w:val="1230601B"/>
    <w:rsid w:val="12665599"/>
    <w:rsid w:val="12C921C4"/>
    <w:rsid w:val="12F52ECF"/>
    <w:rsid w:val="13871C70"/>
    <w:rsid w:val="13A71CB4"/>
    <w:rsid w:val="13AF1D43"/>
    <w:rsid w:val="13CE1647"/>
    <w:rsid w:val="13DA0C25"/>
    <w:rsid w:val="13FD55AB"/>
    <w:rsid w:val="14200702"/>
    <w:rsid w:val="14907817"/>
    <w:rsid w:val="15A207A1"/>
    <w:rsid w:val="16327CE5"/>
    <w:rsid w:val="163A6CEE"/>
    <w:rsid w:val="16FE65D5"/>
    <w:rsid w:val="171C091C"/>
    <w:rsid w:val="173708E3"/>
    <w:rsid w:val="174A7237"/>
    <w:rsid w:val="174C19C7"/>
    <w:rsid w:val="17887D5F"/>
    <w:rsid w:val="17C374FC"/>
    <w:rsid w:val="181527AF"/>
    <w:rsid w:val="18644328"/>
    <w:rsid w:val="189079DC"/>
    <w:rsid w:val="189B0D0B"/>
    <w:rsid w:val="18AF03BF"/>
    <w:rsid w:val="18B43F7C"/>
    <w:rsid w:val="18DF1A73"/>
    <w:rsid w:val="194A1770"/>
    <w:rsid w:val="197C38F4"/>
    <w:rsid w:val="19B906A4"/>
    <w:rsid w:val="19FB026E"/>
    <w:rsid w:val="1AE45BF4"/>
    <w:rsid w:val="1B6F15B6"/>
    <w:rsid w:val="1BAA2EDC"/>
    <w:rsid w:val="1C5172BA"/>
    <w:rsid w:val="1C5C0973"/>
    <w:rsid w:val="1C8256C5"/>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032679"/>
    <w:rsid w:val="20642787"/>
    <w:rsid w:val="21556F04"/>
    <w:rsid w:val="21A12149"/>
    <w:rsid w:val="21BA320B"/>
    <w:rsid w:val="21D275E3"/>
    <w:rsid w:val="22403BD3"/>
    <w:rsid w:val="224A458F"/>
    <w:rsid w:val="22724B58"/>
    <w:rsid w:val="230C7A96"/>
    <w:rsid w:val="23314852"/>
    <w:rsid w:val="23DA37D9"/>
    <w:rsid w:val="24B92327"/>
    <w:rsid w:val="24C14514"/>
    <w:rsid w:val="250C297C"/>
    <w:rsid w:val="2533755C"/>
    <w:rsid w:val="25791755"/>
    <w:rsid w:val="25965D3D"/>
    <w:rsid w:val="26233A75"/>
    <w:rsid w:val="26396DF4"/>
    <w:rsid w:val="27167136"/>
    <w:rsid w:val="274041B2"/>
    <w:rsid w:val="275F6D2E"/>
    <w:rsid w:val="277B388D"/>
    <w:rsid w:val="27B23302"/>
    <w:rsid w:val="28EA0039"/>
    <w:rsid w:val="29064F88"/>
    <w:rsid w:val="29310A5F"/>
    <w:rsid w:val="29C37A35"/>
    <w:rsid w:val="2A076083"/>
    <w:rsid w:val="2A73162E"/>
    <w:rsid w:val="2A751F0B"/>
    <w:rsid w:val="2A8E32B1"/>
    <w:rsid w:val="2A95250A"/>
    <w:rsid w:val="2A9A35AD"/>
    <w:rsid w:val="2A9B2341"/>
    <w:rsid w:val="2AD52E64"/>
    <w:rsid w:val="2B167953"/>
    <w:rsid w:val="2B200583"/>
    <w:rsid w:val="2B220436"/>
    <w:rsid w:val="2B8209DE"/>
    <w:rsid w:val="2C0C5543"/>
    <w:rsid w:val="2C6762A3"/>
    <w:rsid w:val="2CC951A1"/>
    <w:rsid w:val="2D4F6EFD"/>
    <w:rsid w:val="2D5B3AF4"/>
    <w:rsid w:val="2DBE543C"/>
    <w:rsid w:val="2E291E44"/>
    <w:rsid w:val="2E426A62"/>
    <w:rsid w:val="2EBF7B3E"/>
    <w:rsid w:val="2EDE1934"/>
    <w:rsid w:val="2F402ADE"/>
    <w:rsid w:val="2FCA4B37"/>
    <w:rsid w:val="2FE029D7"/>
    <w:rsid w:val="2FF06E00"/>
    <w:rsid w:val="2FF67B04"/>
    <w:rsid w:val="30562E26"/>
    <w:rsid w:val="30586FEC"/>
    <w:rsid w:val="30EC7046"/>
    <w:rsid w:val="312876F9"/>
    <w:rsid w:val="315F0B22"/>
    <w:rsid w:val="31745184"/>
    <w:rsid w:val="319D022C"/>
    <w:rsid w:val="31C90022"/>
    <w:rsid w:val="31D84415"/>
    <w:rsid w:val="32285F6F"/>
    <w:rsid w:val="32770556"/>
    <w:rsid w:val="329C0913"/>
    <w:rsid w:val="32AA0460"/>
    <w:rsid w:val="3336623C"/>
    <w:rsid w:val="3337290D"/>
    <w:rsid w:val="33E31118"/>
    <w:rsid w:val="33EF7674"/>
    <w:rsid w:val="342D7BC6"/>
    <w:rsid w:val="34475F39"/>
    <w:rsid w:val="348E0C53"/>
    <w:rsid w:val="352930DB"/>
    <w:rsid w:val="35573069"/>
    <w:rsid w:val="355F6038"/>
    <w:rsid w:val="358C217E"/>
    <w:rsid w:val="35937598"/>
    <w:rsid w:val="35C615F1"/>
    <w:rsid w:val="36C9128A"/>
    <w:rsid w:val="372E3953"/>
    <w:rsid w:val="37841E99"/>
    <w:rsid w:val="37BF1123"/>
    <w:rsid w:val="383C3F15"/>
    <w:rsid w:val="38BE4696"/>
    <w:rsid w:val="3939115E"/>
    <w:rsid w:val="39B82A39"/>
    <w:rsid w:val="39C42CA8"/>
    <w:rsid w:val="39DC4FD6"/>
    <w:rsid w:val="39DF785B"/>
    <w:rsid w:val="39F03D7A"/>
    <w:rsid w:val="39F33306"/>
    <w:rsid w:val="39F8091D"/>
    <w:rsid w:val="3A2C1C67"/>
    <w:rsid w:val="3B1705E5"/>
    <w:rsid w:val="3B18334B"/>
    <w:rsid w:val="3B36794F"/>
    <w:rsid w:val="3C566AD6"/>
    <w:rsid w:val="3C6A5B02"/>
    <w:rsid w:val="3C7A1ABD"/>
    <w:rsid w:val="3D2757A1"/>
    <w:rsid w:val="3D3D4FC4"/>
    <w:rsid w:val="3D9170BE"/>
    <w:rsid w:val="3DDF3AB1"/>
    <w:rsid w:val="3E1D0952"/>
    <w:rsid w:val="3E42660A"/>
    <w:rsid w:val="3E7555B1"/>
    <w:rsid w:val="3E787ED9"/>
    <w:rsid w:val="3EEC37F3"/>
    <w:rsid w:val="3EFB6EE5"/>
    <w:rsid w:val="3F032E93"/>
    <w:rsid w:val="3F0527E5"/>
    <w:rsid w:val="3F4814B0"/>
    <w:rsid w:val="3F5E5D98"/>
    <w:rsid w:val="3F694D83"/>
    <w:rsid w:val="3F885DCC"/>
    <w:rsid w:val="3FCD675E"/>
    <w:rsid w:val="3FD86860"/>
    <w:rsid w:val="4004000C"/>
    <w:rsid w:val="40061FE5"/>
    <w:rsid w:val="40D54604"/>
    <w:rsid w:val="411B6CE5"/>
    <w:rsid w:val="412070D7"/>
    <w:rsid w:val="41314E40"/>
    <w:rsid w:val="41C31810"/>
    <w:rsid w:val="41E0734B"/>
    <w:rsid w:val="426554D0"/>
    <w:rsid w:val="426C1EA8"/>
    <w:rsid w:val="42736402"/>
    <w:rsid w:val="42E86A87"/>
    <w:rsid w:val="43307B09"/>
    <w:rsid w:val="43470647"/>
    <w:rsid w:val="438902EA"/>
    <w:rsid w:val="438D0E97"/>
    <w:rsid w:val="43BB152F"/>
    <w:rsid w:val="43E71EF6"/>
    <w:rsid w:val="44494994"/>
    <w:rsid w:val="44C37687"/>
    <w:rsid w:val="45012D7B"/>
    <w:rsid w:val="453F506F"/>
    <w:rsid w:val="45CB699A"/>
    <w:rsid w:val="465B470D"/>
    <w:rsid w:val="46893028"/>
    <w:rsid w:val="469D6AD4"/>
    <w:rsid w:val="471E6C84"/>
    <w:rsid w:val="4748792B"/>
    <w:rsid w:val="475D719D"/>
    <w:rsid w:val="47674801"/>
    <w:rsid w:val="480C3F44"/>
    <w:rsid w:val="48225EF7"/>
    <w:rsid w:val="48873598"/>
    <w:rsid w:val="488F422B"/>
    <w:rsid w:val="48E36915"/>
    <w:rsid w:val="495C4A24"/>
    <w:rsid w:val="497135DF"/>
    <w:rsid w:val="49CA7BE0"/>
    <w:rsid w:val="4A1605D9"/>
    <w:rsid w:val="4A263DF2"/>
    <w:rsid w:val="4A6E2C61"/>
    <w:rsid w:val="4A6F6675"/>
    <w:rsid w:val="4ABF0746"/>
    <w:rsid w:val="4B0502DF"/>
    <w:rsid w:val="4B135857"/>
    <w:rsid w:val="4B7951CB"/>
    <w:rsid w:val="4B7C315C"/>
    <w:rsid w:val="4BCB4A80"/>
    <w:rsid w:val="4BD44D46"/>
    <w:rsid w:val="4BF947AC"/>
    <w:rsid w:val="4CCF773C"/>
    <w:rsid w:val="4D2515D1"/>
    <w:rsid w:val="4DAC4ACA"/>
    <w:rsid w:val="4DBE01D2"/>
    <w:rsid w:val="4EC92552"/>
    <w:rsid w:val="4EFC6D10"/>
    <w:rsid w:val="4F0C6BA3"/>
    <w:rsid w:val="4F10477D"/>
    <w:rsid w:val="4F186D58"/>
    <w:rsid w:val="4FEA65B7"/>
    <w:rsid w:val="5042146E"/>
    <w:rsid w:val="50F06B6E"/>
    <w:rsid w:val="511300BE"/>
    <w:rsid w:val="51AE428B"/>
    <w:rsid w:val="52234D33"/>
    <w:rsid w:val="52261ABA"/>
    <w:rsid w:val="522F6E0C"/>
    <w:rsid w:val="52463BA1"/>
    <w:rsid w:val="526F57C8"/>
    <w:rsid w:val="5298794F"/>
    <w:rsid w:val="52F163D4"/>
    <w:rsid w:val="531A2DB4"/>
    <w:rsid w:val="53C0244D"/>
    <w:rsid w:val="53DD4D4E"/>
    <w:rsid w:val="53E578CE"/>
    <w:rsid w:val="541330F0"/>
    <w:rsid w:val="54272666"/>
    <w:rsid w:val="543B029D"/>
    <w:rsid w:val="544C3364"/>
    <w:rsid w:val="547A66A6"/>
    <w:rsid w:val="54861779"/>
    <w:rsid w:val="552256E1"/>
    <w:rsid w:val="554E5773"/>
    <w:rsid w:val="55572544"/>
    <w:rsid w:val="555A3CBC"/>
    <w:rsid w:val="5582012B"/>
    <w:rsid w:val="558E4E05"/>
    <w:rsid w:val="55BE2E85"/>
    <w:rsid w:val="55D82B6C"/>
    <w:rsid w:val="561D52C4"/>
    <w:rsid w:val="5651697D"/>
    <w:rsid w:val="56530F5D"/>
    <w:rsid w:val="56692AE5"/>
    <w:rsid w:val="567700D3"/>
    <w:rsid w:val="56FF7E9E"/>
    <w:rsid w:val="578867FC"/>
    <w:rsid w:val="58192E4E"/>
    <w:rsid w:val="5842572D"/>
    <w:rsid w:val="58EB36CF"/>
    <w:rsid w:val="5A2E0336"/>
    <w:rsid w:val="5A3B59D6"/>
    <w:rsid w:val="5A851901"/>
    <w:rsid w:val="5AA24261"/>
    <w:rsid w:val="5AD134D8"/>
    <w:rsid w:val="5B2E3D47"/>
    <w:rsid w:val="5B6503B1"/>
    <w:rsid w:val="5BA83AF9"/>
    <w:rsid w:val="5C0F7EC4"/>
    <w:rsid w:val="5C263CE4"/>
    <w:rsid w:val="5C5D2777"/>
    <w:rsid w:val="5CCE7744"/>
    <w:rsid w:val="5CEC5C67"/>
    <w:rsid w:val="5CF66BF3"/>
    <w:rsid w:val="5D0D455B"/>
    <w:rsid w:val="5D290C69"/>
    <w:rsid w:val="5DC6470A"/>
    <w:rsid w:val="5DF24E13"/>
    <w:rsid w:val="5DF748C4"/>
    <w:rsid w:val="5E6261E1"/>
    <w:rsid w:val="5E785A05"/>
    <w:rsid w:val="5F2D4A41"/>
    <w:rsid w:val="5FE951D0"/>
    <w:rsid w:val="60C74F6C"/>
    <w:rsid w:val="61025A59"/>
    <w:rsid w:val="613D5BBC"/>
    <w:rsid w:val="61536C39"/>
    <w:rsid w:val="61E64F4A"/>
    <w:rsid w:val="61EE5FDE"/>
    <w:rsid w:val="623E0993"/>
    <w:rsid w:val="62944DD7"/>
    <w:rsid w:val="6319381F"/>
    <w:rsid w:val="63236436"/>
    <w:rsid w:val="63C25DC5"/>
    <w:rsid w:val="63C60E3E"/>
    <w:rsid w:val="63C62057"/>
    <w:rsid w:val="64571EF5"/>
    <w:rsid w:val="64CB0157"/>
    <w:rsid w:val="64FB113D"/>
    <w:rsid w:val="65036946"/>
    <w:rsid w:val="651E6BDA"/>
    <w:rsid w:val="654A25FE"/>
    <w:rsid w:val="656152C6"/>
    <w:rsid w:val="6587477F"/>
    <w:rsid w:val="658C3A08"/>
    <w:rsid w:val="65C031CA"/>
    <w:rsid w:val="65CE6852"/>
    <w:rsid w:val="66267C04"/>
    <w:rsid w:val="663F505A"/>
    <w:rsid w:val="66967186"/>
    <w:rsid w:val="66EE5541"/>
    <w:rsid w:val="676F196F"/>
    <w:rsid w:val="67924660"/>
    <w:rsid w:val="683200C2"/>
    <w:rsid w:val="68407834"/>
    <w:rsid w:val="685E210F"/>
    <w:rsid w:val="687E00BB"/>
    <w:rsid w:val="6883293E"/>
    <w:rsid w:val="688412AD"/>
    <w:rsid w:val="68A35D74"/>
    <w:rsid w:val="68EB1B71"/>
    <w:rsid w:val="69475C96"/>
    <w:rsid w:val="6AAD2300"/>
    <w:rsid w:val="6B474EF5"/>
    <w:rsid w:val="6B7A1587"/>
    <w:rsid w:val="6B945E48"/>
    <w:rsid w:val="6BBF53FD"/>
    <w:rsid w:val="6C560CAE"/>
    <w:rsid w:val="6C576495"/>
    <w:rsid w:val="6D3630DE"/>
    <w:rsid w:val="6D374D22"/>
    <w:rsid w:val="6D903FF5"/>
    <w:rsid w:val="6DA955B8"/>
    <w:rsid w:val="6DE07122"/>
    <w:rsid w:val="6DE346AB"/>
    <w:rsid w:val="6DE5391A"/>
    <w:rsid w:val="6DF42BCE"/>
    <w:rsid w:val="6EA04D17"/>
    <w:rsid w:val="6EE36ECA"/>
    <w:rsid w:val="6EFD1324"/>
    <w:rsid w:val="6F1277AF"/>
    <w:rsid w:val="6F437969"/>
    <w:rsid w:val="6F5A53AC"/>
    <w:rsid w:val="6FAC003D"/>
    <w:rsid w:val="6FE55E12"/>
    <w:rsid w:val="6FFB2E76"/>
    <w:rsid w:val="708F6F7F"/>
    <w:rsid w:val="70D94BD3"/>
    <w:rsid w:val="71520131"/>
    <w:rsid w:val="71AD7C63"/>
    <w:rsid w:val="71C34D91"/>
    <w:rsid w:val="71CC633B"/>
    <w:rsid w:val="71D90A58"/>
    <w:rsid w:val="72DB435C"/>
    <w:rsid w:val="72E2613A"/>
    <w:rsid w:val="72F771F4"/>
    <w:rsid w:val="734150D5"/>
    <w:rsid w:val="736650B0"/>
    <w:rsid w:val="73934AD2"/>
    <w:rsid w:val="74081181"/>
    <w:rsid w:val="750837F0"/>
    <w:rsid w:val="754758CF"/>
    <w:rsid w:val="75BE243F"/>
    <w:rsid w:val="761275E6"/>
    <w:rsid w:val="764F62AB"/>
    <w:rsid w:val="765C45EC"/>
    <w:rsid w:val="768A7619"/>
    <w:rsid w:val="769F401E"/>
    <w:rsid w:val="76AA36E6"/>
    <w:rsid w:val="76F105F2"/>
    <w:rsid w:val="772E1EBA"/>
    <w:rsid w:val="77303AE2"/>
    <w:rsid w:val="77431B59"/>
    <w:rsid w:val="778E33FA"/>
    <w:rsid w:val="77EB79F7"/>
    <w:rsid w:val="78A82F32"/>
    <w:rsid w:val="78D15FE5"/>
    <w:rsid w:val="79567B11"/>
    <w:rsid w:val="796D60A4"/>
    <w:rsid w:val="79A031D5"/>
    <w:rsid w:val="7A1525F7"/>
    <w:rsid w:val="7A5C5D83"/>
    <w:rsid w:val="7B420052"/>
    <w:rsid w:val="7B861484"/>
    <w:rsid w:val="7BD06A28"/>
    <w:rsid w:val="7C3A7C0B"/>
    <w:rsid w:val="7C5248E4"/>
    <w:rsid w:val="7C566698"/>
    <w:rsid w:val="7C5866A3"/>
    <w:rsid w:val="7CBE2F89"/>
    <w:rsid w:val="7D7406BB"/>
    <w:rsid w:val="7D8A2C07"/>
    <w:rsid w:val="7DAA32A9"/>
    <w:rsid w:val="7DC05154"/>
    <w:rsid w:val="7DE94331"/>
    <w:rsid w:val="7F446A19"/>
    <w:rsid w:val="7F7452B9"/>
    <w:rsid w:val="7F8401D1"/>
    <w:rsid w:val="7FAC32D7"/>
    <w:rsid w:val="7FE707E4"/>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8628</Words>
  <Characters>10927</Characters>
  <Lines>97</Lines>
  <Paragraphs>27</Paragraphs>
  <TotalTime>42</TotalTime>
  <ScaleCrop>false</ScaleCrop>
  <LinksUpToDate>false</LinksUpToDate>
  <CharactersWithSpaces>11912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dcterms:modified xsi:type="dcterms:W3CDTF">2025-09-17T08:01:07Z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