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overflowPunct/>
        <w:topLinePunct w:val="0"/>
        <w:autoSpaceDN/>
        <w:bidi w:val="0"/>
        <w:adjustRightInd/>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中国共产党垫江县委员会宣传部</w:t>
      </w:r>
    </w:p>
    <w:p>
      <w:pPr>
        <w:pStyle w:val="6"/>
        <w:keepNext w:val="0"/>
        <w:keepLines w:val="0"/>
        <w:pageBreakBefore w:val="0"/>
        <w:widowControl w:val="0"/>
        <w:kinsoku/>
        <w:overflowPunct/>
        <w:topLinePunct w:val="0"/>
        <w:autoSpaceDN/>
        <w:bidi w:val="0"/>
        <w:adjustRightInd/>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val="0"/>
        <w:shd w:val="clear" w:color="auto" w:fill="FFFFFF"/>
        <w:kinsoku/>
        <w:overflowPunct/>
        <w:topLinePunct w:val="0"/>
        <w:autoSpaceDN/>
        <w:bidi w:val="0"/>
        <w:adjustRightInd/>
        <w:spacing w:beforeAutospacing="0" w:after="0" w:afterAutospacing="0" w:line="594" w:lineRule="exact"/>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keepNext w:val="0"/>
        <w:keepLines w:val="0"/>
        <w:pageBreakBefore w:val="0"/>
        <w:widowControl w:val="0"/>
        <w:kinsoku/>
        <w:overflowPunct/>
        <w:topLinePunct w:val="0"/>
        <w:autoSpaceDN/>
        <w:bidi w:val="0"/>
        <w:adjustRightInd/>
        <w:spacing w:line="594" w:lineRule="exact"/>
        <w:ind w:firstLine="643" w:firstLineChars="200"/>
        <w:jc w:val="both"/>
        <w:rPr>
          <w:rStyle w:val="10"/>
          <w:rFonts w:hint="default" w:ascii="方正楷体_GBK" w:eastAsia="方正楷体_GBK"/>
          <w:b w:val="0"/>
          <w:sz w:val="32"/>
          <w:szCs w:val="32"/>
        </w:rPr>
      </w:pPr>
      <w:r>
        <w:rPr>
          <w:rStyle w:val="10"/>
          <w:rFonts w:ascii="方正楷体_GBK" w:eastAsia="方正楷体_GBK"/>
          <w:bCs/>
          <w:sz w:val="32"/>
          <w:szCs w:val="32"/>
        </w:rPr>
        <w:t>（一）职能职责</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1.拟订全县宣传思想文化工作重大政策举措和事业发展总体规划，统筹协调推进全县宣传思想文化领域法治建设，按照县委统一部署，协调宣传思想文化系统各部门之间的工作。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2.统筹协调全县党的意识形态工作，贯彻落实党中央、市委、县委关于意识形态工作决策部署，组织协调全县意识形态工作责任制落实和日常监督检查，结合巡察工作开展专项检查。</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3.统筹指导协调全县理论研究、理论学习、理论宣传工作，组织推动理论武装工作，组织实施马克思主义理论研究和建设工程。统筹协调、指导管理全县新型智库建设。</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4.负责规划组织全县思想政治工作，配合中共垫江县委组织部做好党员教育工作，指导协调编写党员教育教材，会同有关部门研究和改进群众思想教育工作。</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5.负责指导、协调全县精神文明建设工作。</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6.统筹分析研判和引导社会舆论，指导协调各新闻单位工作，组织全县突发公共事件应急新闻工作。</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督促落实新闻出版有关政策，管理新闻出版行政事务，组织协调有关行政审批工作，统筹规划和指导协调新闻出版事业、产业发展，监督管理出版物内容和质量，监督管理印刷发行业，负责著作权保护管理和公共服务，管理出版物进出口等。组织指导协调全县“扫黄打非”工作。</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8.从宏观上统筹指导协调互联网宣传和信息内容管理工作。统筹协调数字新媒体的建设与管理。</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9.从宏观上统筹指导协调推动精神文化产品的创作和生产，协调组织全县中华优秀传统文化传承发展有关工作，指导协调推动群众文化建设。    </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10.负责管理电影行政事务，指导监管电影制片、发行、放映工作，组织对电影内容进行审查，指导协调全县性重大电影活动。</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11.对新闻出版、广播影视、文化艺术业改革发展研究提出政策性建议，统筹指导协调文化体制改革和文化事业、文化产业及旅游业发展，指导协调县级国有文化资产监管工作。承担县委全面深化改革委员会文化体制改革专项小组日常工作。</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 12.统筹指导舆情信息工作，组织协调开展舆情信息收集分析研判工作，跟踪了解、研究掌握宣传舆情动态。</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 13.统筹协调对外宣传工作，指导协调有关部门研究拟订对外宣传工作重大举措和对外宣传事业发展总体规划。指导对外文化交流工作，协调推动中华文化走出去工作。</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 14.统筹协调组织开展新闻发布工作，承担县委新闻发布有关组织协调工作，负责县政府新闻发布组织实施工作，指导协调各乡镇（街道）、县级各部门的新闻发布工作，完善新闻发言人制度建设。负责牵头拟订全县重大问题对外宣传口径，指导拟订重大事项信息公开口径。</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15.负责组织开展新闻领域对外交流与合作，统筹协调指导推动与外国政府新闻管理机构、主要新闻媒体和智库的合作传播，会同有关部门做好境外驻渝记者和来访记者采访事务方面的工作。协调有关部门开展设计港澳台的宣传工作。</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 16.受县委委托，会同县委组织部对乡镇（街道）党（工）委宣传委员任免提出意见。负责有关重要宣传舆论阵地和重要岗位领导干部管理。负责组织开展全县宣传思想文化系统干部教育培训和人才工作。</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17.联系党史工作，在政治方向和方针、政策方面实施领导。归口领导垫江县文化和旅游发展委员会、</w:t>
      </w:r>
      <w:r>
        <w:rPr>
          <w:rFonts w:eastAsia="方正仿宋_GBK"/>
          <w:sz w:val="32"/>
        </w:rPr>
        <w:t>垫江县融媒体中心。</w:t>
      </w:r>
      <w:r>
        <w:rPr>
          <w:rFonts w:hint="eastAsia" w:ascii="方正仿宋_GBK" w:hAnsi="方正仿宋_GBK" w:eastAsia="方正仿宋_GBK" w:cs="方正仿宋_GBK"/>
          <w:sz w:val="32"/>
          <w:szCs w:val="32"/>
          <w:shd w:val="clear" w:color="auto" w:fill="FFFFFF"/>
          <w:lang w:val="en-US" w:eastAsia="zh-CN" w:bidi="ar-SA"/>
        </w:rPr>
        <w:t>受县委委托，代管垫江县社会科学界联合会、垫江县文学艺术界联合会。</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18.负责机关、所属事业单位和主管的社会组织党建工作，以及负责县级宣传思想文化单位基层党建工作、精神文明建设工作。</w:t>
      </w:r>
    </w:p>
    <w:p>
      <w:pPr>
        <w:keepNext w:val="0"/>
        <w:keepLines w:val="0"/>
        <w:pageBreakBefore w:val="0"/>
        <w:widowControl w:val="0"/>
        <w:kinsoku/>
        <w:overflowPunct/>
        <w:topLinePunct w:val="0"/>
        <w:autoSpaceDN/>
        <w:bidi w:val="0"/>
        <w:adjustRightInd/>
        <w:spacing w:line="594" w:lineRule="exact"/>
        <w:ind w:firstLine="640" w:firstLineChars="200"/>
        <w:jc w:val="both"/>
        <w:rPr>
          <w:rStyle w:val="10"/>
          <w:rFonts w:hint="default" w:ascii="方正仿宋_GBK" w:eastAsia="方正仿宋_GBK"/>
          <w:b w:val="0"/>
          <w:sz w:val="32"/>
          <w:szCs w:val="32"/>
        </w:rPr>
      </w:pPr>
      <w:r>
        <w:rPr>
          <w:rFonts w:hint="eastAsia" w:ascii="方正仿宋_GBK" w:hAnsi="方正仿宋_GBK" w:eastAsia="方正仿宋_GBK" w:cs="方正仿宋_GBK"/>
          <w:sz w:val="32"/>
          <w:szCs w:val="32"/>
          <w:shd w:val="clear" w:color="auto" w:fill="FFFFFF"/>
          <w:lang w:val="en-US" w:eastAsia="zh-CN" w:bidi="ar-SA"/>
        </w:rPr>
        <w:t xml:space="preserve">19.完成市委宣传部、县委、县政府交办的其他事项。 </w:t>
      </w:r>
      <w:r>
        <w:rPr>
          <w:rStyle w:val="10"/>
          <w:rFonts w:ascii="方正仿宋_GBK" w:eastAsia="方正仿宋_GBK"/>
          <w:sz w:val="32"/>
          <w:szCs w:val="32"/>
        </w:rPr>
        <w:t xml:space="preserve"> </w:t>
      </w:r>
    </w:p>
    <w:p>
      <w:pPr>
        <w:keepNext w:val="0"/>
        <w:keepLines w:val="0"/>
        <w:pageBreakBefore w:val="0"/>
        <w:widowControl w:val="0"/>
        <w:kinsoku/>
        <w:overflowPunct/>
        <w:topLinePunct w:val="0"/>
        <w:autoSpaceDN/>
        <w:bidi w:val="0"/>
        <w:adjustRightInd/>
        <w:spacing w:line="594" w:lineRule="exact"/>
        <w:ind w:firstLine="643" w:firstLineChars="200"/>
        <w:jc w:val="both"/>
        <w:rPr>
          <w:rStyle w:val="10"/>
          <w:rFonts w:hint="default" w:ascii="方正楷体_GBK" w:eastAsia="方正楷体_GBK"/>
          <w:b w:val="0"/>
          <w:sz w:val="32"/>
          <w:szCs w:val="32"/>
        </w:rPr>
      </w:pPr>
      <w:r>
        <w:rPr>
          <w:rStyle w:val="10"/>
          <w:rFonts w:ascii="方正楷体_GBK" w:eastAsia="方正楷体_GBK"/>
          <w:bCs/>
          <w:sz w:val="32"/>
          <w:szCs w:val="32"/>
        </w:rPr>
        <w:t>（二）机构设置</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县委宣传部内设机构：办公室、理论科、新闻科、新闻出版科、文化艺术产业发展科、宣传教育和精神文明建设科。                                                           </w:t>
      </w:r>
    </w:p>
    <w:p>
      <w:pPr>
        <w:pStyle w:val="6"/>
        <w:keepNext w:val="0"/>
        <w:keepLines w:val="0"/>
        <w:pageBreakBefore w:val="0"/>
        <w:widowControl w:val="0"/>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县网络信息中心内设机构：网络安全科、社会工作科、舆情应急科、网络宣传科、新媒体中心。</w:t>
      </w:r>
    </w:p>
    <w:p>
      <w:pPr>
        <w:pStyle w:val="6"/>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pPr>
        <w:pStyle w:val="11"/>
        <w:keepNext w:val="0"/>
        <w:keepLines w:val="0"/>
        <w:pageBreakBefore w:val="0"/>
        <w:widowControl w:val="0"/>
        <w:kinsoku/>
        <w:overflowPunct/>
        <w:topLinePunct w:val="0"/>
        <w:autoSpaceDE w:val="0"/>
        <w:autoSpaceDN/>
        <w:bidi w:val="0"/>
        <w:adjustRightInd/>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val="0"/>
        <w:shd w:val="clear" w:color="auto" w:fill="FFFFFF"/>
        <w:kinsoku/>
        <w:overflowPunct/>
        <w:topLinePunct w:val="0"/>
        <w:autoSpaceDN/>
        <w:bidi w:val="0"/>
        <w:adjustRightInd/>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2024年度收入总计1992.51万元，支出总计</w:t>
      </w:r>
      <w:r>
        <w:rPr>
          <w:rFonts w:ascii="方正仿宋_GBK" w:hAnsi="方正仿宋_GBK" w:eastAsia="方正仿宋_GBK" w:cs="方正仿宋_GBK"/>
          <w:sz w:val="32"/>
          <w:szCs w:val="32"/>
        </w:rPr>
        <w:t>1992.51</w:t>
      </w:r>
      <w:r>
        <w:rPr>
          <w:rFonts w:ascii="方正仿宋_GBK" w:hAnsi="方正仿宋_GBK" w:eastAsia="方正仿宋_GBK" w:cs="方正仿宋_GBK"/>
          <w:sz w:val="32"/>
          <w:szCs w:val="32"/>
          <w:shd w:val="clear" w:color="auto" w:fill="FFFFFF"/>
        </w:rPr>
        <w:t>万元。收、支与2023年度相比，增加131.62万元，增长7.07%，主要原因是2人退休，1人调离，人员经费减少；新增网络安全协调指挥平台建设费用200万元，项目经费增加。</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2024年度收入合计1892.51万元，与2023年度相比，增加34.69万元，增长1.87%，主要原因是2人退休，1人调离，人员经费减少；新增网络安全协调指挥平台建设费用200万元，项目经费增加。其中：财政拨款收入</w:t>
      </w:r>
      <w:r>
        <w:rPr>
          <w:rFonts w:ascii="方正仿宋_GBK" w:hAnsi="方正仿宋_GBK" w:eastAsia="方正仿宋_GBK" w:cs="方正仿宋_GBK"/>
          <w:sz w:val="32"/>
          <w:szCs w:val="32"/>
        </w:rPr>
        <w:t>1892.51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1992.51</w:t>
      </w:r>
      <w:r>
        <w:rPr>
          <w:rFonts w:ascii="方正仿宋_GBK" w:hAnsi="方正仿宋_GBK" w:eastAsia="方正仿宋_GBK" w:cs="方正仿宋_GBK"/>
          <w:sz w:val="32"/>
          <w:szCs w:val="32"/>
          <w:shd w:val="clear" w:color="auto" w:fill="FFFFFF"/>
        </w:rPr>
        <w:t>万元，与2023年度相比，增加131.62万元，增长7.07%，主要原因是新增网络安全协调指挥平台建设费用200万元，项目经费增加。其中：基本支出</w:t>
      </w:r>
      <w:r>
        <w:rPr>
          <w:rFonts w:ascii="方正仿宋_GBK" w:hAnsi="方正仿宋_GBK" w:eastAsia="方正仿宋_GBK" w:cs="方正仿宋_GBK"/>
          <w:sz w:val="32"/>
          <w:szCs w:val="32"/>
        </w:rPr>
        <w:t>1053.75</w:t>
      </w:r>
      <w:r>
        <w:rPr>
          <w:rFonts w:ascii="方正仿宋_GBK" w:hAnsi="方正仿宋_GBK" w:eastAsia="方正仿宋_GBK" w:cs="方正仿宋_GBK"/>
          <w:sz w:val="32"/>
          <w:szCs w:val="32"/>
          <w:shd w:val="clear" w:color="auto" w:fill="FFFFFF"/>
        </w:rPr>
        <w:t>万元，占52.89%；项目支出</w:t>
      </w:r>
      <w:r>
        <w:rPr>
          <w:rFonts w:ascii="方正仿宋_GBK" w:hAnsi="方正仿宋_GBK" w:eastAsia="方正仿宋_GBK" w:cs="方正仿宋_GBK"/>
          <w:sz w:val="32"/>
          <w:szCs w:val="32"/>
        </w:rPr>
        <w:t>938.75</w:t>
      </w:r>
      <w:r>
        <w:rPr>
          <w:rFonts w:ascii="方正仿宋_GBK" w:hAnsi="方正仿宋_GBK" w:eastAsia="方正仿宋_GBK" w:cs="方正仿宋_GBK"/>
          <w:sz w:val="32"/>
          <w:szCs w:val="32"/>
          <w:shd w:val="clear" w:color="auto" w:fill="FFFFFF"/>
        </w:rPr>
        <w:t>万元，占47.11%；经营支出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b w:val="0"/>
          <w:bCs/>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Style w:val="10"/>
          <w:rFonts w:ascii="方正仿宋_GBK" w:eastAsia="方正仿宋_GBK"/>
          <w:b w:val="0"/>
          <w:bCs/>
          <w:sz w:val="32"/>
          <w:szCs w:val="32"/>
        </w:rPr>
        <w:t>2024年度本部门年末无结转和结余。</w:t>
      </w:r>
    </w:p>
    <w:p>
      <w:pPr>
        <w:pStyle w:val="11"/>
        <w:keepNext w:val="0"/>
        <w:keepLines w:val="0"/>
        <w:pageBreakBefore w:val="0"/>
        <w:widowControl w:val="0"/>
        <w:kinsoku/>
        <w:overflowPunct/>
        <w:topLinePunct w:val="0"/>
        <w:autoSpaceDE w:val="0"/>
        <w:autoSpaceDN/>
        <w:bidi w:val="0"/>
        <w:adjustRightInd/>
        <w:ind w:firstLine="643"/>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val="0"/>
        <w:shd w:val="clear" w:color="auto" w:fill="FFFFFF"/>
        <w:kinsoku/>
        <w:overflowPunct/>
        <w:topLinePunct w:val="0"/>
        <w:autoSpaceDN/>
        <w:bidi w:val="0"/>
        <w:adjustRightInd/>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1992.51万元。与2023年相比，财政拨款收、支总计各增加131.62万元，增长7.07%。主要原因是2人退休，1人调离，人员经费减少；新增网络安全协调指挥平台建设费用200万元，项目经费增加。</w:t>
      </w:r>
    </w:p>
    <w:p>
      <w:pPr>
        <w:pStyle w:val="11"/>
        <w:keepNext w:val="0"/>
        <w:keepLines w:val="0"/>
        <w:pageBreakBefore w:val="0"/>
        <w:widowControl w:val="0"/>
        <w:kinsoku/>
        <w:overflowPunct/>
        <w:topLinePunct w:val="0"/>
        <w:autoSpaceDE w:val="0"/>
        <w:autoSpaceDN/>
        <w:bidi w:val="0"/>
        <w:adjustRightInd/>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val="0"/>
        <w:shd w:val="clear" w:color="auto" w:fill="FFFFFF"/>
        <w:kinsoku/>
        <w:overflowPunct/>
        <w:topLinePunct w:val="0"/>
        <w:autoSpaceDN/>
        <w:bidi w:val="0"/>
        <w:adjustRightInd/>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1892.51</w:t>
      </w:r>
      <w:r>
        <w:rPr>
          <w:rFonts w:ascii="方正仿宋_GBK" w:hAnsi="方正仿宋_GBK" w:eastAsia="方正仿宋_GBK" w:cs="方正仿宋_GBK"/>
          <w:sz w:val="32"/>
          <w:szCs w:val="32"/>
          <w:shd w:val="clear" w:color="auto" w:fill="FFFFFF"/>
        </w:rPr>
        <w:t>万元，与2023年度相比，增加34.69万元，增长1.87%。主要原因是新增网络安全协调指挥平台建设费用200万元，项目经费增加。较年初预算数增加61.53万元，增长3.36%。主要原因是补缴2022年至2023年的养老保险和职业年金，人员经费增加。此外，年初财政拨款结转和结余</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1992.51</w:t>
      </w:r>
      <w:r>
        <w:rPr>
          <w:rFonts w:ascii="方正仿宋_GBK" w:hAnsi="方正仿宋_GBK" w:eastAsia="方正仿宋_GBK" w:cs="方正仿宋_GBK"/>
          <w:sz w:val="32"/>
          <w:szCs w:val="32"/>
          <w:shd w:val="clear" w:color="auto" w:fill="FFFFFF"/>
        </w:rPr>
        <w:t>万元，与2023年度相比，增加131.62万元，增长7.07%。主要原因是2人退休，1人调离，人员经费减少；新增网络安全协调指挥平台建设费用200万元，项目经费增加。较年初预算数增加161.53万元，增长8.82%。主要原因是追加惠民电影放映费30万元，《鸟瞰新重庆》媒体合作费70万元，项目经费增加。</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Style w:val="10"/>
          <w:rFonts w:ascii="方正仿宋_GBK" w:eastAsia="方正仿宋_GBK"/>
          <w:sz w:val="32"/>
          <w:szCs w:val="32"/>
        </w:rPr>
        <w:t>2024年度本部门年末无结转和结余。</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1551.86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77.88</w:t>
      </w:r>
      <w:r>
        <w:rPr>
          <w:rFonts w:ascii="方正仿宋_GBK" w:hAnsi="方正仿宋_GBK" w:eastAsia="方正仿宋_GBK" w:cs="方正仿宋_GBK"/>
          <w:sz w:val="32"/>
          <w:szCs w:val="32"/>
          <w:shd w:val="clear" w:color="auto" w:fill="FFFFFF"/>
        </w:rPr>
        <w:t>%，较年初预算数增加66.74万元，增长4.49%，主要原因是追加惠民电影放映费30万元，《鸟瞰新重庆》拍摄制作费70万元，项目经费增加。</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53.79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2.70</w:t>
      </w:r>
      <w:r>
        <w:rPr>
          <w:rFonts w:ascii="方正仿宋_GBK" w:hAnsi="方正仿宋_GBK" w:eastAsia="方正仿宋_GBK" w:cs="方正仿宋_GBK"/>
          <w:sz w:val="32"/>
          <w:szCs w:val="32"/>
          <w:shd w:val="clear" w:color="auto" w:fill="FFFFFF"/>
        </w:rPr>
        <w:t>%，较年初预算数减少1.65万元，下降2.98%，主要原因是爱教</w:t>
      </w:r>
      <w:r>
        <w:rPr>
          <w:rStyle w:val="10"/>
          <w:rFonts w:ascii="方正仿宋_GBK" w:eastAsia="方正仿宋_GBK"/>
          <w:b w:val="0"/>
          <w:bCs/>
          <w:sz w:val="32"/>
          <w:szCs w:val="32"/>
        </w:rPr>
        <w:t>电影放映据实结算。</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88.99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4.47</w:t>
      </w:r>
      <w:r>
        <w:rPr>
          <w:rFonts w:ascii="方正仿宋_GBK" w:hAnsi="方正仿宋_GBK" w:eastAsia="方正仿宋_GBK" w:cs="方正仿宋_GBK"/>
          <w:sz w:val="32"/>
          <w:szCs w:val="32"/>
          <w:shd w:val="clear" w:color="auto" w:fill="FFFFFF"/>
        </w:rPr>
        <w:t>%，较年初预算数增加9.99万元，增长12.65%，主要原因是新增新时代文明实践中心建设项目经费。</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191.42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9.61</w:t>
      </w:r>
      <w:r>
        <w:rPr>
          <w:rFonts w:ascii="方正仿宋_GBK" w:hAnsi="方正仿宋_GBK" w:eastAsia="方正仿宋_GBK" w:cs="方正仿宋_GBK"/>
          <w:sz w:val="32"/>
          <w:szCs w:val="32"/>
          <w:shd w:val="clear" w:color="auto" w:fill="FFFFFF"/>
        </w:rPr>
        <w:t>%，较年初预算数增加69.93万元，增长57.56%，主要原因是补缴2022年至2023年的养老保险和职业年金。</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39.89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%，较年初预算数无增减，主要原因是严格按照预算支出。</w:t>
      </w:r>
    </w:p>
    <w:p>
      <w:pPr>
        <w:keepNext w:val="0"/>
        <w:keepLines w:val="0"/>
        <w:pageBreakBefore w:val="0"/>
        <w:widowControl w:val="0"/>
        <w:kinsoku/>
        <w:overflowPunct/>
        <w:topLinePunct w:val="0"/>
        <w:autoSpaceDN/>
        <w:bidi w:val="0"/>
        <w:adjustRightInd/>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住房保障支出66.56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3.34</w:t>
      </w:r>
      <w:r>
        <w:rPr>
          <w:rFonts w:ascii="方正仿宋_GBK" w:hAnsi="方正仿宋_GBK" w:eastAsia="方正仿宋_GBK" w:cs="方正仿宋_GBK"/>
          <w:sz w:val="32"/>
          <w:szCs w:val="32"/>
          <w:shd w:val="clear" w:color="auto" w:fill="FFFFFF"/>
        </w:rPr>
        <w:t>%，较年初预算数增加16.53万元，增长33.04%，主要原因是</w:t>
      </w:r>
      <w:r>
        <w:rPr>
          <w:rStyle w:val="10"/>
          <w:rFonts w:ascii="方正仿宋_GBK" w:eastAsia="方正仿宋_GBK"/>
          <w:b w:val="0"/>
          <w:bCs/>
          <w:sz w:val="32"/>
          <w:szCs w:val="32"/>
        </w:rPr>
        <w:t>政策调</w:t>
      </w:r>
      <w:r>
        <w:rPr>
          <w:rStyle w:val="10"/>
          <w:rFonts w:hint="eastAsia" w:ascii="方正仿宋_GBK" w:eastAsia="方正仿宋_GBK"/>
          <w:b w:val="0"/>
          <w:bCs/>
          <w:sz w:val="32"/>
          <w:szCs w:val="32"/>
          <w:lang w:eastAsia="zh-CN"/>
        </w:rPr>
        <w:t>整</w:t>
      </w:r>
      <w:r>
        <w:rPr>
          <w:rStyle w:val="10"/>
          <w:rFonts w:ascii="方正仿宋_GBK" w:eastAsia="方正仿宋_GBK"/>
          <w:b w:val="0"/>
          <w:bCs/>
          <w:sz w:val="32"/>
          <w:szCs w:val="32"/>
        </w:rPr>
        <w:t>，</w:t>
      </w:r>
      <w:r>
        <w:rPr>
          <w:rFonts w:ascii="方正仿宋_GBK" w:eastAsia="方正仿宋_GBK"/>
          <w:sz w:val="32"/>
          <w:szCs w:val="32"/>
        </w:rPr>
        <w:t>基数调整，费用增加。</w:t>
      </w:r>
    </w:p>
    <w:p>
      <w:pPr>
        <w:pStyle w:val="11"/>
        <w:keepNext w:val="0"/>
        <w:keepLines w:val="0"/>
        <w:pageBreakBefore w:val="0"/>
        <w:widowControl w:val="0"/>
        <w:kinsoku/>
        <w:overflowPunct/>
        <w:topLinePunct w:val="0"/>
        <w:autoSpaceDE w:val="0"/>
        <w:autoSpaceDN/>
        <w:bidi w:val="0"/>
        <w:adjustRightInd/>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keepNext w:val="0"/>
        <w:keepLines w:val="0"/>
        <w:pageBreakBefore w:val="0"/>
        <w:widowControl w:val="0"/>
        <w:kinsoku/>
        <w:overflowPunct/>
        <w:topLinePunct w:val="0"/>
        <w:autoSpaceDN/>
        <w:bidi w:val="0"/>
        <w:adjustRightInd/>
        <w:spacing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1053.75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894.85</w:t>
      </w:r>
      <w:r>
        <w:rPr>
          <w:rFonts w:ascii="方正仿宋_GBK" w:hAnsi="方正仿宋_GBK" w:eastAsia="方正仿宋_GBK" w:cs="方正仿宋_GBK"/>
          <w:sz w:val="32"/>
          <w:szCs w:val="32"/>
          <w:shd w:val="clear" w:color="auto" w:fill="FFFFFF"/>
        </w:rPr>
        <w:t>万元，与2023年度相比，减少37.69万元，下降4.04%，主要原因是2人退休，1人调离。人员经费用途主要包括基本工资、津贴补贴、奖金、社会保障缴费、住房公积金、医疗费等。公用经费</w:t>
      </w:r>
      <w:r>
        <w:rPr>
          <w:rFonts w:ascii="方正仿宋_GBK" w:hAnsi="方正仿宋_GBK" w:eastAsia="方正仿宋_GBK" w:cs="方正仿宋_GBK"/>
          <w:sz w:val="32"/>
          <w:szCs w:val="32"/>
        </w:rPr>
        <w:t>158.90</w:t>
      </w:r>
      <w:r>
        <w:rPr>
          <w:rFonts w:ascii="方正仿宋_GBK" w:hAnsi="方正仿宋_GBK" w:eastAsia="方正仿宋_GBK" w:cs="方正仿宋_GBK"/>
          <w:sz w:val="32"/>
          <w:szCs w:val="32"/>
          <w:shd w:val="clear" w:color="auto" w:fill="FFFFFF"/>
        </w:rPr>
        <w:t>万元，与2023年度相比，减少36.17万元，下降18.54%，主要原因是2人退休，1人调离。公用经费用途主要包括</w:t>
      </w:r>
      <w:r>
        <w:rPr>
          <w:rStyle w:val="10"/>
          <w:rFonts w:ascii="方正仿宋_GBK" w:eastAsia="方正仿宋_GBK"/>
          <w:b w:val="0"/>
          <w:bCs/>
          <w:sz w:val="32"/>
          <w:szCs w:val="32"/>
        </w:rPr>
        <w:t>办公费、印刷费、邮电费、差旅费、培训费、工会经费等。</w:t>
      </w:r>
    </w:p>
    <w:p>
      <w:pPr>
        <w:pStyle w:val="11"/>
        <w:keepNext w:val="0"/>
        <w:keepLines w:val="0"/>
        <w:pageBreakBefore w:val="0"/>
        <w:widowControl w:val="0"/>
        <w:kinsoku/>
        <w:overflowPunct/>
        <w:topLinePunct w:val="0"/>
        <w:autoSpaceDE w:val="0"/>
        <w:autoSpaceDN/>
        <w:bidi w:val="0"/>
        <w:adjustRightInd/>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bookmarkStart w:id="0" w:name="_GoBack"/>
      <w:bookmarkEnd w:id="0"/>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p>
    <w:p>
      <w:pPr>
        <w:pStyle w:val="11"/>
        <w:keepNext w:val="0"/>
        <w:keepLines w:val="0"/>
        <w:pageBreakBefore w:val="0"/>
        <w:widowControl w:val="0"/>
        <w:kinsoku/>
        <w:overflowPunct/>
        <w:topLinePunct w:val="0"/>
        <w:autoSpaceDE w:val="0"/>
        <w:autoSpaceDN/>
        <w:bidi w:val="0"/>
        <w:adjustRightInd/>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keepNext w:val="0"/>
        <w:keepLines w:val="0"/>
        <w:pageBreakBefore w:val="0"/>
        <w:widowControl w:val="0"/>
        <w:kinsoku/>
        <w:overflowPunct/>
        <w:topLinePunct w:val="0"/>
        <w:autoSpaceDE w:val="0"/>
        <w:autoSpaceDN/>
        <w:bidi w:val="0"/>
        <w:adjustRightInd/>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8.89</w:t>
      </w:r>
      <w:r>
        <w:rPr>
          <w:rFonts w:ascii="方正仿宋_GBK" w:hAnsi="方正仿宋_GBK" w:eastAsia="方正仿宋_GBK" w:cs="方正仿宋_GBK"/>
          <w:sz w:val="32"/>
          <w:szCs w:val="32"/>
          <w:shd w:val="clear" w:color="auto" w:fill="FFFFFF"/>
        </w:rPr>
        <w:t>万元，较年初预算数减少10.11万元，下降53.21%，主要原因是</w:t>
      </w:r>
      <w:r>
        <w:rPr>
          <w:rStyle w:val="10"/>
          <w:rFonts w:ascii="方正仿宋_GBK" w:eastAsia="方正仿宋_GBK"/>
          <w:b w:val="0"/>
          <w:bCs/>
          <w:sz w:val="32"/>
          <w:szCs w:val="32"/>
        </w:rPr>
        <w:t>认真贯彻落实中央八项规定精神和厉行节约要求，严控</w:t>
      </w:r>
      <w:r>
        <w:rPr>
          <w:rStyle w:val="10"/>
          <w:rFonts w:hint="eastAsia" w:ascii="方正仿宋_GBK" w:eastAsia="方正仿宋_GBK"/>
          <w:b w:val="0"/>
          <w:bCs/>
          <w:sz w:val="32"/>
          <w:szCs w:val="32"/>
          <w:lang w:eastAsia="zh-CN"/>
        </w:rPr>
        <w:t>三公</w:t>
      </w:r>
      <w:r>
        <w:rPr>
          <w:rStyle w:val="10"/>
          <w:rFonts w:ascii="方正仿宋_GBK" w:eastAsia="方正仿宋_GBK"/>
          <w:b w:val="0"/>
          <w:bCs/>
          <w:sz w:val="32"/>
          <w:szCs w:val="32"/>
        </w:rPr>
        <w:t>经费支出。</w:t>
      </w:r>
      <w:r>
        <w:rPr>
          <w:rFonts w:ascii="方正仿宋_GBK" w:hAnsi="方正仿宋_GBK" w:eastAsia="方正仿宋_GBK" w:cs="方正仿宋_GBK"/>
          <w:b w:val="0"/>
          <w:bCs/>
          <w:sz w:val="32"/>
          <w:szCs w:val="32"/>
          <w:shd w:val="clear" w:color="auto" w:fill="FFFFFF"/>
        </w:rPr>
        <w:t>较上年支出数减少0.73万元，下降7.59%，主要原因是</w:t>
      </w:r>
      <w:r>
        <w:rPr>
          <w:rStyle w:val="10"/>
          <w:rFonts w:ascii="方正仿宋_GBK" w:eastAsia="方正仿宋_GBK"/>
          <w:b w:val="0"/>
          <w:bCs/>
          <w:sz w:val="32"/>
          <w:szCs w:val="32"/>
        </w:rPr>
        <w:t>认真贯彻落实中央八项规定精神和厉行节约要求，严控</w:t>
      </w:r>
      <w:r>
        <w:rPr>
          <w:rStyle w:val="10"/>
          <w:rFonts w:hint="eastAsia" w:ascii="方正仿宋_GBK" w:eastAsia="方正仿宋_GBK"/>
          <w:b w:val="0"/>
          <w:bCs/>
          <w:sz w:val="32"/>
          <w:szCs w:val="32"/>
          <w:lang w:eastAsia="zh-CN"/>
        </w:rPr>
        <w:t>三公</w:t>
      </w:r>
      <w:r>
        <w:rPr>
          <w:rStyle w:val="10"/>
          <w:rFonts w:ascii="方正仿宋_GBK" w:eastAsia="方正仿宋_GBK"/>
          <w:b w:val="0"/>
          <w:bCs/>
          <w:sz w:val="32"/>
          <w:szCs w:val="32"/>
        </w:rPr>
        <w:t>经费支出。</w:t>
      </w:r>
    </w:p>
    <w:p>
      <w:pPr>
        <w:pStyle w:val="11"/>
        <w:keepNext w:val="0"/>
        <w:keepLines w:val="0"/>
        <w:pageBreakBefore w:val="0"/>
        <w:widowControl w:val="0"/>
        <w:kinsoku/>
        <w:overflowPunct/>
        <w:topLinePunct w:val="0"/>
        <w:autoSpaceDE w:val="0"/>
        <w:autoSpaceDN/>
        <w:bidi w:val="0"/>
        <w:adjustRightInd/>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Style w:val="10"/>
          <w:rFonts w:hint="default" w:ascii="方正仿宋_GBK" w:eastAsia="方正仿宋_GBK"/>
          <w:b w:val="0"/>
          <w:sz w:val="32"/>
          <w:szCs w:val="32"/>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b w:val="0"/>
          <w:bCs/>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4.42</w:t>
      </w:r>
      <w:r>
        <w:rPr>
          <w:rFonts w:ascii="方正仿宋_GBK" w:hAnsi="方正仿宋_GBK" w:eastAsia="方正仿宋_GBK" w:cs="方正仿宋_GBK"/>
          <w:sz w:val="32"/>
          <w:szCs w:val="32"/>
          <w:shd w:val="clear" w:color="auto" w:fill="FFFFFF"/>
        </w:rPr>
        <w:t>万元，主要用于记者来垫采访、下乡调研和巡查督查等工作所需车辆的燃料费、维修费、过桥过路费、保险费等。费用支出较年初预算数减少1.58万元，下降26.33%，主要原因是</w:t>
      </w:r>
      <w:r>
        <w:rPr>
          <w:rStyle w:val="10"/>
          <w:rFonts w:ascii="方正仿宋_GBK" w:eastAsia="方正仿宋_GBK"/>
          <w:b w:val="0"/>
          <w:bCs/>
          <w:sz w:val="32"/>
          <w:szCs w:val="32"/>
        </w:rPr>
        <w:t>认真贯彻落实中央八项规定精神和厉行节约要求，加强管理，严禁公车私用。</w:t>
      </w:r>
      <w:r>
        <w:rPr>
          <w:rFonts w:ascii="方正仿宋_GBK" w:hAnsi="方正仿宋_GBK" w:eastAsia="方正仿宋_GBK" w:cs="方正仿宋_GBK"/>
          <w:b w:val="0"/>
          <w:bCs/>
          <w:sz w:val="32"/>
          <w:szCs w:val="32"/>
          <w:shd w:val="clear" w:color="auto" w:fill="FFFFFF"/>
        </w:rPr>
        <w:t>较上年支出数减少0.32万元，下降6.75%，主要原因是</w:t>
      </w:r>
      <w:r>
        <w:rPr>
          <w:rStyle w:val="10"/>
          <w:rFonts w:ascii="方正仿宋_GBK" w:eastAsia="方正仿宋_GBK"/>
          <w:b w:val="0"/>
          <w:bCs/>
          <w:sz w:val="32"/>
          <w:szCs w:val="32"/>
        </w:rPr>
        <w:t>认真贯彻落实中央八项规定精神和厉行节约要求，加强管理，严禁公车私用。</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 公务接待费</w:t>
      </w:r>
      <w:r>
        <w:rPr>
          <w:rFonts w:ascii="方正仿宋_GBK" w:hAnsi="方正仿宋_GBK" w:eastAsia="方正仿宋_GBK" w:cs="方正仿宋_GBK"/>
          <w:b w:val="0"/>
          <w:bCs/>
          <w:sz w:val="32"/>
          <w:szCs w:val="32"/>
        </w:rPr>
        <w:t>4.48</w:t>
      </w:r>
      <w:r>
        <w:rPr>
          <w:rFonts w:ascii="方正仿宋_GBK" w:hAnsi="方正仿宋_GBK" w:eastAsia="方正仿宋_GBK" w:cs="方正仿宋_GBK"/>
          <w:b w:val="0"/>
          <w:bCs/>
          <w:sz w:val="32"/>
          <w:szCs w:val="32"/>
          <w:shd w:val="clear" w:color="auto" w:fill="FFFFFF"/>
        </w:rPr>
        <w:t>万元，主要用于接待于接待</w:t>
      </w:r>
      <w:r>
        <w:rPr>
          <w:rStyle w:val="10"/>
          <w:rFonts w:ascii="方正仿宋_GBK" w:eastAsia="方正仿宋_GBK"/>
          <w:b w:val="0"/>
          <w:bCs/>
          <w:sz w:val="32"/>
          <w:szCs w:val="32"/>
        </w:rPr>
        <w:t>市级各部门及区县相关领导来垫检查指导工作及中央市级媒体来垫采访所产生的食宿费用。</w:t>
      </w:r>
      <w:r>
        <w:rPr>
          <w:rFonts w:ascii="方正仿宋_GBK" w:hAnsi="方正仿宋_GBK" w:eastAsia="方正仿宋_GBK" w:cs="方正仿宋_GBK"/>
          <w:b w:val="0"/>
          <w:bCs/>
          <w:sz w:val="32"/>
          <w:szCs w:val="32"/>
          <w:shd w:val="clear" w:color="auto" w:fill="FFFFFF"/>
        </w:rPr>
        <w:t>费用支出较年初预算数减少8.52万元，下降65.54%，主要原因是</w:t>
      </w:r>
      <w:r>
        <w:rPr>
          <w:rStyle w:val="10"/>
          <w:rFonts w:ascii="方正仿宋_GBK" w:eastAsia="方正仿宋_GBK"/>
          <w:b w:val="0"/>
          <w:bCs/>
          <w:sz w:val="32"/>
          <w:szCs w:val="32"/>
        </w:rPr>
        <w:t>压减支出，厉行节约。</w:t>
      </w:r>
      <w:r>
        <w:rPr>
          <w:rFonts w:ascii="方正仿宋_GBK" w:hAnsi="方正仿宋_GBK" w:eastAsia="方正仿宋_GBK" w:cs="方正仿宋_GBK"/>
          <w:b w:val="0"/>
          <w:bCs/>
          <w:sz w:val="32"/>
          <w:szCs w:val="32"/>
          <w:shd w:val="clear" w:color="auto" w:fill="FFFFFF"/>
        </w:rPr>
        <w:t>较上年支出数减少0.40万元，下降8.20%，主要原因是压减支出，各类活动减少，接待费用减少。</w:t>
      </w:r>
    </w:p>
    <w:p>
      <w:pPr>
        <w:pStyle w:val="11"/>
        <w:keepNext w:val="0"/>
        <w:keepLines w:val="0"/>
        <w:pageBreakBefore w:val="0"/>
        <w:widowControl w:val="0"/>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448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99.96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4.42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keepNext w:val="0"/>
        <w:keepLines w:val="0"/>
        <w:pageBreakBefore w:val="0"/>
        <w:widowControl w:val="0"/>
        <w:kinsoku/>
        <w:overflowPunct/>
        <w:topLinePunct w:val="0"/>
        <w:autoSpaceDE w:val="0"/>
        <w:autoSpaceDN/>
        <w:bidi w:val="0"/>
        <w:adjustRightInd/>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5.18</w:t>
      </w:r>
      <w:r>
        <w:rPr>
          <w:rFonts w:ascii="方正仿宋_GBK" w:hAnsi="方正仿宋_GBK" w:eastAsia="方正仿宋_GBK" w:cs="方正仿宋_GBK"/>
          <w:sz w:val="32"/>
          <w:szCs w:val="32"/>
          <w:shd w:val="clear" w:color="auto" w:fill="FFFFFF"/>
        </w:rPr>
        <w:t>万元，与2023年度相比，减少1.04万元，下降16.72%，主要原因是缩减开支，</w:t>
      </w:r>
      <w:r>
        <w:rPr>
          <w:rStyle w:val="10"/>
          <w:rFonts w:ascii="方正仿宋_GBK" w:eastAsia="方正仿宋_GBK"/>
          <w:b w:val="0"/>
          <w:bCs/>
          <w:sz w:val="32"/>
          <w:szCs w:val="32"/>
        </w:rPr>
        <w:t>召开会议次数减少，部分会议采用线上方式举行。</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2.84</w:t>
      </w:r>
      <w:r>
        <w:rPr>
          <w:rFonts w:ascii="方正仿宋_GBK" w:hAnsi="方正仿宋_GBK" w:eastAsia="方正仿宋_GBK" w:cs="方正仿宋_GBK"/>
          <w:sz w:val="32"/>
          <w:szCs w:val="32"/>
          <w:shd w:val="clear" w:color="auto" w:fill="FFFFFF"/>
        </w:rPr>
        <w:t>万元，与2023年度相比，减少0.07万元，下降2.41%，主要原因是缩减开支，培训减少。</w:t>
      </w:r>
    </w:p>
    <w:p>
      <w:pPr>
        <w:pStyle w:val="11"/>
        <w:keepNext w:val="0"/>
        <w:keepLines w:val="0"/>
        <w:pageBreakBefore w:val="0"/>
        <w:widowControl w:val="0"/>
        <w:kinsoku/>
        <w:overflowPunct/>
        <w:topLinePunct w:val="0"/>
        <w:autoSpaceDE w:val="0"/>
        <w:autoSpaceDN/>
        <w:bidi w:val="0"/>
        <w:adjustRightInd/>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100.27</w:t>
      </w:r>
      <w:r>
        <w:rPr>
          <w:rFonts w:ascii="方正仿宋_GBK" w:hAnsi="方正仿宋_GBK" w:eastAsia="方正仿宋_GBK" w:cs="方正仿宋_GBK"/>
          <w:sz w:val="32"/>
          <w:szCs w:val="32"/>
          <w:shd w:val="clear" w:color="auto" w:fill="FFFFFF"/>
        </w:rPr>
        <w:t>万元，机关运行经费主要用于开支</w:t>
      </w:r>
      <w:r>
        <w:rPr>
          <w:rStyle w:val="10"/>
          <w:rFonts w:ascii="方正仿宋_GBK" w:eastAsia="方正仿宋_GBK"/>
          <w:b w:val="0"/>
          <w:bCs/>
          <w:sz w:val="32"/>
          <w:szCs w:val="32"/>
        </w:rPr>
        <w:t>办公费、印刷费、邮电费、差旅费、公务接待费、委托业务费、工会经费、公务用车运行维护费、其他交通费等费用。</w:t>
      </w:r>
      <w:r>
        <w:rPr>
          <w:rFonts w:ascii="方正仿宋_GBK" w:hAnsi="方正仿宋_GBK" w:eastAsia="方正仿宋_GBK" w:cs="方正仿宋_GBK"/>
          <w:b w:val="0"/>
          <w:bCs/>
          <w:sz w:val="32"/>
          <w:szCs w:val="32"/>
          <w:shd w:val="clear" w:color="auto" w:fill="FFFFFF"/>
        </w:rPr>
        <w:t>机关运行经费较</w:t>
      </w:r>
      <w:r>
        <w:rPr>
          <w:rFonts w:ascii="方正仿宋_GBK" w:hAnsi="方正仿宋_GBK" w:eastAsia="方正仿宋_GBK" w:cs="方正仿宋_GBK"/>
          <w:sz w:val="32"/>
          <w:szCs w:val="32"/>
          <w:shd w:val="clear" w:color="auto" w:fill="FFFFFF"/>
        </w:rPr>
        <w:t>上年支出数减少4.75万元，下降4.52%，主要原因是1人退休，人员经费减少。</w:t>
      </w:r>
    </w:p>
    <w:p>
      <w:pPr>
        <w:pStyle w:val="11"/>
        <w:keepNext w:val="0"/>
        <w:keepLines w:val="0"/>
        <w:pageBreakBefore w:val="0"/>
        <w:widowControl w:val="0"/>
        <w:kinsoku/>
        <w:overflowPunct/>
        <w:topLinePunct w:val="0"/>
        <w:autoSpaceDE w:val="0"/>
        <w:autoSpaceDN/>
        <w:bidi w:val="0"/>
        <w:adjustRightInd/>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val="0"/>
        <w:kinsoku/>
        <w:overflowPunct/>
        <w:topLinePunct w:val="0"/>
        <w:autoSpaceDE w:val="0"/>
        <w:autoSpaceDN/>
        <w:bidi w:val="0"/>
        <w:adjustRightInd/>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145.00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145.00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75.00万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51.72</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%。主要用于采购2024年重庆日报合作费及《鸟瞰新重庆》拍摄制作费。</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keepNext w:val="0"/>
        <w:keepLines w:val="0"/>
        <w:pageBreakBefore w:val="0"/>
        <w:widowControl w:val="0"/>
        <w:kinsoku/>
        <w:overflowPunct/>
        <w:topLinePunct w:val="0"/>
        <w:autoSpaceDE w:val="0"/>
        <w:autoSpaceDN/>
        <w:bidi w:val="0"/>
        <w:adjustRightInd/>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keepNext w:val="0"/>
        <w:keepLines w:val="0"/>
        <w:pageBreakBefore w:val="0"/>
        <w:widowControl w:val="0"/>
        <w:kinsoku/>
        <w:overflowPunct/>
        <w:topLinePunct w:val="0"/>
        <w:autoSpaceDE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根据预算绩效管理要求，我部门对部门整体和18个二级项目开展了绩效自评，涉及财政拨款项目支出资金983.75万元</w:t>
      </w:r>
    </w:p>
    <w:p>
      <w:pPr>
        <w:pStyle w:val="12"/>
        <w:keepNext w:val="0"/>
        <w:keepLines w:val="0"/>
        <w:pageBreakBefore w:val="0"/>
        <w:widowControl w:val="0"/>
        <w:kinsoku/>
        <w:overflowPunct/>
        <w:topLinePunct w:val="0"/>
        <w:autoSpaceDN/>
        <w:bidi w:val="0"/>
        <w:adjustRightInd/>
        <w:spacing w:before="0" w:beforeAutospacing="0" w:after="0" w:afterAutospacing="0"/>
        <w:ind w:firstLine="0" w:firstLineChars="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drawing>
          <wp:inline distT="0" distB="0" distL="114300" distR="114300">
            <wp:extent cx="5728970" cy="4284980"/>
            <wp:effectExtent l="0" t="0" r="5080" b="1270"/>
            <wp:docPr id="2" name="图片 2" descr="整体绩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整体绩效"/>
                    <pic:cNvPicPr>
                      <a:picLocks noChangeAspect="1"/>
                    </pic:cNvPicPr>
                  </pic:nvPicPr>
                  <pic:blipFill>
                    <a:blip r:embed="rId7"/>
                    <a:stretch>
                      <a:fillRect/>
                    </a:stretch>
                  </pic:blipFill>
                  <pic:spPr>
                    <a:xfrm>
                      <a:off x="0" y="0"/>
                      <a:ext cx="5728970" cy="4284980"/>
                    </a:xfrm>
                    <a:prstGeom prst="rect">
                      <a:avLst/>
                    </a:prstGeom>
                  </pic:spPr>
                </pic:pic>
              </a:graphicData>
            </a:graphic>
          </wp:inline>
        </w:drawing>
      </w:r>
    </w:p>
    <w:p>
      <w:pPr>
        <w:pStyle w:val="12"/>
        <w:keepNext w:val="0"/>
        <w:keepLines w:val="0"/>
        <w:pageBreakBefore w:val="0"/>
        <w:widowControl w:val="0"/>
        <w:kinsoku/>
        <w:overflowPunct/>
        <w:topLinePunct w:val="0"/>
        <w:autoSpaceDN/>
        <w:bidi w:val="0"/>
        <w:adjustRightInd/>
        <w:spacing w:before="0" w:beforeAutospacing="0" w:after="0" w:afterAutospacing="0"/>
        <w:ind w:firstLine="0" w:firstLineChars="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drawing>
          <wp:inline distT="0" distB="0" distL="114300" distR="114300">
            <wp:extent cx="5728970" cy="3468370"/>
            <wp:effectExtent l="0" t="0" r="5080" b="17780"/>
            <wp:docPr id="4" name="图片 4" descr="微信图片_2025081810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818100405"/>
                    <pic:cNvPicPr>
                      <a:picLocks noChangeAspect="1"/>
                    </pic:cNvPicPr>
                  </pic:nvPicPr>
                  <pic:blipFill>
                    <a:blip r:embed="rId8"/>
                    <a:stretch>
                      <a:fillRect/>
                    </a:stretch>
                  </pic:blipFill>
                  <pic:spPr>
                    <a:xfrm>
                      <a:off x="0" y="0"/>
                      <a:ext cx="5728970" cy="3468370"/>
                    </a:xfrm>
                    <a:prstGeom prst="rect">
                      <a:avLst/>
                    </a:prstGeom>
                  </pic:spPr>
                </pic:pic>
              </a:graphicData>
            </a:graphic>
          </wp:inline>
        </w:drawing>
      </w:r>
      <w:r>
        <w:rPr>
          <w:rFonts w:hint="eastAsia" w:ascii="方正仿宋_GBK" w:hAnsi="方正仿宋_GBK" w:eastAsia="方正仿宋_GBK" w:cs="方正仿宋_GBK"/>
          <w:b/>
          <w:bCs/>
          <w:sz w:val="32"/>
          <w:szCs w:val="32"/>
          <w:shd w:val="clear" w:color="auto" w:fill="FFFFFF"/>
        </w:rPr>
        <w:drawing>
          <wp:inline distT="0" distB="0" distL="114300" distR="114300">
            <wp:extent cx="5728970" cy="3468370"/>
            <wp:effectExtent l="0" t="0" r="5080" b="17780"/>
            <wp:docPr id="3" name="图片 3" descr="自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自评"/>
                    <pic:cNvPicPr>
                      <a:picLocks noChangeAspect="1"/>
                    </pic:cNvPicPr>
                  </pic:nvPicPr>
                  <pic:blipFill>
                    <a:blip r:embed="rId9"/>
                    <a:stretch>
                      <a:fillRect/>
                    </a:stretch>
                  </pic:blipFill>
                  <pic:spPr>
                    <a:xfrm>
                      <a:off x="0" y="0"/>
                      <a:ext cx="5728970" cy="3468370"/>
                    </a:xfrm>
                    <a:prstGeom prst="rect">
                      <a:avLst/>
                    </a:prstGeom>
                  </pic:spPr>
                </pic:pic>
              </a:graphicData>
            </a:graphic>
          </wp:inline>
        </w:drawing>
      </w:r>
    </w:p>
    <w:p>
      <w:pPr>
        <w:pStyle w:val="12"/>
        <w:keepNext w:val="0"/>
        <w:keepLines w:val="0"/>
        <w:pageBreakBefore w:val="0"/>
        <w:widowControl w:val="0"/>
        <w:kinsoku/>
        <w:overflowPunct/>
        <w:topLinePunct w:val="0"/>
        <w:autoSpaceDE w:val="0"/>
        <w:autoSpaceDN/>
        <w:bidi w:val="0"/>
        <w:adjustRightInd/>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keepNext w:val="0"/>
        <w:keepLines w:val="0"/>
        <w:pageBreakBefore w:val="0"/>
        <w:widowControl w:val="0"/>
        <w:kinsoku/>
        <w:overflowPunct/>
        <w:topLinePunct w:val="0"/>
        <w:autoSpaceDE w:val="0"/>
        <w:autoSpaceDN/>
        <w:bidi w:val="0"/>
        <w:adjustRightInd/>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我部门未组织开展绩效评价。</w:t>
      </w:r>
    </w:p>
    <w:p>
      <w:pPr>
        <w:pStyle w:val="16"/>
        <w:keepNext w:val="0"/>
        <w:keepLines w:val="0"/>
        <w:pageBreakBefore w:val="0"/>
        <w:widowControl w:val="0"/>
        <w:kinsoku/>
        <w:overflowPunct/>
        <w:topLinePunct w:val="0"/>
        <w:autoSpaceDE w:val="0"/>
        <w:autoSpaceDN/>
        <w:bidi w:val="0"/>
        <w:adjustRightInd/>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1"/>
        <w:keepNext w:val="0"/>
        <w:keepLines w:val="0"/>
        <w:pageBreakBefore w:val="0"/>
        <w:widowControl w:val="0"/>
        <w:kinsoku/>
        <w:overflowPunct/>
        <w:topLinePunct w:val="0"/>
        <w:autoSpaceDE w:val="0"/>
        <w:autoSpaceDN/>
        <w:bidi w:val="0"/>
        <w:adjustRightInd/>
        <w:spacing w:line="594"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县财政局未委托第三方对我部门开展绩效评价。</w:t>
      </w:r>
    </w:p>
    <w:p>
      <w:pPr>
        <w:pStyle w:val="12"/>
        <w:keepNext w:val="0"/>
        <w:keepLines w:val="0"/>
        <w:pageBreakBefore w:val="0"/>
        <w:widowControl w:val="0"/>
        <w:kinsoku/>
        <w:overflowPunct/>
        <w:topLinePunct w:val="0"/>
        <w:autoSpaceDE w:val="0"/>
        <w:autoSpaceDN/>
        <w:bidi w:val="0"/>
        <w:adjustRightInd/>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val="0"/>
        <w:kinsoku/>
        <w:overflowPunct/>
        <w:topLinePunct w:val="0"/>
        <w:autoSpaceDN/>
        <w:bidi w:val="0"/>
        <w:adjustRightInd/>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1"/>
        <w:keepNext w:val="0"/>
        <w:keepLines w:val="0"/>
        <w:pageBreakBefore w:val="0"/>
        <w:widowControl w:val="0"/>
        <w:kinsoku/>
        <w:overflowPunct/>
        <w:topLinePunct w:val="0"/>
        <w:autoSpaceDE w:val="0"/>
        <w:autoSpaceDN/>
        <w:bidi w:val="0"/>
        <w:adjustRightInd/>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本单位决算公开信息反馈和联系方式：田老师023-74593059</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ascii="Arial" w:hAnsi="Arial" w:cs="Arial"/>
                <w:color w:val="000000"/>
                <w:sz w:val="22"/>
                <w:szCs w:val="22"/>
              </w:rPr>
            </w:pPr>
            <w:r>
              <w:rPr>
                <w:rFonts w:cs="宋体"/>
                <w:sz w:val="20"/>
                <w:szCs w:val="20"/>
              </w:rPr>
              <w:t>部门：</w:t>
            </w:r>
            <w:r>
              <w:rPr>
                <w:sz w:val="20"/>
              </w:rPr>
              <w:t>中国共产党垫江县委员会宣传部</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1,892.51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191.42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1,892.51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1,992.51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1,992.51</w:t>
            </w:r>
            <w:r>
              <w:rPr>
                <w:rFonts w:ascii="Times New Roman" w:hAnsi="Times New Roman"/>
                <w:color w:val="000000"/>
                <w:sz w:val="20"/>
              </w:rPr>
              <w:t xml:space="preserve"> </w:t>
            </w:r>
          </w:p>
        </w:tc>
      </w:tr>
    </w:tbl>
    <w:p>
      <w:pPr>
        <w:keepNext w:val="0"/>
        <w:keepLines w:val="0"/>
        <w:pageBreakBefore w:val="0"/>
        <w:widowControl w:val="0"/>
        <w:kinsoku/>
        <w:overflowPunct/>
        <w:topLinePunct w:val="0"/>
        <w:autoSpaceDN/>
        <w:bidi w:val="0"/>
        <w:adjustRightInd/>
        <w:rPr>
          <w:rFonts w:hint="default" w:cs="宋体"/>
          <w:sz w:val="21"/>
          <w:szCs w:val="21"/>
        </w:rPr>
      </w:pPr>
    </w:p>
    <w:p>
      <w:pPr>
        <w:keepNext w:val="0"/>
        <w:keepLines w:val="0"/>
        <w:pageBreakBefore w:val="0"/>
        <w:widowControl w:val="0"/>
        <w:kinsoku/>
        <w:overflowPunct/>
        <w:topLinePunct w:val="0"/>
        <w:autoSpaceDN/>
        <w:bidi w:val="0"/>
        <w:adjustRightInd/>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1"/>
        <w:gridCol w:w="2974"/>
        <w:gridCol w:w="1377"/>
        <w:gridCol w:w="1430"/>
        <w:gridCol w:w="1464"/>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cs="宋体"/>
                <w:color w:val="000000"/>
                <w:sz w:val="20"/>
                <w:szCs w:val="20"/>
              </w:rPr>
            </w:pPr>
            <w:r>
              <w:rPr>
                <w:rFonts w:cs="宋体"/>
                <w:sz w:val="20"/>
                <w:szCs w:val="20"/>
              </w:rPr>
              <w:t>部门：</w:t>
            </w:r>
            <w:r>
              <w:rPr>
                <w:sz w:val="20"/>
              </w:rPr>
              <w:t>中国共产党垫江县委员会宣传部</w:t>
            </w:r>
          </w:p>
        </w:tc>
        <w:tc>
          <w:tcPr>
            <w:tcW w:w="46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1,892.51</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1,892.51</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1,451.86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1,451.86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20133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宣传事务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1,451.86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1,451.86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285.55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285.55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697.05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697.05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469.26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469.26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普通教育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小学教育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初中教育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高中教育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职业教育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中等职业教育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进修及培训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培训支出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其他文化旅游体育与传媒支出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2079902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宣传文化发展专项支出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191.42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191.42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191.40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191.40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keepNext w:val="0"/>
        <w:keepLines w:val="0"/>
        <w:pageBreakBefore w:val="0"/>
        <w:widowControl w:val="0"/>
        <w:kinsoku/>
        <w:overflowPunct/>
        <w:topLinePunct w:val="0"/>
        <w:autoSpaceDN/>
        <w:bidi w:val="0"/>
        <w:adjustRightInd/>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adjustRightInd/>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7"/>
        <w:gridCol w:w="1799"/>
        <w:gridCol w:w="1737"/>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中国共产党垫江县委员会宣传部 </w:t>
            </w: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1,992.51</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1,053.75</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938.75</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1,551.86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754.80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797.05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20133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宣传事务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1,551.86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754.80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797.05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285.55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285.55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767.05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767.05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469.26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469.26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其他宣传事务支出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普通教育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小学教育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初中教育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高中教育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职业教育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中等职业教育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进修及培训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培训支出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其他文化旅游体育与传媒支出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2079902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宣传文化发展专项支出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191.42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191.40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191.40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191.40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keepNext w:val="0"/>
        <w:keepLines w:val="0"/>
        <w:pageBreakBefore w:val="0"/>
        <w:widowControl w:val="0"/>
        <w:kinsoku/>
        <w:overflowPunct/>
        <w:topLinePunct w:val="0"/>
        <w:autoSpaceDN/>
        <w:bidi w:val="0"/>
        <w:adjustRightInd/>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adjustRightInd/>
        <w:rPr>
          <w:rFonts w:hint="default" w:cs="宋体"/>
          <w:sz w:val="21"/>
          <w:szCs w:val="21"/>
        </w:rPr>
      </w:pPr>
      <w:r>
        <w:rPr>
          <w:rFonts w:cs="宋体"/>
          <w:sz w:val="21"/>
          <w:szCs w:val="21"/>
        </w:rPr>
        <w:br w:type="page"/>
      </w:r>
    </w:p>
    <w:p>
      <w:pPr>
        <w:keepNext w:val="0"/>
        <w:keepLines w:val="0"/>
        <w:pageBreakBefore w:val="0"/>
        <w:widowControl w:val="0"/>
        <w:kinsoku/>
        <w:overflowPunct/>
        <w:topLinePunct w:val="0"/>
        <w:autoSpaceDN/>
        <w:bidi w:val="0"/>
        <w:adjustRightInd/>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中国共产党垫江县委员会宣传部</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keepNext w:val="0"/>
        <w:keepLines w:val="0"/>
        <w:pageBreakBefore w:val="0"/>
        <w:widowControl w:val="0"/>
        <w:kinsoku/>
        <w:overflowPunct/>
        <w:topLinePunct w:val="0"/>
        <w:autoSpaceDN/>
        <w:bidi w:val="0"/>
        <w:adjustRightInd/>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中国共产党垫江县委员会宣传部</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1,992.51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1,053.75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938.75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1,551.86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754.80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797.05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1,551.86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754.80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797.05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285.55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469.26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469.26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其他文化旅游体育与传媒支出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2079902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宣传文化发展专项支出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191.40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191.40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66.56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keepNext w:val="0"/>
        <w:keepLines w:val="0"/>
        <w:pageBreakBefore w:val="0"/>
        <w:widowControl w:val="0"/>
        <w:kinsoku/>
        <w:overflowPunct/>
        <w:topLinePunct w:val="0"/>
        <w:autoSpaceDN/>
        <w:bidi w:val="0"/>
        <w:adjustRightInd/>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adjustRightInd/>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中国共产党垫江县委员会宣传部</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894.85</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158.90</w:t>
            </w:r>
            <w:r>
              <w:rPr>
                <w:rFonts w:ascii="Times New Roman" w:hAnsi="Times New Roman"/>
                <w:color w:val="000000"/>
                <w:sz w:val="18"/>
              </w:rPr>
              <w:t xml:space="preserve"> </w:t>
            </w:r>
          </w:p>
        </w:tc>
      </w:tr>
    </w:tbl>
    <w:p>
      <w:pPr>
        <w:keepNext w:val="0"/>
        <w:keepLines w:val="0"/>
        <w:pageBreakBefore w:val="0"/>
        <w:widowControl w:val="0"/>
        <w:kinsoku/>
        <w:overflowPunct/>
        <w:topLinePunct w:val="0"/>
        <w:autoSpaceDN/>
        <w:bidi w:val="0"/>
        <w:adjustRightIn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中国共产党垫江县委员会宣传部</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keepNext w:val="0"/>
        <w:keepLines w:val="0"/>
        <w:pageBreakBefore w:val="0"/>
        <w:widowControl w:val="0"/>
        <w:kinsoku/>
        <w:overflowPunct/>
        <w:topLinePunct w:val="0"/>
        <w:autoSpaceDN/>
        <w:bidi w:val="0"/>
        <w:adjustRightInd/>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adjustRightInd/>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2"/>
        <w:gridCol w:w="190"/>
        <w:gridCol w:w="3463"/>
        <w:gridCol w:w="86"/>
        <w:gridCol w:w="3402"/>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中国共产党垫江县委员会宣传部</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val="0"/>
        <w:kinsoku/>
        <w:overflowPunct/>
        <w:topLinePunct w:val="0"/>
        <w:autoSpaceDN/>
        <w:bidi w:val="0"/>
        <w:adjustRightInd/>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adjustRightInd/>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中国共产党垫江县委员会宣传部</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100.27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100.27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145.00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145.00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75.00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29.53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280" w:lineRule="exact"/>
              <w:jc w:val="right"/>
              <w:rPr>
                <w:rFonts w:hint="default" w:cs="宋体"/>
                <w:color w:val="000000"/>
                <w:sz w:val="16"/>
                <w:szCs w:val="16"/>
              </w:rPr>
            </w:pPr>
          </w:p>
        </w:tc>
      </w:tr>
    </w:tbl>
    <w:p>
      <w:pPr>
        <w:keepNext w:val="0"/>
        <w:keepLines w:val="0"/>
        <w:pageBreakBefore w:val="0"/>
        <w:widowControl w:val="0"/>
        <w:kinsoku/>
        <w:overflowPunct/>
        <w:topLinePunct w:val="0"/>
        <w:autoSpaceDN/>
        <w:bidi w:val="0"/>
        <w:adjustRightInd/>
        <w:rPr>
          <w:rFonts w:hint="default" w:cs="宋体"/>
          <w:sz w:val="18"/>
          <w:szCs w:val="18"/>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47955"/>
              <wp:effectExtent l="0" t="0" r="0"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pPr>
                            <w:pStyle w:val="3"/>
                            <w:rPr>
                              <w:rFonts w:hint="default"/>
                            </w:rPr>
                          </w:pPr>
                          <w:r>
                            <w:fldChar w:fldCharType="begin"/>
                          </w:r>
                          <w:r>
                            <w:instrText xml:space="preserve"> PAGE  \* MERGEFORMAT </w:instrText>
                          </w:r>
                          <w:r>
                            <w:fldChar w:fldCharType="separate"/>
                          </w:r>
                          <w:r>
                            <w:rPr>
                              <w:rFonts w:hint="default"/>
                            </w:rPr>
                            <w:t>- 16 -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center;mso-position-horizontal-relative:margin;mso-wrap-style:none;z-index:251661312;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upU9IAAAADAQAADwAAAAAAAAABACAAAAAiAAAAZHJzL2Rvd25yZXYueG1sUEsB&#10;AhQAFAAAAAgAh07iQIDD5xT7AQAAAQQAAA4AAAAAAAAAAQAgAAAAIQEAAGRycy9lMm9Eb2MueG1s&#10;UEsFBgAAAAAGAAYAWQEAAI4FAAAAAA==&#10;">
              <v:fill on="f" focussize="0,0"/>
              <v:stroke on="f"/>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UOo8tEAAAADAQAADwAAAAAAAAABACAAAAAiAAAAZHJzL2Rvd25yZXYueG1sUEsBAhQA&#10;FAAAAAgAh07iQFR467X5AQAAAQQAAA4AAAAAAAAAAQAgAAAAIAEAAGRycy9lMm9Eb2MueG1sUEsF&#10;BgAAAAAGAAYAWQEAAIsFAAAAAA==&#10;">
              <v:fill on="f" focussize="0,0"/>
              <v:stroke on="f"/>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D0eKuF+wEAAAEEAAAOAAAAAAAAAAEAIAAAACUBAABkcnMvZTJvRG9j&#10;LnhtbFBLBQYAAAAABgAGAFkBAACSBQAAAAA=&#10;">
              <v:fill on="f" focussize="0,0"/>
              <v:stroke on="f"/>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mIwODI1Y2QwNGQxZDFhYmRhZWMyNWM5ZTJhMjUifQ=="/>
  </w:docVars>
  <w:rsids>
    <w:rsidRoot w:val="00B03CCD"/>
    <w:rsid w:val="000C01CC"/>
    <w:rsid w:val="000D7702"/>
    <w:rsid w:val="000F6721"/>
    <w:rsid w:val="0010405C"/>
    <w:rsid w:val="0014154C"/>
    <w:rsid w:val="001632EC"/>
    <w:rsid w:val="00261065"/>
    <w:rsid w:val="002D0E5A"/>
    <w:rsid w:val="002D71F4"/>
    <w:rsid w:val="002E5443"/>
    <w:rsid w:val="0032196C"/>
    <w:rsid w:val="00333CA6"/>
    <w:rsid w:val="00377090"/>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A6D18"/>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317F48"/>
    <w:rsid w:val="12C921C4"/>
    <w:rsid w:val="12F52ECF"/>
    <w:rsid w:val="13871C70"/>
    <w:rsid w:val="13A71CB4"/>
    <w:rsid w:val="13AF1D43"/>
    <w:rsid w:val="13CE1647"/>
    <w:rsid w:val="13DA0C25"/>
    <w:rsid w:val="13FD55AB"/>
    <w:rsid w:val="14200702"/>
    <w:rsid w:val="14210CBF"/>
    <w:rsid w:val="14907817"/>
    <w:rsid w:val="15012F98"/>
    <w:rsid w:val="163A6CEE"/>
    <w:rsid w:val="173708E3"/>
    <w:rsid w:val="174C19C7"/>
    <w:rsid w:val="17C374FC"/>
    <w:rsid w:val="189079DC"/>
    <w:rsid w:val="189B0D0B"/>
    <w:rsid w:val="18AF03BF"/>
    <w:rsid w:val="18B43F7C"/>
    <w:rsid w:val="194A1770"/>
    <w:rsid w:val="19B906A4"/>
    <w:rsid w:val="19FB026E"/>
    <w:rsid w:val="1AD74993"/>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C332FF"/>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1F71F08"/>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3C3F57"/>
    <w:rsid w:val="4A6F6675"/>
    <w:rsid w:val="4ABF0746"/>
    <w:rsid w:val="4B0502DF"/>
    <w:rsid w:val="4B135857"/>
    <w:rsid w:val="4B7951CB"/>
    <w:rsid w:val="4B7C315C"/>
    <w:rsid w:val="4CCF773C"/>
    <w:rsid w:val="4DAC4ACA"/>
    <w:rsid w:val="4DBE01D2"/>
    <w:rsid w:val="4DD54B9F"/>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CF603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1D018F"/>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6C0624E"/>
    <w:rsid w:val="772E1EBA"/>
    <w:rsid w:val="77303AE2"/>
    <w:rsid w:val="77BA2811"/>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10901</Words>
  <Characters>14863</Characters>
  <Lines>131</Lines>
  <Paragraphs>37</Paragraphs>
  <TotalTime>13</TotalTime>
  <ScaleCrop>false</ScaleCrop>
  <LinksUpToDate>false</LinksUpToDate>
  <CharactersWithSpaces>16263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2025-09-01T02:04:00Z</dcterms:created>
  <dc:creator>Administrator</dc:creator>
  <cp:lastModifiedBy>毕欢</cp:lastModifiedBy>
  <cp:lastPrinted>2025-09-15T03:36:00Z</cp:lastPrinted>
  <dcterms:modified xsi:type="dcterms:W3CDTF">2025-09-17T07:37:52Z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