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spacing w:line="600" w:lineRule="exact"/>
        <w:jc w:val="center"/>
        <w:rPr>
          <w:rFonts w:hint="default" w:ascii="华文中宋" w:hAnsi="华文中宋" w:eastAsia="华文中宋" w:cs="华文中宋"/>
          <w:kern w:val="2"/>
          <w:sz w:val="44"/>
          <w:szCs w:val="44"/>
        </w:rPr>
      </w:pPr>
      <w:r>
        <w:rPr>
          <w:rFonts w:hint="default" w:ascii="华文中宋" w:hAnsi="华文中宋" w:eastAsia="华文中宋" w:cs="华文中宋"/>
          <w:kern w:val="2"/>
          <w:sz w:val="44"/>
          <w:szCs w:val="44"/>
        </w:rPr>
        <w:t>中国共产党垫江县委员会宣传部（本级）</w:t>
      </w:r>
    </w:p>
    <w:p>
      <w:pPr>
        <w:keepNext w:val="0"/>
        <w:keepLines w:val="0"/>
        <w:pageBreakBefore w:val="0"/>
        <w:widowControl w:val="0"/>
        <w:kinsoku/>
        <w:overflowPunct/>
        <w:topLinePunct w:val="0"/>
        <w:autoSpaceDN/>
        <w:bidi w:val="0"/>
        <w:spacing w:line="600" w:lineRule="exact"/>
        <w:jc w:val="center"/>
        <w:rPr>
          <w:rFonts w:hint="default" w:ascii="华文中宋" w:hAnsi="华文中宋" w:eastAsia="华文中宋" w:cs="华文中宋"/>
          <w:kern w:val="2"/>
          <w:sz w:val="44"/>
          <w:szCs w:val="44"/>
        </w:rPr>
      </w:pPr>
      <w:r>
        <w:rPr>
          <w:rFonts w:ascii="华文中宋" w:hAnsi="华文中宋" w:eastAsia="华文中宋" w:cs="华文中宋"/>
          <w:kern w:val="2"/>
          <w:sz w:val="44"/>
          <w:szCs w:val="44"/>
        </w:rPr>
        <w:t>2024年</w:t>
      </w:r>
      <w:r>
        <w:rPr>
          <w:rFonts w:hint="default" w:ascii="华文中宋" w:hAnsi="华文中宋" w:eastAsia="华文中宋" w:cs="华文中宋"/>
          <w:kern w:val="2"/>
          <w:sz w:val="44"/>
          <w:szCs w:val="44"/>
        </w:rPr>
        <w:t>度决算公开说明</w:t>
      </w:r>
    </w:p>
    <w:p>
      <w:pPr>
        <w:keepNext w:val="0"/>
        <w:keepLines w:val="0"/>
        <w:pageBreakBefore w:val="0"/>
        <w:widowControl w:val="0"/>
        <w:kinsoku/>
        <w:overflowPunct/>
        <w:topLinePunct w:val="0"/>
        <w:autoSpaceDN/>
        <w:bidi w:val="0"/>
        <w:spacing w:line="600" w:lineRule="exact"/>
        <w:jc w:val="center"/>
        <w:rPr>
          <w:rFonts w:hint="default" w:ascii="华文中宋" w:hAnsi="华文中宋" w:eastAsia="华文中宋" w:cs="华文中宋"/>
          <w:kern w:val="2"/>
          <w:sz w:val="44"/>
          <w:szCs w:val="44"/>
        </w:rPr>
      </w:pPr>
    </w:p>
    <w:p>
      <w:pPr>
        <w:keepNext w:val="0"/>
        <w:keepLines w:val="0"/>
        <w:pageBreakBefore w:val="0"/>
        <w:widowControl w:val="0"/>
        <w:numPr>
          <w:ilvl w:val="0"/>
          <w:numId w:val="1"/>
        </w:numPr>
        <w:kinsoku/>
        <w:overflowPunct/>
        <w:topLinePunct w:val="0"/>
        <w:autoSpaceDN/>
        <w:bidi w:val="0"/>
        <w:spacing w:line="600" w:lineRule="exact"/>
        <w:ind w:firstLine="640" w:firstLineChars="200"/>
        <w:rPr>
          <w:rFonts w:hint="default" w:ascii="黑体" w:hAnsi="黑体" w:eastAsia="黑体" w:cs="仿宋_GB2312"/>
          <w:sz w:val="32"/>
        </w:rPr>
      </w:pPr>
      <w:r>
        <w:rPr>
          <w:rFonts w:ascii="黑体" w:hAnsi="黑体" w:eastAsia="黑体" w:cs="仿宋_GB2312"/>
          <w:sz w:val="32"/>
        </w:rPr>
        <w:t>单位基本情况</w:t>
      </w:r>
    </w:p>
    <w:p>
      <w:pPr>
        <w:keepNext w:val="0"/>
        <w:keepLines w:val="0"/>
        <w:pageBreakBefore w:val="0"/>
        <w:widowControl w:val="0"/>
        <w:kinsoku/>
        <w:overflowPunct/>
        <w:topLinePunct w:val="0"/>
        <w:autoSpaceDN/>
        <w:bidi w:val="0"/>
        <w:spacing w:line="594" w:lineRule="exact"/>
        <w:ind w:firstLine="640" w:firstLineChars="200"/>
        <w:rPr>
          <w:rFonts w:hint="default" w:ascii="方正楷体_GBK" w:hAnsi="方正楷体_GBK" w:eastAsia="方正楷体_GBK" w:cs="方正楷体_GBK"/>
          <w:sz w:val="32"/>
        </w:rPr>
      </w:pPr>
      <w:r>
        <w:rPr>
          <w:rFonts w:ascii="方正楷体_GBK" w:hAnsi="方正楷体_GBK" w:eastAsia="方正楷体_GBK" w:cs="方正楷体_GBK"/>
          <w:sz w:val="32"/>
        </w:rPr>
        <w:t>（一）职能职责。</w:t>
      </w:r>
    </w:p>
    <w:p>
      <w:pPr>
        <w:keepNext w:val="0"/>
        <w:keepLines w:val="0"/>
        <w:pageBreakBefore w:val="0"/>
        <w:widowControl w:val="0"/>
        <w:kinsoku/>
        <w:overflowPunct/>
        <w:topLinePunct w:val="0"/>
        <w:autoSpaceDN/>
        <w:bidi w:val="0"/>
        <w:spacing w:line="594" w:lineRule="exact"/>
        <w:ind w:firstLine="640"/>
        <w:rPr>
          <w:rFonts w:hint="default" w:eastAsia="方正仿宋_GBK"/>
          <w:sz w:val="32"/>
        </w:rPr>
      </w:pPr>
      <w:r>
        <w:rPr>
          <w:rFonts w:eastAsia="方正仿宋_GBK"/>
          <w:sz w:val="32"/>
        </w:rPr>
        <w:t>1.拟订全县宣传思想文化工作重大政策举措和事业发展总体规划，统筹协调推进全县宣传思想文化领域法治建设，按照县委统一部署，协调宣传思想文化系统各部门之间的工作。</w:t>
      </w:r>
    </w:p>
    <w:p>
      <w:pPr>
        <w:keepNext w:val="0"/>
        <w:keepLines w:val="0"/>
        <w:pageBreakBefore w:val="0"/>
        <w:widowControl w:val="0"/>
        <w:kinsoku/>
        <w:overflowPunct/>
        <w:topLinePunct w:val="0"/>
        <w:autoSpaceDN/>
        <w:bidi w:val="0"/>
        <w:spacing w:line="594" w:lineRule="exact"/>
        <w:ind w:firstLine="640" w:firstLineChars="200"/>
        <w:rPr>
          <w:rFonts w:hint="default" w:eastAsia="方正仿宋_GBK"/>
          <w:sz w:val="32"/>
        </w:rPr>
      </w:pPr>
      <w:r>
        <w:rPr>
          <w:rFonts w:eastAsia="方正仿宋_GBK"/>
          <w:sz w:val="32"/>
        </w:rPr>
        <w:t>2.统筹协调全县党的意识形态工作，贯彻落实党中央、市委、县委关于意识形态工作决策部署，组织协调全县意识形态工作责任制落实和日常监督检查，结合巡察工作开展专项检查。</w:t>
      </w:r>
    </w:p>
    <w:p>
      <w:pPr>
        <w:keepNext w:val="0"/>
        <w:keepLines w:val="0"/>
        <w:pageBreakBefore w:val="0"/>
        <w:widowControl w:val="0"/>
        <w:kinsoku/>
        <w:overflowPunct/>
        <w:topLinePunct w:val="0"/>
        <w:autoSpaceDN/>
        <w:bidi w:val="0"/>
        <w:spacing w:line="594" w:lineRule="exact"/>
        <w:ind w:firstLine="640" w:firstLineChars="200"/>
        <w:rPr>
          <w:rFonts w:hint="default" w:eastAsia="方正仿宋_GBK"/>
          <w:sz w:val="32"/>
        </w:rPr>
      </w:pPr>
      <w:r>
        <w:rPr>
          <w:rFonts w:eastAsia="方正仿宋_GBK"/>
          <w:sz w:val="32"/>
        </w:rPr>
        <w:t>3.统筹指导协调全县理论研究、理论学习、理论宣传工作，组织推动理论武装工作，组织实施马克思主义理论研究和建设工程。统筹协调、指导管理全县新型智库建设。</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xml:space="preserve">    4.负责规划组织全县思想政治工作，配合中共垫江县委组织部做好党员教育工作，指导协调编写党员教育教材，会同有关部门研究和改进群众思想教育工作。</w:t>
      </w:r>
    </w:p>
    <w:p>
      <w:pPr>
        <w:keepNext w:val="0"/>
        <w:keepLines w:val="0"/>
        <w:pageBreakBefore w:val="0"/>
        <w:widowControl w:val="0"/>
        <w:kinsoku/>
        <w:overflowPunct/>
        <w:topLinePunct w:val="0"/>
        <w:autoSpaceDN/>
        <w:bidi w:val="0"/>
        <w:spacing w:line="594" w:lineRule="exact"/>
        <w:ind w:firstLine="480" w:firstLineChars="150"/>
        <w:rPr>
          <w:rFonts w:hint="default" w:eastAsia="方正仿宋_GBK"/>
          <w:sz w:val="32"/>
        </w:rPr>
      </w:pPr>
      <w:r>
        <w:rPr>
          <w:rFonts w:eastAsia="方正仿宋_GBK"/>
          <w:sz w:val="32"/>
        </w:rPr>
        <w:t>5.负责指导、协调全县精神文明建设工作。</w:t>
      </w:r>
    </w:p>
    <w:p>
      <w:pPr>
        <w:keepNext w:val="0"/>
        <w:keepLines w:val="0"/>
        <w:pageBreakBefore w:val="0"/>
        <w:widowControl w:val="0"/>
        <w:kinsoku/>
        <w:overflowPunct/>
        <w:topLinePunct w:val="0"/>
        <w:autoSpaceDN/>
        <w:bidi w:val="0"/>
        <w:spacing w:line="594" w:lineRule="exact"/>
        <w:jc w:val="both"/>
        <w:rPr>
          <w:rFonts w:hint="default" w:eastAsia="方正仿宋_GBK"/>
          <w:sz w:val="32"/>
        </w:rPr>
      </w:pPr>
      <w:r>
        <w:rPr>
          <w:rFonts w:eastAsia="方正仿宋_GBK"/>
          <w:sz w:val="32"/>
        </w:rPr>
        <w:t xml:space="preserve">   6.统筹分析研判和引导社会舆论，指导协调各新闻单位工作，组织全县突发公共事件应急新闻工作。</w:t>
      </w:r>
    </w:p>
    <w:p>
      <w:pPr>
        <w:keepNext w:val="0"/>
        <w:keepLines w:val="0"/>
        <w:pageBreakBefore w:val="0"/>
        <w:widowControl w:val="0"/>
        <w:kinsoku/>
        <w:overflowPunct/>
        <w:topLinePunct w:val="0"/>
        <w:autoSpaceDN/>
        <w:bidi w:val="0"/>
        <w:spacing w:line="594" w:lineRule="exact"/>
        <w:ind w:firstLine="480" w:firstLineChars="150"/>
        <w:rPr>
          <w:rFonts w:hint="default" w:eastAsia="方正仿宋_GBK"/>
          <w:sz w:val="32"/>
        </w:rPr>
      </w:pPr>
      <w:r>
        <w:rPr>
          <w:rFonts w:eastAsia="方正仿宋_GBK"/>
          <w:sz w:val="32"/>
        </w:rPr>
        <w:t>7.督促落实新闻出版有关政策，管理新闻出版行政事务，组织协调有关行政审批工作，统筹规划和指导协调新闻出版事业、产业发展，监督管理出版物内容和质量，监督管理印刷发行业，负责著作权保护管理和公共服务，管理出版物进出口等。组织指导协调全县“扫黄打非”工作。</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xml:space="preserve">   8.从宏观上统筹指导协调推动精神文化产品的创作和生产，协调组织全县中华优秀传统文化传承发展有关工作，指导协调推动群众文化建设。    </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9.负责管理电影行政事务，指导监管电影制片、发行、放映工作，组织对电影内容进行审查，指导协调全县性重大电影活动。</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xml:space="preserve">    10.对新闻出版、广播影视、文化艺术业改革发展研究提出政策性建议，统筹指导协调文化体制改革和文化事业、文化产业及旅游业发展，指导协调县级国有文化资产监管工作。承担县委全面深化改革委员会文化体制改革专项小组日常工作。</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xml:space="preserve">    11.统筹协调对外宣传工作，指导协调有关部门研究拟订对外宣传工作重大举措和对外宣传事业发展总体规划。指导对外文化交流工作，协调推动中华文化走出去工作。</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xml:space="preserve">   12.统筹协调组织开展新闻发布工作，承担县委新闻发布有关组织协调工作，负责县政府新闻发布组织实施工作，指导协调各乡镇（街道）、县级各部门的新闻发布工作，完善新闻发言人制度建设。负责牵头拟订全县重大问题对外宣传口径，指导拟订重大事项信息公开口径。</w:t>
      </w:r>
    </w:p>
    <w:p>
      <w:pPr>
        <w:keepNext w:val="0"/>
        <w:keepLines w:val="0"/>
        <w:pageBreakBefore w:val="0"/>
        <w:widowControl w:val="0"/>
        <w:kinsoku/>
        <w:overflowPunct/>
        <w:topLinePunct w:val="0"/>
        <w:autoSpaceDN/>
        <w:bidi w:val="0"/>
        <w:spacing w:line="594" w:lineRule="exact"/>
        <w:ind w:firstLine="640"/>
        <w:rPr>
          <w:rFonts w:hint="default" w:eastAsia="方正仿宋_GBK"/>
          <w:sz w:val="32"/>
        </w:rPr>
      </w:pPr>
      <w:r>
        <w:rPr>
          <w:rFonts w:eastAsia="方正仿宋_GBK"/>
          <w:sz w:val="32"/>
        </w:rPr>
        <w:t>13.负责组织开展新闻领域对外交流与合作，统筹协调指导推动与外国政府新闻管理机构、主要新闻媒体和智库的合作传播，会同有关部门做好境外驻渝记者和来访记者采访事务方面的工作。协调有关部门开展设计港澳台的宣传工作。</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14.受县委委托，会同县委组织部对乡镇（街道）党（工）委宣传委员任免提出意见。负责有关重要宣传舆论阵地和重要岗位领导干部管理。负责组织开展全县宣传思想文化系统干部教育培训和人才工作。</w:t>
      </w:r>
    </w:p>
    <w:p>
      <w:pPr>
        <w:keepNext w:val="0"/>
        <w:keepLines w:val="0"/>
        <w:pageBreakBefore w:val="0"/>
        <w:widowControl w:val="0"/>
        <w:kinsoku/>
        <w:overflowPunct/>
        <w:topLinePunct w:val="0"/>
        <w:autoSpaceDN/>
        <w:bidi w:val="0"/>
        <w:spacing w:line="594" w:lineRule="exact"/>
        <w:rPr>
          <w:rFonts w:hint="default" w:eastAsia="方正仿宋_GBK"/>
          <w:sz w:val="32"/>
        </w:rPr>
      </w:pPr>
      <w:r>
        <w:rPr>
          <w:rFonts w:eastAsia="方正仿宋_GBK"/>
          <w:sz w:val="32"/>
        </w:rPr>
        <w:t>　　15.联系党史工作，在政治方向和方针、政策方面实施领导。归口领导垫江县文化和旅游发展委员会、垫江县融媒体中心。受县委委托，代管垫江县社会科学界联合会、垫江县文学艺术界联合会。</w:t>
      </w:r>
    </w:p>
    <w:p>
      <w:pPr>
        <w:keepNext w:val="0"/>
        <w:keepLines w:val="0"/>
        <w:pageBreakBefore w:val="0"/>
        <w:widowControl w:val="0"/>
        <w:kinsoku/>
        <w:overflowPunct/>
        <w:topLinePunct w:val="0"/>
        <w:autoSpaceDN/>
        <w:bidi w:val="0"/>
        <w:spacing w:line="594" w:lineRule="exact"/>
        <w:ind w:firstLine="640"/>
        <w:rPr>
          <w:rFonts w:hint="default" w:eastAsia="方正仿宋_GBK"/>
          <w:sz w:val="32"/>
        </w:rPr>
      </w:pPr>
      <w:r>
        <w:rPr>
          <w:rFonts w:eastAsia="方正仿宋_GBK"/>
          <w:sz w:val="32"/>
        </w:rPr>
        <w:t>18.负责机关、所属事业单位和主管的社会组织党建工作，以及负责县级宣传思想文化单位基层党建工作、精神文明建设工作。</w:t>
      </w:r>
    </w:p>
    <w:p>
      <w:pPr>
        <w:keepNext w:val="0"/>
        <w:keepLines w:val="0"/>
        <w:pageBreakBefore w:val="0"/>
        <w:widowControl w:val="0"/>
        <w:kinsoku/>
        <w:overflowPunct/>
        <w:topLinePunct w:val="0"/>
        <w:autoSpaceDN/>
        <w:bidi w:val="0"/>
        <w:spacing w:line="594" w:lineRule="exact"/>
        <w:ind w:firstLine="640" w:firstLineChars="200"/>
        <w:rPr>
          <w:rFonts w:hint="default" w:ascii="方正仿宋_GBK" w:hAnsi="方正仿宋_GBK" w:eastAsia="方正仿宋_GBK" w:cs="方正仿宋_GBK"/>
          <w:sz w:val="32"/>
        </w:rPr>
      </w:pPr>
      <w:r>
        <w:rPr>
          <w:rFonts w:eastAsia="方正仿宋_GBK"/>
          <w:sz w:val="32"/>
          <w:szCs w:val="32"/>
        </w:rPr>
        <w:t>19.</w:t>
      </w:r>
      <w:r>
        <w:rPr>
          <w:rFonts w:hAnsi="方正仿宋_GBK" w:eastAsia="方正仿宋_GBK"/>
          <w:sz w:val="32"/>
          <w:szCs w:val="32"/>
        </w:rPr>
        <w:t>完成市委宣传部、县委、县政府交办的其他事项。</w:t>
      </w:r>
      <w:r>
        <w:rPr>
          <w:rFonts w:ascii="方正仿宋_GBK" w:hAnsi="方正仿宋_GBK" w:eastAsia="方正仿宋_GBK" w:cs="方正仿宋_GBK"/>
          <w:sz w:val="32"/>
        </w:rPr>
        <w:t>镇街、部门现行的职能职责(注：由部门根据三定方案结合实际情况填写)。</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Ansi="方正仿宋_GBK" w:eastAsia="方正仿宋_GBK"/>
          <w:sz w:val="32"/>
          <w:szCs w:val="32"/>
          <w:lang w:val="zh-CN"/>
        </w:rPr>
        <w:t>中共垫江县委宣传部内设</w:t>
      </w:r>
      <w:r>
        <w:rPr>
          <w:rFonts w:eastAsia="方正仿宋_GBK"/>
          <w:sz w:val="32"/>
          <w:szCs w:val="32"/>
          <w:lang w:val="zh-CN"/>
        </w:rPr>
        <w:t>6</w:t>
      </w:r>
      <w:r>
        <w:rPr>
          <w:rFonts w:hAnsi="方正仿宋_GBK" w:eastAsia="方正仿宋_GBK"/>
          <w:sz w:val="32"/>
          <w:szCs w:val="32"/>
          <w:lang w:val="zh-CN"/>
        </w:rPr>
        <w:t>个职能科室（</w:t>
      </w:r>
      <w:r>
        <w:rPr>
          <w:rFonts w:hAnsi="方正仿宋_GBK" w:eastAsia="方正仿宋_GBK"/>
          <w:sz w:val="33"/>
          <w:szCs w:val="33"/>
        </w:rPr>
        <w:t>办公室、理论科、新闻科、新闻出版科、文化艺术产业发展科、宣传教育和精神文明建设科</w:t>
      </w:r>
      <w:r>
        <w:rPr>
          <w:rFonts w:hAnsi="方正仿宋_GBK" w:eastAsia="方正仿宋_GBK"/>
          <w:sz w:val="32"/>
          <w:szCs w:val="32"/>
          <w:lang w:val="zh-CN"/>
        </w:rPr>
        <w:t>），核定行政编制</w:t>
      </w:r>
      <w:r>
        <w:rPr>
          <w:rFonts w:eastAsia="方正仿宋_GBK"/>
          <w:sz w:val="32"/>
          <w:szCs w:val="32"/>
        </w:rPr>
        <w:t>14</w:t>
      </w:r>
      <w:r>
        <w:rPr>
          <w:rFonts w:hAnsi="方正仿宋_GBK" w:eastAsia="方正仿宋_GBK"/>
          <w:sz w:val="32"/>
          <w:szCs w:val="32"/>
        </w:rPr>
        <w:t>名。</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1"/>
        <w:keepNext w:val="0"/>
        <w:keepLines w:val="0"/>
        <w:pageBreakBefore w:val="0"/>
        <w:widowControl w:val="0"/>
        <w:kinsoku/>
        <w:overflowPunct/>
        <w:topLinePunct w:val="0"/>
        <w:autoSpaceDE w:val="0"/>
        <w:autoSpaceDN/>
        <w:bidi w:val="0"/>
        <w:spacing w:line="594" w:lineRule="exact"/>
        <w:ind w:firstLine="643"/>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度收入总计1329.74万元，支出总计</w:t>
      </w:r>
      <w:r>
        <w:rPr>
          <w:rFonts w:ascii="方正仿宋_GBK" w:hAnsi="方正仿宋_GBK" w:eastAsia="方正仿宋_GBK" w:cs="方正仿宋_GBK"/>
          <w:sz w:val="32"/>
          <w:szCs w:val="32"/>
        </w:rPr>
        <w:t>1329.74</w:t>
      </w:r>
      <w:r>
        <w:rPr>
          <w:rFonts w:ascii="方正仿宋_GBK" w:hAnsi="方正仿宋_GBK" w:eastAsia="方正仿宋_GBK" w:cs="方正仿宋_GBK"/>
          <w:sz w:val="32"/>
          <w:szCs w:val="32"/>
          <w:shd w:val="clear" w:color="auto" w:fill="FFFFFF"/>
        </w:rPr>
        <w:t>万元。收、支与2023年度相比，增加165.40万元，增长14.21%，主要原因是</w:t>
      </w:r>
      <w:r>
        <w:rPr>
          <w:rFonts w:hint="eastAsia" w:ascii="方正仿宋_GBK" w:hAnsi="方正仿宋_GBK" w:eastAsia="方正仿宋_GBK" w:cs="方正仿宋_GBK"/>
          <w:sz w:val="32"/>
          <w:szCs w:val="32"/>
          <w:shd w:val="clear" w:color="auto" w:fill="FFFFFF"/>
        </w:rPr>
        <w:t>新增</w:t>
      </w:r>
      <w:r>
        <w:rPr>
          <w:rFonts w:ascii="方正仿宋_GBK" w:hAnsi="方正仿宋_GBK" w:eastAsia="方正仿宋_GBK" w:cs="方正仿宋_GBK"/>
          <w:sz w:val="32"/>
          <w:szCs w:val="32"/>
          <w:shd w:val="clear" w:color="auto" w:fill="FFFFFF"/>
        </w:rPr>
        <w:t>网络安全协调指挥平台</w:t>
      </w:r>
      <w:r>
        <w:rPr>
          <w:rFonts w:hint="eastAsia" w:ascii="方正仿宋_GBK" w:hAnsi="方正仿宋_GBK" w:eastAsia="方正仿宋_GBK" w:cs="方正仿宋_GBK"/>
          <w:sz w:val="32"/>
          <w:szCs w:val="32"/>
          <w:shd w:val="clear" w:color="auto" w:fill="FFFFFF"/>
        </w:rPr>
        <w:t>建设费用200万元，项目经费增加。</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2024年度收入合计1229.74万元，与2023年度相比，增加68.47万元，增长5.90%，主要原因是新增网络安全协调指挥平台建设费用200万元，项目经费增加。其中：财政拨款收入</w:t>
      </w:r>
      <w:r>
        <w:rPr>
          <w:rFonts w:ascii="方正仿宋_GBK" w:hAnsi="方正仿宋_GBK" w:eastAsia="方正仿宋_GBK" w:cs="方正仿宋_GBK"/>
          <w:sz w:val="32"/>
          <w:szCs w:val="32"/>
        </w:rPr>
        <w:t>1229.74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1329.74</w:t>
      </w:r>
      <w:r>
        <w:rPr>
          <w:rFonts w:ascii="方正仿宋_GBK" w:hAnsi="方正仿宋_GBK" w:eastAsia="方正仿宋_GBK" w:cs="方正仿宋_GBK"/>
          <w:sz w:val="32"/>
          <w:szCs w:val="32"/>
          <w:shd w:val="clear" w:color="auto" w:fill="FFFFFF"/>
        </w:rPr>
        <w:t>万元，与2023年度相比，增加165.40万元，增长14.21%，主要原因是新增网络安全协调指挥平台建设费用200万元，项目经费增加。其中：基本支出</w:t>
      </w:r>
      <w:r>
        <w:rPr>
          <w:rFonts w:ascii="方正仿宋_GBK" w:hAnsi="方正仿宋_GBK" w:eastAsia="方正仿宋_GBK" w:cs="方正仿宋_GBK"/>
          <w:sz w:val="32"/>
          <w:szCs w:val="32"/>
        </w:rPr>
        <w:t>390.99</w:t>
      </w:r>
      <w:r>
        <w:rPr>
          <w:rFonts w:ascii="方正仿宋_GBK" w:hAnsi="方正仿宋_GBK" w:eastAsia="方正仿宋_GBK" w:cs="方正仿宋_GBK"/>
          <w:sz w:val="32"/>
          <w:szCs w:val="32"/>
          <w:shd w:val="clear" w:color="auto" w:fill="FFFFFF"/>
        </w:rPr>
        <w:t>万元，占29.40%；项目支出</w:t>
      </w:r>
      <w:r>
        <w:rPr>
          <w:rFonts w:ascii="方正仿宋_GBK" w:hAnsi="方正仿宋_GBK" w:eastAsia="方正仿宋_GBK" w:cs="方正仿宋_GBK"/>
          <w:sz w:val="32"/>
          <w:szCs w:val="32"/>
        </w:rPr>
        <w:t>938.75</w:t>
      </w:r>
      <w:r>
        <w:rPr>
          <w:rFonts w:ascii="方正仿宋_GBK" w:hAnsi="方正仿宋_GBK" w:eastAsia="方正仿宋_GBK" w:cs="方正仿宋_GBK"/>
          <w:sz w:val="32"/>
          <w:szCs w:val="32"/>
          <w:shd w:val="clear" w:color="auto" w:fill="FFFFFF"/>
        </w:rPr>
        <w:t>万元，占70.60%；经营支出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ascii="方正仿宋_GBK" w:eastAsia="方正仿宋_GBK"/>
          <w:b w:val="0"/>
          <w:sz w:val="32"/>
          <w:szCs w:val="32"/>
        </w:rPr>
        <w:t>2024年度本单位年末无结转和结余。</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2024年度财政拨款收、支总计1329.74万元。与2023年相比，财政拨款收、支总计各增加165.40万元，增长14.21%。主要原因是新增网络安全协调指挥平台建设费用200万元，项目经费增加。</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1229.74</w:t>
      </w:r>
      <w:r>
        <w:rPr>
          <w:rFonts w:ascii="方正仿宋_GBK" w:hAnsi="方正仿宋_GBK" w:eastAsia="方正仿宋_GBK" w:cs="方正仿宋_GBK"/>
          <w:sz w:val="32"/>
          <w:szCs w:val="32"/>
          <w:shd w:val="clear" w:color="auto" w:fill="FFFFFF"/>
        </w:rPr>
        <w:t>万元，与2023年度相比，增加68.47万元，增长5.90%。主要原因是新增网络安全协调指挥平台建设费用200万元，项目经费增加。较年初预算数减少25.60万元，下降2.04%。主要原因是1人退休，人员经费减少。此外，年初财政拨款结转和结余</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1329.74</w:t>
      </w:r>
      <w:r>
        <w:rPr>
          <w:rFonts w:ascii="方正仿宋_GBK" w:hAnsi="方正仿宋_GBK" w:eastAsia="方正仿宋_GBK" w:cs="方正仿宋_GBK"/>
          <w:sz w:val="32"/>
          <w:szCs w:val="32"/>
          <w:shd w:val="clear" w:color="auto" w:fill="FFFFFF"/>
        </w:rPr>
        <w:t>万元，与2023年度相比，增加165.40万元，增长14.21%。主要原因是新增网络安全协调指挥平台建设费用200万元，项目经费增加。较年初预算数增加74.40万元，增长5.93%。主要原因是追加惠民电影放映费30万元，《鸟瞰新重庆》媒体合作费70万元，项目经费增加。</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ascii="方正仿宋_GBK" w:eastAsia="方正仿宋_GBK"/>
          <w:b w:val="0"/>
          <w:sz w:val="32"/>
          <w:szCs w:val="32"/>
        </w:rPr>
        <w:t>2024年度本单位年末无结转和结余。</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1082.60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81.41</w:t>
      </w:r>
      <w:r>
        <w:rPr>
          <w:rFonts w:ascii="方正仿宋_GBK" w:hAnsi="方正仿宋_GBK" w:eastAsia="方正仿宋_GBK" w:cs="方正仿宋_GBK"/>
          <w:sz w:val="32"/>
          <w:szCs w:val="32"/>
          <w:shd w:val="clear" w:color="auto" w:fill="FFFFFF"/>
        </w:rPr>
        <w:t>%，较年初预算数增加67.19万元，增长6.62%，主要原因是追加惠民电影放映费30万元，《鸟瞰新重庆》拍摄制作费70万元，项目经费增加。</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53.57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%，较年初预算数减少0.11万元，下降0.20%，主要原因是爱教</w:t>
      </w:r>
      <w:r>
        <w:rPr>
          <w:rStyle w:val="10"/>
          <w:rFonts w:ascii="方正仿宋_GBK" w:eastAsia="方正仿宋_GBK"/>
          <w:b w:val="0"/>
          <w:sz w:val="32"/>
          <w:szCs w:val="32"/>
        </w:rPr>
        <w:t>电影放映据实结算。</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88.99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6.69</w:t>
      </w:r>
      <w:r>
        <w:rPr>
          <w:rFonts w:ascii="方正仿宋_GBK" w:hAnsi="方正仿宋_GBK" w:eastAsia="方正仿宋_GBK" w:cs="方正仿宋_GBK"/>
          <w:sz w:val="32"/>
          <w:szCs w:val="32"/>
          <w:shd w:val="clear" w:color="auto" w:fill="FFFFFF"/>
        </w:rPr>
        <w:t>%，较年初预算数增加9.99万元，增长12.65%，主要原因是新增新时代文明实践中心建设项目经费。</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66.17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4.98</w:t>
      </w:r>
      <w:r>
        <w:rPr>
          <w:rFonts w:ascii="方正仿宋_GBK" w:hAnsi="方正仿宋_GBK" w:eastAsia="方正仿宋_GBK" w:cs="方正仿宋_GBK"/>
          <w:sz w:val="32"/>
          <w:szCs w:val="32"/>
          <w:shd w:val="clear" w:color="auto" w:fill="FFFFFF"/>
        </w:rPr>
        <w:t>%，较年初预算数减少0.97万元，下降1.44%，主要原因是1人退休，人员经费减少。</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%，较年初预算数无增减，主要原因是严格按照预算支出。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住房保障支出21.16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w:t>
      </w:r>
      <w:r>
        <w:rPr>
          <w:rFonts w:ascii="方正仿宋_GBK" w:hAnsi="方正仿宋_GBK" w:eastAsia="方正仿宋_GBK" w:cs="方正仿宋_GBK"/>
          <w:sz w:val="32"/>
          <w:szCs w:val="32"/>
          <w:shd w:val="clear" w:color="auto" w:fill="FFFFFF"/>
        </w:rPr>
        <w:t>%，较年初预算数减少1.70万元，下降7.44%，主要原因是1人退休，人员经费减少。</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keepNext w:val="0"/>
        <w:keepLines w:val="0"/>
        <w:pageBreakBefore w:val="0"/>
        <w:widowControl w:val="0"/>
        <w:kinsoku/>
        <w:overflowPunct/>
        <w:topLinePunct w:val="0"/>
        <w:autoSpaceDN/>
        <w:bidi w:val="0"/>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390.99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290.72</w:t>
      </w:r>
      <w:r>
        <w:rPr>
          <w:rFonts w:ascii="方正仿宋_GBK" w:hAnsi="方正仿宋_GBK" w:eastAsia="方正仿宋_GBK" w:cs="方正仿宋_GBK"/>
          <w:sz w:val="32"/>
          <w:szCs w:val="32"/>
          <w:shd w:val="clear" w:color="auto" w:fill="FFFFFF"/>
        </w:rPr>
        <w:t>万元，与2023年度相比，减少35.33万元，下降10.84%，主要原因是1人退休。人员经费用途主要包括</w:t>
      </w:r>
      <w:r>
        <w:rPr>
          <w:rStyle w:val="10"/>
          <w:rFonts w:ascii="方正仿宋_GBK" w:eastAsia="方正仿宋_GBK"/>
          <w:b w:val="0"/>
          <w:sz w:val="32"/>
          <w:szCs w:val="32"/>
        </w:rPr>
        <w:t>基本工资、津贴补贴、奖金、社会保障缴费、住房公积金、医疗费等。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100.27</w:t>
      </w:r>
      <w:r>
        <w:rPr>
          <w:rFonts w:ascii="方正仿宋_GBK" w:hAnsi="方正仿宋_GBK" w:eastAsia="方正仿宋_GBK" w:cs="方正仿宋_GBK"/>
          <w:sz w:val="32"/>
          <w:szCs w:val="32"/>
          <w:shd w:val="clear" w:color="auto" w:fill="FFFFFF"/>
        </w:rPr>
        <w:t>万元，与2023年度相比，减少4.75万元，下降4.52%，主要原因是1人退休。公用经费用途主要包括</w:t>
      </w:r>
      <w:r>
        <w:rPr>
          <w:rStyle w:val="10"/>
          <w:rFonts w:ascii="方正仿宋_GBK" w:eastAsia="方正仿宋_GBK"/>
          <w:b w:val="0"/>
          <w:sz w:val="32"/>
          <w:szCs w:val="32"/>
        </w:rPr>
        <w:t>办公费、印刷费、邮电费、差旅费、培训费、工会经费等。</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bookmarkStart w:id="0" w:name="_GoBack"/>
      <w:bookmarkEnd w:id="0"/>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8.89</w:t>
      </w:r>
      <w:r>
        <w:rPr>
          <w:rFonts w:ascii="方正仿宋_GBK" w:hAnsi="方正仿宋_GBK" w:eastAsia="方正仿宋_GBK" w:cs="方正仿宋_GBK"/>
          <w:sz w:val="32"/>
          <w:szCs w:val="32"/>
          <w:shd w:val="clear" w:color="auto" w:fill="FFFFFF"/>
        </w:rPr>
        <w:t>万元，较年初预算数减少10.11万元，下降53.21%，主要原因是</w:t>
      </w:r>
      <w:r>
        <w:rPr>
          <w:rStyle w:val="10"/>
          <w:rFonts w:ascii="方正仿宋_GBK" w:eastAsia="方正仿宋_GBK"/>
          <w:b w:val="0"/>
          <w:sz w:val="32"/>
          <w:szCs w:val="32"/>
        </w:rPr>
        <w:t>认真贯彻落实中央八项规定精神和厉行节约要求，严控</w:t>
      </w:r>
      <w:r>
        <w:rPr>
          <w:rStyle w:val="10"/>
          <w:rFonts w:hint="eastAsia" w:ascii="方正仿宋_GBK" w:eastAsia="方正仿宋_GBK"/>
          <w:b w:val="0"/>
          <w:sz w:val="32"/>
          <w:szCs w:val="32"/>
          <w:lang w:eastAsia="zh-CN"/>
        </w:rPr>
        <w:t>三公</w:t>
      </w:r>
      <w:r>
        <w:rPr>
          <w:rStyle w:val="10"/>
          <w:rFonts w:ascii="方正仿宋_GBK" w:eastAsia="方正仿宋_GBK"/>
          <w:b w:val="0"/>
          <w:sz w:val="32"/>
          <w:szCs w:val="32"/>
        </w:rPr>
        <w:t>经费支出。</w:t>
      </w:r>
      <w:r>
        <w:rPr>
          <w:rFonts w:ascii="方正仿宋_GBK" w:hAnsi="方正仿宋_GBK" w:eastAsia="方正仿宋_GBK" w:cs="方正仿宋_GBK"/>
          <w:sz w:val="32"/>
          <w:szCs w:val="32"/>
          <w:shd w:val="clear" w:color="auto" w:fill="FFFFFF"/>
        </w:rPr>
        <w:t>较上年支出数减少0.73万元，下降7.59%，主要原因是</w:t>
      </w:r>
      <w:r>
        <w:rPr>
          <w:rStyle w:val="10"/>
          <w:rFonts w:ascii="方正仿宋_GBK" w:eastAsia="方正仿宋_GBK"/>
          <w:b w:val="0"/>
          <w:sz w:val="32"/>
          <w:szCs w:val="32"/>
        </w:rPr>
        <w:t>认真贯彻落实中央八项规定精神和厉行节约要求，严控</w:t>
      </w:r>
      <w:r>
        <w:rPr>
          <w:rStyle w:val="10"/>
          <w:rFonts w:hint="eastAsia" w:ascii="方正仿宋_GBK" w:eastAsia="方正仿宋_GBK"/>
          <w:b w:val="0"/>
          <w:sz w:val="32"/>
          <w:szCs w:val="32"/>
          <w:lang w:eastAsia="zh-CN"/>
        </w:rPr>
        <w:t>三公</w:t>
      </w:r>
      <w:r>
        <w:rPr>
          <w:rStyle w:val="10"/>
          <w:rFonts w:ascii="方正仿宋_GBK" w:eastAsia="方正仿宋_GBK"/>
          <w:b w:val="0"/>
          <w:sz w:val="32"/>
          <w:szCs w:val="32"/>
        </w:rPr>
        <w:t>经费支出。</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keepNext w:val="0"/>
        <w:keepLines w:val="0"/>
        <w:pageBreakBefore w:val="0"/>
        <w:widowControl w:val="0"/>
        <w:kinsoku/>
        <w:overflowPunct/>
        <w:topLinePunct w:val="0"/>
        <w:autoSpaceDN/>
        <w:bidi w:val="0"/>
        <w:adjustRightInd w:val="0"/>
        <w:snapToGrid w:val="0"/>
        <w:spacing w:line="600" w:lineRule="exact"/>
        <w:ind w:firstLine="640" w:firstLineChars="200"/>
        <w:rPr>
          <w:rStyle w:val="10"/>
          <w:rFonts w:hint="default" w:ascii="方正仿宋_GBK" w:hAnsi="方正仿宋_GBK" w:eastAsia="方正仿宋_GBK" w:cs="方正仿宋_GBK"/>
          <w:b w:val="0"/>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万元，主要用于记者来垫采访、下乡调研和巡查督查等工作所需车辆的燃料费、维修费、过桥过路费、保险费等。费用支出较年初预算数减少1.58万元，下降26.33%，主要原因是</w:t>
      </w:r>
      <w:r>
        <w:rPr>
          <w:rStyle w:val="10"/>
          <w:rFonts w:ascii="方正仿宋_GBK" w:eastAsia="方正仿宋_GBK"/>
          <w:b w:val="0"/>
          <w:sz w:val="32"/>
          <w:szCs w:val="32"/>
        </w:rPr>
        <w:t>认真贯彻落实中央八项规定精神和厉行节约要求，加强管理，严禁公车私用。</w:t>
      </w:r>
      <w:r>
        <w:rPr>
          <w:rFonts w:ascii="方正仿宋_GBK" w:hAnsi="方正仿宋_GBK" w:eastAsia="方正仿宋_GBK" w:cs="方正仿宋_GBK"/>
          <w:sz w:val="32"/>
          <w:szCs w:val="32"/>
          <w:shd w:val="clear" w:color="auto" w:fill="FFFFFF"/>
        </w:rPr>
        <w:t>较上年支出数减少0.32万元，下降6.75%，主要原因是</w:t>
      </w:r>
      <w:r>
        <w:rPr>
          <w:rStyle w:val="10"/>
          <w:rFonts w:ascii="方正仿宋_GBK" w:eastAsia="方正仿宋_GBK"/>
          <w:b w:val="0"/>
          <w:sz w:val="32"/>
          <w:szCs w:val="32"/>
        </w:rPr>
        <w:t>认真贯彻落实中央八项规定精神和厉行节约要求，加强管理，严禁公车私用。</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万元，主要用于接待于接待</w:t>
      </w:r>
      <w:r>
        <w:rPr>
          <w:rStyle w:val="10"/>
          <w:rFonts w:ascii="方正仿宋_GBK" w:eastAsia="方正仿宋_GBK"/>
          <w:b w:val="0"/>
          <w:sz w:val="32"/>
          <w:szCs w:val="32"/>
        </w:rPr>
        <w:t>市级各部门及区县相关领导来垫检查指导工作及中央市级媒体来垫采访所产生的食宿费用。</w:t>
      </w:r>
      <w:r>
        <w:rPr>
          <w:rFonts w:ascii="方正仿宋_GBK" w:hAnsi="方正仿宋_GBK" w:eastAsia="方正仿宋_GBK" w:cs="方正仿宋_GBK"/>
          <w:sz w:val="32"/>
          <w:szCs w:val="32"/>
          <w:shd w:val="clear" w:color="auto" w:fill="FFFFFF"/>
        </w:rPr>
        <w:t>费用支出较年初预算数减少8.52万元，下降65.54%，主要原因是</w:t>
      </w:r>
      <w:r>
        <w:rPr>
          <w:rStyle w:val="10"/>
          <w:rFonts w:ascii="方正仿宋_GBK" w:eastAsia="方正仿宋_GBK"/>
          <w:b w:val="0"/>
          <w:sz w:val="32"/>
          <w:szCs w:val="32"/>
        </w:rPr>
        <w:t>压减支出，厉行节约。</w:t>
      </w:r>
      <w:r>
        <w:rPr>
          <w:rFonts w:ascii="方正仿宋_GBK" w:hAnsi="方正仿宋_GBK" w:eastAsia="方正仿宋_GBK" w:cs="方正仿宋_GBK"/>
          <w:sz w:val="32"/>
          <w:szCs w:val="32"/>
          <w:shd w:val="clear" w:color="auto" w:fill="FFFFFF"/>
        </w:rPr>
        <w:t>较上年支出数减少0.40万元，下降8.20%，主要原因是压减支出，各类活动减少，接待费用减少。</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99.96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5.18</w:t>
      </w:r>
      <w:r>
        <w:rPr>
          <w:rFonts w:ascii="方正仿宋_GBK" w:hAnsi="方正仿宋_GBK" w:eastAsia="方正仿宋_GBK" w:cs="方正仿宋_GBK"/>
          <w:sz w:val="32"/>
          <w:szCs w:val="32"/>
          <w:shd w:val="clear" w:color="auto" w:fill="FFFFFF"/>
        </w:rPr>
        <w:t>万元，与2023年度相比，减少1.01万元，下降16.32%，主要原因是缩减开支，</w:t>
      </w:r>
      <w:r>
        <w:rPr>
          <w:rStyle w:val="10"/>
          <w:rFonts w:ascii="方正仿宋_GBK" w:eastAsia="方正仿宋_GBK"/>
          <w:b w:val="0"/>
          <w:sz w:val="32"/>
          <w:szCs w:val="32"/>
        </w:rPr>
        <w:t>召开会议次数减少，部分会议采用线上方式举行。</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2.62</w:t>
      </w:r>
      <w:r>
        <w:rPr>
          <w:rFonts w:ascii="方正仿宋_GBK" w:hAnsi="方正仿宋_GBK" w:eastAsia="方正仿宋_GBK" w:cs="方正仿宋_GBK"/>
          <w:sz w:val="32"/>
          <w:szCs w:val="32"/>
          <w:shd w:val="clear" w:color="auto" w:fill="FFFFFF"/>
        </w:rPr>
        <w:t>万元，与2023年度相比，减少0.10万元，下降3.68%，主要原因是缩减开支，培训减少。</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100.27</w:t>
      </w:r>
      <w:r>
        <w:rPr>
          <w:rFonts w:ascii="方正仿宋_GBK" w:hAnsi="方正仿宋_GBK" w:eastAsia="方正仿宋_GBK" w:cs="方正仿宋_GBK"/>
          <w:sz w:val="32"/>
          <w:szCs w:val="32"/>
          <w:shd w:val="clear" w:color="auto" w:fill="FFFFFF"/>
        </w:rPr>
        <w:t>万元，机关运行经费主要用于开支</w:t>
      </w:r>
      <w:r>
        <w:rPr>
          <w:rStyle w:val="10"/>
          <w:rFonts w:ascii="方正仿宋_GBK" w:eastAsia="方正仿宋_GBK"/>
          <w:b w:val="0"/>
          <w:sz w:val="32"/>
          <w:szCs w:val="32"/>
        </w:rPr>
        <w:t>办公费、印刷费、邮电费、差旅费、公务接待费、委托业务费、工会经费、公务用车运行维护费、其他交通费等费用。</w:t>
      </w:r>
      <w:r>
        <w:rPr>
          <w:rFonts w:ascii="方正仿宋_GBK" w:hAnsi="方正仿宋_GBK" w:eastAsia="方正仿宋_GBK" w:cs="方正仿宋_GBK"/>
          <w:sz w:val="32"/>
          <w:szCs w:val="32"/>
          <w:shd w:val="clear" w:color="auto" w:fill="FFFFFF"/>
        </w:rPr>
        <w:t>机关运行经费较上年支出数减少4.75万元，下降4.52%，主要原因是1人退休，人员经费减少。</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145.00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145.00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75.00万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51.72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%。主要用于采购2024年重庆日报合作费及《鸟瞰新重庆》拍摄制作费。</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keepNext w:val="0"/>
        <w:keepLines w:val="0"/>
        <w:pageBreakBefore w:val="0"/>
        <w:widowControl w:val="0"/>
        <w:kinsoku/>
        <w:overflowPunct/>
        <w:topLinePunct w:val="0"/>
        <w:autoSpaceDE w:val="0"/>
        <w:autoSpaceDN/>
        <w:bidi w:val="0"/>
        <w:spacing w:before="0" w:beforeAutospacing="0" w:after="0" w:afterAutospacing="0"/>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根据预算绩效管理要求，我单位对18个二级项目开展了绩效自评，涉及财政拨款项目支出资金983.75万元。</w:t>
      </w:r>
      <w:r>
        <w:rPr>
          <w:rFonts w:hint="eastAsia" w:ascii="方正仿宋_GBK" w:hAnsi="方正仿宋_GBK" w:eastAsia="方正仿宋_GBK" w:cs="方正仿宋_GBK"/>
          <w:sz w:val="32"/>
          <w:szCs w:val="32"/>
          <w:shd w:val="clear" w:color="auto" w:fill="FFFFFF"/>
        </w:rPr>
        <w:drawing>
          <wp:inline distT="0" distB="0" distL="114300" distR="114300">
            <wp:extent cx="5728970" cy="3468370"/>
            <wp:effectExtent l="0" t="0" r="5080" b="17780"/>
            <wp:docPr id="5" name="图片 5" descr="微信图片_202508181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818100405"/>
                    <pic:cNvPicPr>
                      <a:picLocks noChangeAspect="1"/>
                    </pic:cNvPicPr>
                  </pic:nvPicPr>
                  <pic:blipFill>
                    <a:blip r:embed="rId7"/>
                    <a:stretch>
                      <a:fillRect/>
                    </a:stretch>
                  </pic:blipFill>
                  <pic:spPr>
                    <a:xfrm>
                      <a:off x="0" y="0"/>
                      <a:ext cx="5728970" cy="3468370"/>
                    </a:xfrm>
                    <a:prstGeom prst="rect">
                      <a:avLst/>
                    </a:prstGeom>
                  </pic:spPr>
                </pic:pic>
              </a:graphicData>
            </a:graphic>
          </wp:inline>
        </w:drawing>
      </w:r>
      <w:r>
        <w:rPr>
          <w:rFonts w:hint="eastAsia" w:ascii="方正仿宋_GBK" w:hAnsi="方正仿宋_GBK" w:eastAsia="方正仿宋_GBK" w:cs="方正仿宋_GBK"/>
          <w:sz w:val="32"/>
          <w:szCs w:val="32"/>
          <w:shd w:val="clear" w:color="auto" w:fill="FFFFFF"/>
        </w:rPr>
        <w:drawing>
          <wp:inline distT="0" distB="0" distL="114300" distR="114300">
            <wp:extent cx="5728970" cy="3468370"/>
            <wp:effectExtent l="0" t="0" r="5080" b="17780"/>
            <wp:docPr id="6" name="图片 6" descr="自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自评"/>
                    <pic:cNvPicPr>
                      <a:picLocks noChangeAspect="1"/>
                    </pic:cNvPicPr>
                  </pic:nvPicPr>
                  <pic:blipFill>
                    <a:blip r:embed="rId8"/>
                    <a:stretch>
                      <a:fillRect/>
                    </a:stretch>
                  </pic:blipFill>
                  <pic:spPr>
                    <a:xfrm>
                      <a:off x="0" y="0"/>
                      <a:ext cx="5728970" cy="3468370"/>
                    </a:xfrm>
                    <a:prstGeom prst="rect">
                      <a:avLst/>
                    </a:prstGeom>
                  </pic:spPr>
                </pic:pic>
              </a:graphicData>
            </a:graphic>
          </wp:inline>
        </w:drawing>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keepNext w:val="0"/>
        <w:keepLines w:val="0"/>
        <w:pageBreakBefore w:val="0"/>
        <w:widowControl w:val="0"/>
        <w:kinsoku/>
        <w:overflowPunct/>
        <w:topLinePunct w:val="0"/>
        <w:autoSpaceDE w:val="0"/>
        <w:autoSpaceDN/>
        <w:bidi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keepNext w:val="0"/>
        <w:keepLines w:val="0"/>
        <w:pageBreakBefore w:val="0"/>
        <w:widowControl w:val="0"/>
        <w:kinsoku/>
        <w:overflowPunct/>
        <w:topLinePunct w:val="0"/>
        <w:autoSpaceDE w:val="0"/>
        <w:autoSpaceDN/>
        <w:bidi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keepNext w:val="0"/>
        <w:keepLines w:val="0"/>
        <w:pageBreakBefore w:val="0"/>
        <w:widowControl w:val="0"/>
        <w:kinsoku/>
        <w:overflowPunct/>
        <w:topLinePunct w:val="0"/>
        <w:autoSpaceDE w:val="0"/>
        <w:autoSpaceDN/>
        <w:bidi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11"/>
        <w:keepNext w:val="0"/>
        <w:keepLines w:val="0"/>
        <w:pageBreakBefore w:val="0"/>
        <w:widowControl w:val="0"/>
        <w:kinsoku/>
        <w:overflowPunct/>
        <w:topLinePunct w:val="0"/>
        <w:autoSpaceDE w:val="0"/>
        <w:autoSpaceDN/>
        <w:bidi w:val="0"/>
        <w:spacing w:line="594" w:lineRule="exact"/>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田老师023-74593059</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Arial" w:hAnsi="Arial" w:cs="Arial"/>
                <w:sz w:val="22"/>
                <w:szCs w:val="22"/>
              </w:rPr>
            </w:pPr>
            <w:r>
              <w:rPr>
                <w:rFonts w:cs="宋体"/>
                <w:sz w:val="20"/>
                <w:szCs w:val="20"/>
              </w:rPr>
              <w:t>单位：</w:t>
            </w:r>
            <w:r>
              <w:rPr>
                <w:sz w:val="20"/>
              </w:rPr>
              <w:t>中国共产党垫江县委员会宣传部（本级）</w:t>
            </w:r>
          </w:p>
        </w:tc>
        <w:tc>
          <w:tcPr>
            <w:tcW w:w="40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1,229.74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1,082.60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53.57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88.99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66.17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17.25</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21.16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1,229.74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1,329.74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100.00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1,329.74</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1,329.74</w:t>
            </w:r>
            <w:r>
              <w:rPr>
                <w:rFonts w:ascii="Times New Roman" w:hAnsi="Times New Roman"/>
                <w:sz w:val="20"/>
              </w:rPr>
              <w:t xml:space="preserve"> </w:t>
            </w:r>
          </w:p>
        </w:tc>
      </w:tr>
    </w:tbl>
    <w:p>
      <w:pPr>
        <w:keepNext w:val="0"/>
        <w:keepLines w:val="0"/>
        <w:pageBreakBefore w:val="0"/>
        <w:widowControl w:val="0"/>
        <w:kinsoku/>
        <w:overflowPunct/>
        <w:topLinePunct w:val="0"/>
        <w:autoSpaceDN/>
        <w:bidi w:val="0"/>
        <w:rPr>
          <w:rFonts w:hint="default" w:cs="宋体"/>
          <w:sz w:val="21"/>
          <w:szCs w:val="21"/>
        </w:rPr>
      </w:pPr>
    </w:p>
    <w:p>
      <w:pPr>
        <w:keepNext w:val="0"/>
        <w:keepLines w:val="0"/>
        <w:pageBreakBefore w:val="0"/>
        <w:widowControl w:val="0"/>
        <w:kinsoku/>
        <w:overflowPunct/>
        <w:topLinePunct w:val="0"/>
        <w:autoSpaceDN/>
        <w:bidi w:val="0"/>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单位：</w:t>
            </w:r>
            <w:r>
              <w:rPr>
                <w:sz w:val="20"/>
              </w:rPr>
              <w:t>中国共产党垫江县委员会宣传部（本级）</w:t>
            </w:r>
          </w:p>
        </w:tc>
        <w:tc>
          <w:tcPr>
            <w:tcW w:w="13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1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1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61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3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1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1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61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1,229.74</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1,229.74</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982.60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982.60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20133</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宣传事务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982.60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982.60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285.55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285.55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697.05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697.05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53.57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53.57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48.03</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48.03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24.66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24.66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2050203</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13.22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13.22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2050204</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高中教育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10.15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10.15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20503</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职业教育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4.66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4.66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2050302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中等职业教育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4.66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4.66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0.88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0.88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88.99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88.99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79.00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79.00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2070199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79.00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79.00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其他文化旅游体育与传媒支出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9.99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9.99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2079902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宣传文化发展专项支出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9.99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9.99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27.60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27.60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13.80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13.80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2101101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17.25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17.25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21.16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21.16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keepNext w:val="0"/>
        <w:keepLines w:val="0"/>
        <w:pageBreakBefore w:val="0"/>
        <w:widowControl w:val="0"/>
        <w:kinsoku/>
        <w:overflowPunct/>
        <w:topLinePunct w:val="0"/>
        <w:autoSpaceDN/>
        <w:bidi w:val="0"/>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单位：</w:t>
            </w:r>
            <w:r>
              <w:rPr>
                <w:sz w:val="20"/>
              </w:rPr>
              <w:t xml:space="preserve">中国共产党垫江县委员会宣传部（本级） </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1,329.74</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390.99</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938.75</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1,082.60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285.55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797.05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20133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宣传事务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1,082.60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285.55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797.05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285.55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285.55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767.05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767.05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其他宣传事务支出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30.00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30.00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53.57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52.69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48.03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48.03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24.66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24.66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13.22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13.22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高中教育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10.15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10.15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职业教育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4.66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4.66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中等职业教育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4.66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4.66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0.88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0.88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88.99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88.99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79.00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79.00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79.00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其他文化旅游体育与传媒支出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9.99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9.99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2079902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宣传文化发展专项支出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9.99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9.99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27.60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27.60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13.80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13.80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24.76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17.25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17.25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21.16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21.16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rPr>
          <w:rFonts w:hint="default" w:cs="宋体"/>
          <w:sz w:val="21"/>
          <w:szCs w:val="21"/>
        </w:rPr>
      </w:pPr>
      <w:r>
        <w:rPr>
          <w:rFonts w:cs="宋体"/>
          <w:sz w:val="21"/>
          <w:szCs w:val="21"/>
        </w:rPr>
        <w:br w:type="page"/>
      </w:r>
    </w:p>
    <w:p>
      <w:pPr>
        <w:keepNext w:val="0"/>
        <w:keepLines w:val="0"/>
        <w:pageBreakBefore w:val="0"/>
        <w:widowControl w:val="0"/>
        <w:kinsoku/>
        <w:overflowPunct/>
        <w:topLinePunct w:val="0"/>
        <w:autoSpaceDN/>
        <w:bidi w:val="0"/>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r>
              <w:rPr>
                <w:rFonts w:cs="宋体"/>
                <w:sz w:val="20"/>
                <w:szCs w:val="20"/>
              </w:rPr>
              <w:t>单位：</w:t>
            </w:r>
            <w:r>
              <w:rPr>
                <w:sz w:val="20"/>
              </w:rPr>
              <w:t>中国共产党垫江县委员会宣传部（本级）</w:t>
            </w: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1,229.74</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1,082.60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1,082.60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53.57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53.57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88.99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88.99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66.17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66.17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1,229.74</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1,329.74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1,329.74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1,329.74</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1,329.74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1,329.74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keepNext w:val="0"/>
        <w:keepLines w:val="0"/>
        <w:pageBreakBefore w:val="0"/>
        <w:widowControl w:val="0"/>
        <w:kinsoku/>
        <w:overflowPunct/>
        <w:topLinePunct w:val="0"/>
        <w:autoSpaceDN/>
        <w:bidi w:val="0"/>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单位：</w:t>
            </w:r>
            <w:r>
              <w:rPr>
                <w:sz w:val="20"/>
              </w:rPr>
              <w:t>中国共产党垫江县委员会宣传部（本级）</w:t>
            </w:r>
          </w:p>
        </w:tc>
        <w:tc>
          <w:tcPr>
            <w:tcW w:w="33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1,329.74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390.99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938.75</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1,082.60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285.55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797.05</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20133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宣传事务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1,082.60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285.55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797.05</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285.55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285.55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767.05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767.05</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2013399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其他宣传事务支出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30.00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30.00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53.57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52.69</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48.03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48.03</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24.66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24.66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13.22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13.22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2050204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高中教育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10.15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10.15</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职业教育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4.66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4.66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中等职业教育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4.66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4.66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0.88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0.88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0.88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88.99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88.99</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79.00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79.00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其他文化和旅游支出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79.00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79.00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20799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其他文化旅游体育与传媒支出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9.99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9.99</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2079902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宣传文化发展专项支出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9.99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9.99</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66.17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66.15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27.60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27.60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13.80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13.80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24.76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24.76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17.25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2101101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17.25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17.25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21.16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21.16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21.16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keepNext w:val="0"/>
        <w:keepLines w:val="0"/>
        <w:pageBreakBefore w:val="0"/>
        <w:widowControl w:val="0"/>
        <w:kinsoku/>
        <w:overflowPunct/>
        <w:topLinePunct w:val="0"/>
        <w:autoSpaceDN/>
        <w:bidi w:val="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r>
              <w:rPr>
                <w:rFonts w:cs="宋体"/>
                <w:sz w:val="20"/>
                <w:szCs w:val="20"/>
              </w:rPr>
              <w:t>单位：</w:t>
            </w:r>
            <w:r>
              <w:rPr>
                <w:sz w:val="20"/>
              </w:rPr>
              <w:t>中国共产党垫江县委员会宣传部（本级）</w:t>
            </w:r>
          </w:p>
        </w:tc>
        <w:tc>
          <w:tcPr>
            <w:tcW w:w="16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265.96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100.27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57.53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37.74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0.78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82.07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13.80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0.52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0.59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24.76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20.37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0.13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41.67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4.42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8.31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val="0"/>
              <w:overflowPunct/>
              <w:topLinePunct w:val="0"/>
              <w:autoSpaceDN/>
              <w:bidi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290.72</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100.27</w:t>
            </w:r>
            <w:r>
              <w:rPr>
                <w:rFonts w:ascii="Times New Roman" w:hAnsi="Times New Roman"/>
                <w:sz w:val="18"/>
              </w:rPr>
              <w:t xml:space="preserve"> </w:t>
            </w:r>
          </w:p>
        </w:tc>
      </w:tr>
    </w:tbl>
    <w:p>
      <w:pPr>
        <w:keepNext w:val="0"/>
        <w:keepLines w:val="0"/>
        <w:pageBreakBefore w:val="0"/>
        <w:widowControl w:val="0"/>
        <w:kinsoku/>
        <w:overflowPunct/>
        <w:topLinePunct w:val="0"/>
        <w:autoSpaceDN/>
        <w:bidi w:val="0"/>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单位：</w:t>
            </w:r>
            <w:r>
              <w:rPr>
                <w:sz w:val="20"/>
              </w:rPr>
              <w:t>中国共产党垫江县委员会宣传部（本级）</w:t>
            </w: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keepNext w:val="0"/>
        <w:keepLines w:val="0"/>
        <w:pageBreakBefore w:val="0"/>
        <w:widowControl w:val="0"/>
        <w:kinsoku/>
        <w:overflowPunct/>
        <w:topLinePunct w:val="0"/>
        <w:autoSpaceDN/>
        <w:bidi w:val="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r>
              <w:rPr>
                <w:rFonts w:cs="宋体"/>
                <w:sz w:val="20"/>
                <w:szCs w:val="20"/>
              </w:rPr>
              <w:t>单位：</w:t>
            </w:r>
            <w:r>
              <w:rPr>
                <w:sz w:val="20"/>
              </w:rPr>
              <w:t>中国共产党垫江县委员会宣传部（本级）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rPr>
                <w:rFonts w:hint="default" w:cs="宋体"/>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N/>
              <w:bidi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keepNext w:val="0"/>
        <w:keepLines w:val="0"/>
        <w:pageBreakBefore w:val="0"/>
        <w:widowControl w:val="0"/>
        <w:kinsoku/>
        <w:overflowPunct/>
        <w:topLinePunct w:val="0"/>
        <w:autoSpaceDN/>
        <w:bidi w:val="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rPr>
                <w:rFonts w:hint="default" w:cs="宋体"/>
                <w:kern w:val="2"/>
                <w:sz w:val="20"/>
                <w:szCs w:val="20"/>
              </w:rPr>
            </w:pPr>
          </w:p>
        </w:tc>
        <w:tc>
          <w:tcPr>
            <w:tcW w:w="2425" w:type="dxa"/>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center"/>
              <w:rPr>
                <w:rFonts w:hint="default" w:cs="宋体"/>
                <w:kern w:val="2"/>
                <w:sz w:val="20"/>
                <w:szCs w:val="20"/>
              </w:rPr>
            </w:pPr>
          </w:p>
        </w:tc>
        <w:tc>
          <w:tcPr>
            <w:tcW w:w="2384" w:type="dxa"/>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rPr>
                <w:rFonts w:hint="default" w:cs="宋体"/>
                <w:kern w:val="2"/>
                <w:sz w:val="20"/>
                <w:szCs w:val="20"/>
              </w:rPr>
            </w:pPr>
          </w:p>
        </w:tc>
        <w:tc>
          <w:tcPr>
            <w:tcW w:w="3687" w:type="dxa"/>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rPr>
                <w:rFonts w:hint="default" w:cs="宋体"/>
                <w:kern w:val="2"/>
                <w:sz w:val="20"/>
                <w:szCs w:val="20"/>
              </w:rPr>
            </w:pPr>
          </w:p>
        </w:tc>
        <w:tc>
          <w:tcPr>
            <w:tcW w:w="2496" w:type="dxa"/>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rPr>
                <w:rFonts w:hint="default" w:cs="宋体"/>
                <w:kern w:val="2"/>
                <w:sz w:val="20"/>
                <w:szCs w:val="20"/>
              </w:rPr>
            </w:pPr>
            <w:r>
              <w:rPr>
                <w:rFonts w:cs="宋体"/>
                <w:kern w:val="2"/>
                <w:sz w:val="20"/>
                <w:szCs w:val="20"/>
              </w:rPr>
              <w:t>单位：</w:t>
            </w:r>
            <w:r>
              <w:rPr>
                <w:sz w:val="20"/>
              </w:rPr>
              <w:t>中国共产党垫江县委员会宣传部（本级）</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rPr>
                <w:rFonts w:hint="default" w:cs="宋体"/>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rPr>
                <w:rFonts w:hint="default" w:cs="宋体"/>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cs="宋体"/>
                <w:b/>
                <w:kern w:val="2"/>
                <w:sz w:val="16"/>
                <w:szCs w:val="16"/>
              </w:rPr>
            </w:pPr>
            <w:r>
              <w:rPr>
                <w:rFonts w:cs="宋体"/>
                <w:b/>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cs="宋体"/>
                <w:b/>
                <w:kern w:val="2"/>
                <w:sz w:val="16"/>
                <w:szCs w:val="16"/>
              </w:rPr>
            </w:pPr>
            <w:r>
              <w:rPr>
                <w:rFonts w:cs="宋体"/>
                <w:b/>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cs="宋体"/>
                <w:b/>
                <w:kern w:val="2"/>
                <w:sz w:val="16"/>
                <w:szCs w:val="16"/>
              </w:rPr>
            </w:pPr>
            <w:r>
              <w:rPr>
                <w:rFonts w:cs="宋体"/>
                <w:b/>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kern w:val="2"/>
                <w:sz w:val="16"/>
                <w:szCs w:val="16"/>
              </w:rPr>
            </w:pPr>
            <w:r>
              <w:rPr>
                <w:rFonts w:cs="宋体"/>
                <w:b/>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100.27</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8.89</w:t>
            </w: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8.89</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100.27</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4.42</w:t>
            </w: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4.42</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4.42</w:t>
            </w: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4.42</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4.48</w:t>
            </w:r>
            <w:r>
              <w:rPr>
                <w:rFonts w:ascii="Times New Roman" w:hAnsi="Times New Roman"/>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4.48</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4.48</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51</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145.00</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448</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145.00</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75.00</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5.18</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rPr>
                <w:rFonts w:hint="default" w:cs="宋体"/>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2.62</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rPr>
                <w:rFonts w:hint="default" w:cs="宋体"/>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18.15</w:t>
            </w:r>
            <w:r>
              <w:rPr>
                <w:rFonts w:ascii="Times New Roman" w:hAnsi="Times New Roman"/>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spacing w:line="280" w:lineRule="exact"/>
              <w:rPr>
                <w:rFonts w:hint="default" w:cs="宋体"/>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val="0"/>
              <w:kinsoku/>
              <w:overflowPunct/>
              <w:topLinePunct w:val="0"/>
              <w:autoSpaceDN/>
              <w:bidi w:val="0"/>
              <w:spacing w:line="280" w:lineRule="exact"/>
              <w:jc w:val="right"/>
              <w:rPr>
                <w:rFonts w:hint="default" w:cs="宋体"/>
                <w:sz w:val="16"/>
                <w:szCs w:val="16"/>
              </w:rPr>
            </w:pPr>
          </w:p>
        </w:tc>
      </w:tr>
    </w:tbl>
    <w:p>
      <w:pPr>
        <w:keepNext w:val="0"/>
        <w:keepLines w:val="0"/>
        <w:pageBreakBefore w:val="0"/>
        <w:widowControl w:val="0"/>
        <w:kinsoku/>
        <w:overflowPunct/>
        <w:topLinePunct w:val="0"/>
        <w:autoSpaceDN/>
        <w:bidi w:val="0"/>
        <w:rPr>
          <w:rFonts w:hint="default" w:cs="宋体"/>
          <w:sz w:val="21"/>
          <w:szCs w:val="21"/>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0C106E"/>
    <w:rsid w:val="001D3BB7"/>
    <w:rsid w:val="0024153B"/>
    <w:rsid w:val="002B254B"/>
    <w:rsid w:val="00434B7F"/>
    <w:rsid w:val="00466C9B"/>
    <w:rsid w:val="00497DE1"/>
    <w:rsid w:val="00550ABE"/>
    <w:rsid w:val="00770383"/>
    <w:rsid w:val="007819D4"/>
    <w:rsid w:val="007B419D"/>
    <w:rsid w:val="007B7C4B"/>
    <w:rsid w:val="007D3D39"/>
    <w:rsid w:val="007F6695"/>
    <w:rsid w:val="00994AF7"/>
    <w:rsid w:val="009B67B8"/>
    <w:rsid w:val="009D2B67"/>
    <w:rsid w:val="00A566F9"/>
    <w:rsid w:val="00AF2751"/>
    <w:rsid w:val="00B03CCD"/>
    <w:rsid w:val="00BE2B89"/>
    <w:rsid w:val="00C10E9E"/>
    <w:rsid w:val="00C20C3E"/>
    <w:rsid w:val="00CF2ACF"/>
    <w:rsid w:val="00F73F90"/>
    <w:rsid w:val="00F94E95"/>
    <w:rsid w:val="00FB4B3B"/>
    <w:rsid w:val="01474EBF"/>
    <w:rsid w:val="01F3521E"/>
    <w:rsid w:val="03B87EA0"/>
    <w:rsid w:val="03E3214F"/>
    <w:rsid w:val="044C50BA"/>
    <w:rsid w:val="05A51E96"/>
    <w:rsid w:val="05BC6D49"/>
    <w:rsid w:val="06194FF1"/>
    <w:rsid w:val="06A2550B"/>
    <w:rsid w:val="06F80EE2"/>
    <w:rsid w:val="07001CCA"/>
    <w:rsid w:val="075678DB"/>
    <w:rsid w:val="075B2729"/>
    <w:rsid w:val="079D7CC7"/>
    <w:rsid w:val="08051BCA"/>
    <w:rsid w:val="086C12F4"/>
    <w:rsid w:val="08705944"/>
    <w:rsid w:val="08BA052C"/>
    <w:rsid w:val="08DB07BA"/>
    <w:rsid w:val="0969353F"/>
    <w:rsid w:val="098305D0"/>
    <w:rsid w:val="09880545"/>
    <w:rsid w:val="0A3317EA"/>
    <w:rsid w:val="0A5C4B69"/>
    <w:rsid w:val="0A86124A"/>
    <w:rsid w:val="0AB54CC0"/>
    <w:rsid w:val="0AED0200"/>
    <w:rsid w:val="0B156E0E"/>
    <w:rsid w:val="0B9335CE"/>
    <w:rsid w:val="0BA12B3C"/>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085B42"/>
    <w:rsid w:val="1E374ACB"/>
    <w:rsid w:val="1E672BAC"/>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045CCB"/>
    <w:rsid w:val="27167136"/>
    <w:rsid w:val="271B442C"/>
    <w:rsid w:val="27553C26"/>
    <w:rsid w:val="27B23302"/>
    <w:rsid w:val="29310A5F"/>
    <w:rsid w:val="29C37A35"/>
    <w:rsid w:val="2A076083"/>
    <w:rsid w:val="2A73162E"/>
    <w:rsid w:val="2B167953"/>
    <w:rsid w:val="2B200583"/>
    <w:rsid w:val="2B8209DE"/>
    <w:rsid w:val="2C636760"/>
    <w:rsid w:val="2C6762A3"/>
    <w:rsid w:val="2F0059AC"/>
    <w:rsid w:val="2FCA4B37"/>
    <w:rsid w:val="2FE029D7"/>
    <w:rsid w:val="2FF06E00"/>
    <w:rsid w:val="30586FEC"/>
    <w:rsid w:val="30C11FBB"/>
    <w:rsid w:val="315F0B22"/>
    <w:rsid w:val="31C14142"/>
    <w:rsid w:val="31D84415"/>
    <w:rsid w:val="32285F6F"/>
    <w:rsid w:val="32770556"/>
    <w:rsid w:val="329C0913"/>
    <w:rsid w:val="32AA0460"/>
    <w:rsid w:val="3337290D"/>
    <w:rsid w:val="33DF5738"/>
    <w:rsid w:val="33E31118"/>
    <w:rsid w:val="33EF7674"/>
    <w:rsid w:val="342D7BC6"/>
    <w:rsid w:val="352930DB"/>
    <w:rsid w:val="35573069"/>
    <w:rsid w:val="355F6038"/>
    <w:rsid w:val="358C217E"/>
    <w:rsid w:val="36C9128A"/>
    <w:rsid w:val="37841E99"/>
    <w:rsid w:val="37BF1123"/>
    <w:rsid w:val="383C3F15"/>
    <w:rsid w:val="38BE4696"/>
    <w:rsid w:val="3939115E"/>
    <w:rsid w:val="39836089"/>
    <w:rsid w:val="39B82A39"/>
    <w:rsid w:val="39C42CA8"/>
    <w:rsid w:val="39DC4FD6"/>
    <w:rsid w:val="39F03D7A"/>
    <w:rsid w:val="39F33306"/>
    <w:rsid w:val="3A2C1C67"/>
    <w:rsid w:val="3ADD7F09"/>
    <w:rsid w:val="3B1705E5"/>
    <w:rsid w:val="3B18334B"/>
    <w:rsid w:val="3B36794F"/>
    <w:rsid w:val="3B6F6EE0"/>
    <w:rsid w:val="3C566AD6"/>
    <w:rsid w:val="3C594871"/>
    <w:rsid w:val="3C6A5B02"/>
    <w:rsid w:val="3C9A081D"/>
    <w:rsid w:val="3D2757A1"/>
    <w:rsid w:val="3D3D4FC4"/>
    <w:rsid w:val="3DDF3AB1"/>
    <w:rsid w:val="3E1D0952"/>
    <w:rsid w:val="3E42660A"/>
    <w:rsid w:val="3E7555B1"/>
    <w:rsid w:val="3E787ED9"/>
    <w:rsid w:val="3F032E93"/>
    <w:rsid w:val="3F0527E5"/>
    <w:rsid w:val="3F694D83"/>
    <w:rsid w:val="3F885DCC"/>
    <w:rsid w:val="3FCD675E"/>
    <w:rsid w:val="4004000C"/>
    <w:rsid w:val="40264B65"/>
    <w:rsid w:val="40BD5482"/>
    <w:rsid w:val="411B6CE5"/>
    <w:rsid w:val="412070D7"/>
    <w:rsid w:val="41314E40"/>
    <w:rsid w:val="41E0734B"/>
    <w:rsid w:val="41F203F5"/>
    <w:rsid w:val="426C1EA8"/>
    <w:rsid w:val="42736402"/>
    <w:rsid w:val="42E86A87"/>
    <w:rsid w:val="43307B09"/>
    <w:rsid w:val="439A3EB9"/>
    <w:rsid w:val="43BB152F"/>
    <w:rsid w:val="44C37687"/>
    <w:rsid w:val="45293223"/>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47706B"/>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29D14B2"/>
    <w:rsid w:val="6319381F"/>
    <w:rsid w:val="63C25DC5"/>
    <w:rsid w:val="63C62057"/>
    <w:rsid w:val="64571EF5"/>
    <w:rsid w:val="64FB113D"/>
    <w:rsid w:val="656152C6"/>
    <w:rsid w:val="6587477F"/>
    <w:rsid w:val="658C3A08"/>
    <w:rsid w:val="65C031CA"/>
    <w:rsid w:val="65CE6852"/>
    <w:rsid w:val="65DF2144"/>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B01CD5"/>
    <w:rsid w:val="6DE346AB"/>
    <w:rsid w:val="6DE5391A"/>
    <w:rsid w:val="6EFD1324"/>
    <w:rsid w:val="6F5A53AC"/>
    <w:rsid w:val="6FAC003D"/>
    <w:rsid w:val="6FE55E12"/>
    <w:rsid w:val="6FFB2E76"/>
    <w:rsid w:val="708F6F7F"/>
    <w:rsid w:val="70D94BD3"/>
    <w:rsid w:val="71C34D91"/>
    <w:rsid w:val="72DB435C"/>
    <w:rsid w:val="72E2613A"/>
    <w:rsid w:val="72F771F4"/>
    <w:rsid w:val="73934AD2"/>
    <w:rsid w:val="745A246D"/>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08185F"/>
    <w:rsid w:val="7E75566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10684</Words>
  <Characters>14425</Characters>
  <Lines>127</Lines>
  <Paragraphs>35</Paragraphs>
  <TotalTime>28</TotalTime>
  <ScaleCrop>false</ScaleCrop>
  <LinksUpToDate>false</LinksUpToDate>
  <CharactersWithSpaces>15767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cp:lastPrinted>2025-09-15T03:20:00Z</cp:lastPrinted>
  <dcterms:modified xsi:type="dcterms:W3CDTF">2025-09-17T07:41:15Z</dcterms:modified>
  <dc:title>中国共产党垫江县委员会宣传部（本级）</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72A57B5AD49C4F389CFA0F5A4923E344_13</vt:lpwstr>
  </property>
  <property fmtid="{D5CDD505-2E9C-101B-9397-08002B2CF9AE}" pid="4" name="KSOTemplateDocerSaveRecord">
    <vt:lpwstr>eyJoZGlkIjoiMDUwMjYyMTAwZTM5NTcxOGVhNzI3YWZjMDRhMjZkZDEifQ==</vt:lpwstr>
  </property>
</Properties>
</file>