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垫江县网络信息中心</w:t>
      </w:r>
    </w:p>
    <w:p>
      <w:pPr>
        <w:pStyle w:val="7"/>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spacing w:before="0" w:beforeAutospacing="0" w:after="0" w:afterAutospacing="0" w:line="594" w:lineRule="exact"/>
        <w:ind w:firstLine="643" w:firstLineChars="200"/>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spacing w:line="594" w:lineRule="exact"/>
        <w:ind w:firstLine="640" w:firstLineChars="200"/>
        <w:rPr>
          <w:rFonts w:hint="default" w:eastAsia="方正仿宋_GBK"/>
          <w:sz w:val="32"/>
        </w:rPr>
      </w:pPr>
      <w:r>
        <w:rPr>
          <w:rFonts w:eastAsia="方正仿宋_GBK"/>
          <w:sz w:val="32"/>
        </w:rPr>
        <w:t>垫江县网络信息中心承担中共垫江县委网络</w:t>
      </w:r>
      <w:r>
        <w:rPr>
          <w:rFonts w:hint="eastAsia" w:eastAsia="方正仿宋_GBK"/>
          <w:sz w:val="32"/>
          <w:lang w:eastAsia="zh-CN"/>
        </w:rPr>
        <w:t>安</w:t>
      </w:r>
      <w:r>
        <w:rPr>
          <w:rFonts w:eastAsia="方正仿宋_GBK"/>
          <w:sz w:val="32"/>
        </w:rPr>
        <w:t>全和信息化委员会的具体工作，协调督促有关方面落实中共垫江县委网络</w:t>
      </w:r>
      <w:r>
        <w:rPr>
          <w:rFonts w:hint="eastAsia" w:eastAsia="方正仿宋_GBK"/>
          <w:sz w:val="32"/>
          <w:lang w:eastAsia="zh-CN"/>
        </w:rPr>
        <w:t>安</w:t>
      </w:r>
      <w:r>
        <w:rPr>
          <w:rFonts w:eastAsia="方正仿宋_GBK"/>
          <w:sz w:val="32"/>
        </w:rPr>
        <w:t>全和信息化委员会决定事项、工作部署和要求等。</w:t>
      </w:r>
    </w:p>
    <w:p>
      <w:pPr>
        <w:pStyle w:val="2"/>
        <w:ind w:firstLine="640" w:firstLineChars="200"/>
        <w:rPr>
          <w:rFonts w:hint="default" w:eastAsia="方正仿宋_GBK"/>
          <w:sz w:val="32"/>
        </w:rPr>
      </w:pPr>
      <w:r>
        <w:rPr>
          <w:rFonts w:eastAsia="方正仿宋_GBK"/>
          <w:sz w:val="32"/>
        </w:rPr>
        <w:t>1.负责处理县委网络安全和信息化委员会日常事务工作，协调督促有关方面落实县委网信委的决定事项工作部署和要求。组织开展对涉及全县政治、经济、文化、社会等各个领域的网络安全和信息化重大问题研究，向县委网信委提出工作建议。</w:t>
      </w:r>
    </w:p>
    <w:p>
      <w:pPr>
        <w:pStyle w:val="2"/>
        <w:ind w:firstLine="640" w:firstLineChars="200"/>
        <w:rPr>
          <w:rFonts w:hint="default" w:eastAsia="方正仿宋_GBK"/>
        </w:rPr>
      </w:pPr>
      <w:r>
        <w:rPr>
          <w:rFonts w:eastAsia="方正仿宋_GBK"/>
          <w:sz w:val="32"/>
          <w:szCs w:val="32"/>
        </w:rPr>
        <w:t>2.组织研究起草全县网络安全和信息化发展战略、宏观规划和重大政策；统筹推动全县网络安全和信息化法治、标准建设，根据职责权限负责相关法律、法规、规章等的实施和监督检查。监督网络安全和信息化领域国家标准和与信息化相关的统计调查制度在全县的实施。</w:t>
      </w:r>
    </w:p>
    <w:p>
      <w:pPr>
        <w:spacing w:line="600" w:lineRule="exact"/>
        <w:ind w:firstLine="640" w:firstLineChars="200"/>
        <w:rPr>
          <w:rFonts w:hint="default" w:eastAsia="方正仿宋_GBK"/>
          <w:sz w:val="32"/>
          <w:szCs w:val="32"/>
        </w:rPr>
      </w:pPr>
      <w:r>
        <w:rPr>
          <w:rFonts w:eastAsia="方正仿宋_GBK"/>
          <w:sz w:val="32"/>
          <w:szCs w:val="32"/>
        </w:rPr>
        <w:t>3.统筹协调全县网络安全保障体系和可信体系建设，牵头协调督促有关部门落实全县相关行业网络安全规划及保障评价指标体系，协调信息安全保护工作。指导推进全县党政部门、重点行业网络安全保障和信息化工作。推动网络强县有关工程建设，协调推动全县公共服务和社会治理信息化。指导全县网络安全信息共享和通报。</w:t>
      </w:r>
    </w:p>
    <w:p>
      <w:pPr>
        <w:spacing w:line="600" w:lineRule="exact"/>
        <w:ind w:firstLine="640" w:firstLineChars="200"/>
        <w:rPr>
          <w:rFonts w:hint="default" w:eastAsia="方正仿宋_GBK"/>
          <w:sz w:val="32"/>
          <w:szCs w:val="32"/>
        </w:rPr>
      </w:pPr>
      <w:r>
        <w:rPr>
          <w:rFonts w:eastAsia="方正仿宋_GBK"/>
          <w:sz w:val="32"/>
          <w:szCs w:val="32"/>
        </w:rPr>
        <w:t>4.督促落实全县涉及政治、经济、文化、社会等各个领域网络安全和信息化重大事项。负责协调处理全县网络安全和信息化重大突发事件与有关应急工作。负责全县重大决策网络舆情风险评估审查工作。</w:t>
      </w:r>
    </w:p>
    <w:p>
      <w:pPr>
        <w:spacing w:line="600" w:lineRule="exact"/>
        <w:ind w:firstLine="640" w:firstLineChars="200"/>
        <w:rPr>
          <w:rFonts w:hint="default" w:eastAsia="方正仿宋_GBK"/>
          <w:sz w:val="32"/>
          <w:szCs w:val="32"/>
        </w:rPr>
      </w:pPr>
      <w:r>
        <w:rPr>
          <w:rFonts w:eastAsia="方正仿宋_GBK"/>
          <w:sz w:val="32"/>
          <w:szCs w:val="32"/>
        </w:rPr>
        <w:t>5.负责全县互联网信息内容管理，统筹协调组织全县互联网宣传管理和舆论引导工作，督促落实党委（党组）网络意识形态工作责任制，维护网络意识形态安全。落实互联网新闻信息传播政策，负责全县互联网信息内容监督管理执法，组织开展网络舆论生态治理，处置和封堵网上有害信息，依照相关法律和规定查处有关违法违规行为和网站。</w:t>
      </w:r>
    </w:p>
    <w:p>
      <w:pPr>
        <w:spacing w:line="600" w:lineRule="exact"/>
        <w:ind w:firstLine="640" w:firstLineChars="200"/>
        <w:rPr>
          <w:rFonts w:hint="default" w:eastAsia="方正仿宋_GBK"/>
          <w:sz w:val="32"/>
          <w:szCs w:val="32"/>
        </w:rPr>
      </w:pPr>
      <w:r>
        <w:rPr>
          <w:rFonts w:eastAsia="方正仿宋_GBK"/>
          <w:sz w:val="32"/>
          <w:szCs w:val="32"/>
        </w:rPr>
        <w:t>6.负责指导协调本地网络舆情信息工作，组织开展网络舆情信息收集分析研判工作，跟踪了解和掌握网络舆情动态，依法规范全县互联网舆情服务市场。</w:t>
      </w:r>
    </w:p>
    <w:p>
      <w:pPr>
        <w:spacing w:line="600" w:lineRule="exact"/>
        <w:ind w:firstLine="640" w:firstLineChars="200"/>
        <w:rPr>
          <w:rFonts w:hint="default" w:eastAsia="方正仿宋_GBK"/>
          <w:sz w:val="32"/>
          <w:szCs w:val="32"/>
        </w:rPr>
      </w:pPr>
      <w:r>
        <w:rPr>
          <w:rFonts w:eastAsia="方正仿宋_GBK"/>
          <w:sz w:val="32"/>
          <w:szCs w:val="32"/>
        </w:rPr>
        <w:t>7.推动网络阵地建设，负责全县重点新闻网站规划建设，指导协调全县网络游戏、网络视听、网络出版等相关业务，推动全县移动互联网发展，会同有关部门推动传统媒体与新兴媒体融合发展，负责全县网站转载新闻稿源的管理。</w:t>
      </w:r>
    </w:p>
    <w:p>
      <w:pPr>
        <w:spacing w:line="600" w:lineRule="exact"/>
        <w:ind w:firstLine="640" w:firstLineChars="200"/>
        <w:rPr>
          <w:rFonts w:hint="default" w:eastAsia="方正仿宋_GBK"/>
          <w:sz w:val="32"/>
          <w:szCs w:val="32"/>
        </w:rPr>
      </w:pPr>
      <w:r>
        <w:rPr>
          <w:rFonts w:eastAsia="方正仿宋_GBK"/>
          <w:sz w:val="32"/>
          <w:szCs w:val="32"/>
        </w:rPr>
        <w:t>8.推动本地网络社会工作和网络文化、网络文明建设。发展、联系、服务互联网相关社会组织，指导互联网行业自律，推进互联网企业党建、团建和青年工作。</w:t>
      </w:r>
    </w:p>
    <w:p>
      <w:pPr>
        <w:spacing w:line="600" w:lineRule="exact"/>
        <w:ind w:firstLine="640" w:firstLineChars="200"/>
        <w:rPr>
          <w:rFonts w:hint="default" w:eastAsia="方正仿宋_GBK"/>
          <w:sz w:val="32"/>
          <w:szCs w:val="32"/>
        </w:rPr>
      </w:pPr>
      <w:r>
        <w:rPr>
          <w:rFonts w:eastAsia="方正仿宋_GBK"/>
          <w:sz w:val="32"/>
          <w:szCs w:val="32"/>
        </w:rPr>
        <w:t>9.落实互联网信息服务资本准入和信息网络行业安全审查有关政策，依法负责全县网络新闻业务和论坛、博客、搜索引擎等具有新闻舆论及社会动员功能业务的审批及日常监管。指导有关部门督促电信运营企业、接入服务企业、域名注册管理和服务机构等做好域名注册、互联网地址（IP地址）分配、网站登记备案、接入以及网络行为主体身份信息核对等基础管理工作。指导推进新技术新应用安全评估，统筹协调全县移动互联网管理。</w:t>
      </w:r>
    </w:p>
    <w:p>
      <w:pPr>
        <w:spacing w:line="600" w:lineRule="exact"/>
        <w:ind w:firstLine="640" w:firstLineChars="200"/>
        <w:rPr>
          <w:rFonts w:hint="default" w:eastAsia="方正仿宋_GBK"/>
          <w:sz w:val="32"/>
          <w:szCs w:val="32"/>
        </w:rPr>
      </w:pPr>
      <w:r>
        <w:rPr>
          <w:rFonts w:eastAsia="方正仿宋_GBK"/>
          <w:sz w:val="32"/>
          <w:szCs w:val="32"/>
        </w:rPr>
        <w:t>10.协调拟定扶持全县信息网络行业自主创新和发展的政策体系，开展互联网经济和发展态势研究，推动建立健全全县信息网络行业投融资支持服务体系、技术创新服务体系，统筹协调全县重要信息资源的开发利用与共享。</w:t>
      </w:r>
    </w:p>
    <w:p>
      <w:pPr>
        <w:spacing w:line="600" w:lineRule="exact"/>
        <w:ind w:firstLine="640" w:firstLineChars="200"/>
        <w:rPr>
          <w:rFonts w:hint="default" w:eastAsia="方正仿宋_GBK"/>
          <w:sz w:val="32"/>
          <w:szCs w:val="32"/>
        </w:rPr>
      </w:pPr>
      <w:r>
        <w:rPr>
          <w:rFonts w:eastAsia="方正仿宋_GBK"/>
          <w:sz w:val="32"/>
          <w:szCs w:val="32"/>
        </w:rPr>
        <w:t>11.规划指导全县金融信息服务业务，组织开展金融信息服务市场监管，协调金融监管部门建立网络金融信息发布、传播监管制度及工作机制。</w:t>
      </w:r>
    </w:p>
    <w:p>
      <w:pPr>
        <w:spacing w:line="600" w:lineRule="exact"/>
        <w:ind w:firstLine="640" w:firstLineChars="200"/>
        <w:rPr>
          <w:rFonts w:hint="default" w:eastAsia="方正仿宋_GBK"/>
          <w:sz w:val="32"/>
          <w:szCs w:val="32"/>
        </w:rPr>
      </w:pPr>
      <w:r>
        <w:rPr>
          <w:rFonts w:eastAsia="方正仿宋_GBK"/>
          <w:sz w:val="32"/>
          <w:szCs w:val="32"/>
        </w:rPr>
        <w:t>12.组织拟订全县网络安全和信息化干部人才队伍发展规划，组织开展全县网络安全和信息化干部教育培训、人才队伍建设，规划指导全县互联网新闻信息服务从业人员教育培训和考评工作，组织开展网络媒介素养教育。负责对乡镇（街道）网信工作的考核管理。</w:t>
      </w:r>
    </w:p>
    <w:p>
      <w:pPr>
        <w:spacing w:line="600" w:lineRule="exact"/>
        <w:ind w:firstLine="640" w:firstLineChars="200"/>
        <w:rPr>
          <w:rFonts w:hint="default" w:eastAsia="方正仿宋_GBK"/>
          <w:sz w:val="32"/>
          <w:szCs w:val="32"/>
        </w:rPr>
      </w:pPr>
      <w:r>
        <w:rPr>
          <w:rFonts w:eastAsia="方正仿宋_GBK"/>
          <w:sz w:val="32"/>
          <w:szCs w:val="32"/>
        </w:rPr>
        <w:t>13.组织开展全县网络安全和信息化领域对外交流与合作。</w:t>
      </w:r>
    </w:p>
    <w:p>
      <w:pPr>
        <w:spacing w:line="600" w:lineRule="exact"/>
        <w:ind w:firstLine="640" w:firstLineChars="200"/>
        <w:rPr>
          <w:rFonts w:hint="default" w:ascii="方正仿宋_GBK" w:hAnsi="方正仿宋_GBK" w:eastAsia="方正仿宋_GBK" w:cs="方正仿宋_GBK"/>
          <w:sz w:val="32"/>
          <w:szCs w:val="32"/>
        </w:rPr>
      </w:pPr>
      <w:r>
        <w:rPr>
          <w:rFonts w:eastAsia="方正仿宋_GBK"/>
          <w:sz w:val="32"/>
          <w:szCs w:val="32"/>
        </w:rPr>
        <w:t>14.</w:t>
      </w:r>
      <w:r>
        <w:rPr>
          <w:rFonts w:ascii="方正仿宋_GBK" w:hAnsi="方正仿宋_GBK" w:eastAsia="方正仿宋_GBK" w:cs="方正仿宋_GBK"/>
          <w:sz w:val="32"/>
          <w:szCs w:val="32"/>
        </w:rPr>
        <w:t>指导、检查、推动各乡镇（街道）、有关部门网络安全和信息化工作。</w:t>
      </w:r>
    </w:p>
    <w:p>
      <w:pPr>
        <w:pStyle w:val="7"/>
        <w:shd w:val="clear" w:color="auto" w:fill="FFFFFF"/>
        <w:spacing w:before="0" w:beforeAutospacing="0" w:after="0" w:afterAutospacing="0"/>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adjustRightInd w:val="0"/>
        <w:snapToGrid w:val="0"/>
        <w:spacing w:line="594" w:lineRule="exact"/>
        <w:ind w:firstLine="640" w:firstLineChars="200"/>
        <w:rPr>
          <w:rFonts w:hint="default" w:eastAsia="方正仿宋_GBK"/>
          <w:sz w:val="32"/>
          <w:szCs w:val="32"/>
        </w:rPr>
      </w:pPr>
      <w:r>
        <w:rPr>
          <w:rFonts w:hAnsi="方正仿宋_GBK" w:eastAsia="方正仿宋_GBK"/>
          <w:sz w:val="32"/>
          <w:szCs w:val="32"/>
        </w:rPr>
        <w:t>中共垫江县网络信息中心</w:t>
      </w:r>
      <w:r>
        <w:rPr>
          <w:rFonts w:eastAsia="方正仿宋_GBK"/>
          <w:sz w:val="32"/>
          <w:szCs w:val="32"/>
        </w:rPr>
        <w:t>，核定全额拨款事业编制16名。其中</w:t>
      </w:r>
      <w:r>
        <w:rPr>
          <w:rFonts w:hint="eastAsia" w:eastAsia="方正仿宋_GBK"/>
          <w:sz w:val="32"/>
          <w:szCs w:val="32"/>
          <w:lang w:eastAsia="zh-CN"/>
        </w:rPr>
        <w:t>心设</w:t>
      </w:r>
      <w:r>
        <w:rPr>
          <w:rFonts w:eastAsia="方正仿宋_GBK"/>
          <w:sz w:val="32"/>
          <w:szCs w:val="32"/>
        </w:rPr>
        <w:t>主任1名，内设5个科室，分别为网络安全科、社会工作科、舆情应急科、网络宣传科和新媒体中心。</w:t>
      </w:r>
    </w:p>
    <w:p>
      <w:pPr>
        <w:pStyle w:val="7"/>
        <w:shd w:val="clear" w:color="auto" w:fill="FFFFFF"/>
        <w:spacing w:before="0" w:beforeAutospacing="0" w:after="0" w:afterAutospacing="0"/>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二、单位决算收支情况说明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2024年度收入总计662.77万元，支出总计</w:t>
      </w:r>
      <w:r>
        <w:rPr>
          <w:rFonts w:ascii="方正仿宋_GBK" w:hAnsi="方正仿宋_GBK" w:eastAsia="方正仿宋_GBK" w:cs="方正仿宋_GBK"/>
          <w:sz w:val="32"/>
          <w:szCs w:val="32"/>
        </w:rPr>
        <w:t>662.77</w:t>
      </w:r>
      <w:r>
        <w:rPr>
          <w:rFonts w:ascii="方正仿宋_GBK" w:hAnsi="方正仿宋_GBK" w:eastAsia="方正仿宋_GBK" w:cs="方正仿宋_GBK"/>
          <w:sz w:val="32"/>
          <w:szCs w:val="32"/>
          <w:shd w:val="clear" w:color="auto" w:fill="FFFFFF"/>
        </w:rPr>
        <w:t>万元。收、支与2023年度相比，减少33.77万元，下降4.85%，主要原因是1人退休，1人调离，人员经费收支减少。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2024年度收入合计662.77万元，与2023年度相比，减少33.77万元，下降4.85%，主要原因是1人退休，1人调离，人员经费收入减少。其中：财政拨款收入</w:t>
      </w:r>
      <w:r>
        <w:rPr>
          <w:rFonts w:ascii="方正仿宋_GBK" w:hAnsi="方正仿宋_GBK" w:eastAsia="方正仿宋_GBK" w:cs="方正仿宋_GBK"/>
          <w:sz w:val="32"/>
          <w:szCs w:val="32"/>
        </w:rPr>
        <w:t>662.77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662.77</w:t>
      </w:r>
      <w:r>
        <w:rPr>
          <w:rFonts w:ascii="方正仿宋_GBK" w:hAnsi="方正仿宋_GBK" w:eastAsia="方正仿宋_GBK" w:cs="方正仿宋_GBK"/>
          <w:sz w:val="32"/>
          <w:szCs w:val="32"/>
          <w:shd w:val="clear" w:color="auto" w:fill="FFFFFF"/>
        </w:rPr>
        <w:t>万元，与2023年度相比，减少33.77万元，下降4.85%，主要原因是1人退休，1人调离，人员经费支出减少。其中：基本支出</w:t>
      </w:r>
      <w:r>
        <w:rPr>
          <w:rFonts w:ascii="方正仿宋_GBK" w:hAnsi="方正仿宋_GBK" w:eastAsia="方正仿宋_GBK" w:cs="方正仿宋_GBK"/>
          <w:sz w:val="32"/>
          <w:szCs w:val="32"/>
        </w:rPr>
        <w:t>662.77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Style w:val="11"/>
          <w:rFonts w:ascii="方正仿宋_GBK" w:eastAsia="方正仿宋_GBK"/>
          <w:b w:val="0"/>
          <w:sz w:val="32"/>
          <w:szCs w:val="32"/>
        </w:rPr>
        <w:t>2024年度年末无结转和结余。</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2024年度财政拨款收、支总计662.77万元。与2023年相比，财政拨款收、支总计各减少33.77万元，下降4.85%。主要原因是1人退休，1人调离，人员经费收支减少。</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662.77</w:t>
      </w:r>
      <w:r>
        <w:rPr>
          <w:rFonts w:ascii="方正仿宋_GBK" w:hAnsi="方正仿宋_GBK" w:eastAsia="方正仿宋_GBK" w:cs="方正仿宋_GBK"/>
          <w:sz w:val="32"/>
          <w:szCs w:val="32"/>
          <w:shd w:val="clear" w:color="auto" w:fill="FFFFFF"/>
        </w:rPr>
        <w:t>万元，与2023年度相比，减少33.77万元，下降4.85%。主要原因是1人退休，1人调离，人员经费减少。较年初预算数增加87.13万元，增长15.14%。主要原因是补缴2022年至2023年的养老保险和职业年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662.77</w:t>
      </w:r>
      <w:r>
        <w:rPr>
          <w:rFonts w:ascii="方正仿宋_GBK" w:hAnsi="方正仿宋_GBK" w:eastAsia="方正仿宋_GBK" w:cs="方正仿宋_GBK"/>
          <w:sz w:val="32"/>
          <w:szCs w:val="32"/>
          <w:shd w:val="clear" w:color="auto" w:fill="FFFFFF"/>
        </w:rPr>
        <w:t>万元，与2023年度相比，减少33.77万元，下降4.85%。主要原因是1人退休，1人调离，人员经费支出减少。较年初预算数增加87.13万元，增长15.14%。主要原因是补缴2022年至2023年的养老保险和职业年金。</w:t>
      </w:r>
    </w:p>
    <w:p>
      <w:pPr>
        <w:pStyle w:val="7"/>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Style w:val="11"/>
          <w:rFonts w:ascii="方正仿宋_GBK" w:eastAsia="方正仿宋_GBK"/>
          <w:b w:val="0"/>
          <w:sz w:val="32"/>
          <w:szCs w:val="32"/>
        </w:rPr>
        <w:t>2024年度年末无结转和结余。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469.26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70.80</w:t>
      </w:r>
      <w:r>
        <w:rPr>
          <w:rFonts w:ascii="方正仿宋_GBK" w:hAnsi="方正仿宋_GBK" w:eastAsia="方正仿宋_GBK" w:cs="方正仿宋_GBK"/>
          <w:sz w:val="32"/>
          <w:szCs w:val="32"/>
          <w:shd w:val="clear" w:color="auto" w:fill="FFFFFF"/>
        </w:rPr>
        <w:t>%，较年初预算数减少0.45万元，下降0.10%，主要原因是1人退休，1人调离，人员经费支出减少。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%，较年初预算数减少1.54万元，下降87.50%，主要原因是压缩开支，培训减少。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125.24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18.90</w:t>
      </w:r>
      <w:r>
        <w:rPr>
          <w:rFonts w:ascii="方正仿宋_GBK" w:hAnsi="方正仿宋_GBK" w:eastAsia="方正仿宋_GBK" w:cs="方正仿宋_GBK"/>
          <w:sz w:val="32"/>
          <w:szCs w:val="32"/>
          <w:shd w:val="clear" w:color="auto" w:fill="FFFFFF"/>
        </w:rPr>
        <w:t>%，较年初预算数增加70.89万元，增长130.43%，主要原因是补缴2022年至2023年的养老保险和职业年金。</w:t>
      </w:r>
    </w:p>
    <w:p>
      <w:pPr>
        <w:pStyle w:val="7"/>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22.65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3.42</w:t>
      </w:r>
      <w:r>
        <w:rPr>
          <w:rFonts w:ascii="方正仿宋_GBK" w:hAnsi="方正仿宋_GBK" w:eastAsia="方正仿宋_GBK" w:cs="方正仿宋_GBK"/>
          <w:sz w:val="32"/>
          <w:szCs w:val="32"/>
          <w:shd w:val="clear" w:color="auto" w:fill="FFFFFF"/>
        </w:rPr>
        <w:t>%，较年初预算数无增减，主要原因是严格按照预算支出。</w:t>
      </w:r>
    </w:p>
    <w:p>
      <w:pPr>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住房保障支出45.39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6.85</w:t>
      </w:r>
      <w:r>
        <w:rPr>
          <w:rFonts w:ascii="方正仿宋_GBK" w:hAnsi="方正仿宋_GBK" w:eastAsia="方正仿宋_GBK" w:cs="方正仿宋_GBK"/>
          <w:sz w:val="32"/>
          <w:szCs w:val="32"/>
          <w:shd w:val="clear" w:color="auto" w:fill="FFFFFF"/>
        </w:rPr>
        <w:t>%，较年初预算数增加18.21万元，增长67.00%，主要原因是</w:t>
      </w:r>
      <w:r>
        <w:rPr>
          <w:rStyle w:val="11"/>
          <w:rFonts w:ascii="方正仿宋_GBK" w:eastAsia="方正仿宋_GBK"/>
          <w:b w:val="0"/>
          <w:sz w:val="32"/>
          <w:szCs w:val="32"/>
        </w:rPr>
        <w:t>政策调</w:t>
      </w:r>
      <w:r>
        <w:rPr>
          <w:rStyle w:val="11"/>
          <w:rFonts w:hint="eastAsia" w:ascii="方正仿宋_GBK" w:eastAsia="方正仿宋_GBK"/>
          <w:b w:val="0"/>
          <w:sz w:val="32"/>
          <w:szCs w:val="32"/>
          <w:lang w:eastAsia="zh-CN"/>
        </w:rPr>
        <w:t>整</w:t>
      </w:r>
      <w:r>
        <w:rPr>
          <w:rStyle w:val="11"/>
          <w:rFonts w:ascii="方正仿宋_GBK" w:eastAsia="方正仿宋_GBK"/>
          <w:b w:val="0"/>
          <w:sz w:val="32"/>
          <w:szCs w:val="32"/>
        </w:rPr>
        <w:t>，</w:t>
      </w:r>
      <w:r>
        <w:rPr>
          <w:rFonts w:ascii="方正仿宋_GBK" w:eastAsia="方正仿宋_GBK"/>
          <w:sz w:val="32"/>
          <w:szCs w:val="32"/>
        </w:rPr>
        <w:t>基数调整，费用增加。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widowControl w:val="0"/>
        <w:shd w:val="clear" w:color="auto" w:fill="FFFFFF"/>
        <w:spacing w:before="0" w:beforeAutospacing="0" w:after="0" w:afterAutospacing="0" w:line="594" w:lineRule="exact"/>
        <w:ind w:firstLine="640" w:firstLineChars="200"/>
        <w:jc w:val="both"/>
        <w:rPr>
          <w:rStyle w:val="11"/>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662.77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604.13</w:t>
      </w:r>
      <w:r>
        <w:rPr>
          <w:rFonts w:ascii="方正仿宋_GBK" w:hAnsi="方正仿宋_GBK" w:eastAsia="方正仿宋_GBK" w:cs="方正仿宋_GBK"/>
          <w:sz w:val="32"/>
          <w:szCs w:val="32"/>
          <w:shd w:val="clear" w:color="auto" w:fill="FFFFFF"/>
        </w:rPr>
        <w:t>万元，与2023年度相比，减少2.36万元，下降0.39%，主要原因是1人退休，1人调离，人员经费减少。人员经费用途主要包括</w:t>
      </w:r>
      <w:bookmarkStart w:id="0" w:name="_GoBack"/>
      <w:bookmarkEnd w:id="0"/>
      <w:r>
        <w:rPr>
          <w:rStyle w:val="11"/>
          <w:rFonts w:ascii="方正仿宋_GBK" w:eastAsia="方正仿宋_GBK"/>
          <w:b w:val="0"/>
          <w:sz w:val="32"/>
          <w:szCs w:val="32"/>
        </w:rPr>
        <w:t>基本工资、津贴补贴、绩效工资、社会保障缴费、住房公积金、医疗费。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58.63</w:t>
      </w:r>
      <w:r>
        <w:rPr>
          <w:rFonts w:ascii="方正仿宋_GBK" w:hAnsi="方正仿宋_GBK" w:eastAsia="方正仿宋_GBK" w:cs="方正仿宋_GBK"/>
          <w:sz w:val="32"/>
          <w:szCs w:val="32"/>
          <w:shd w:val="clear" w:color="auto" w:fill="FFFFFF"/>
        </w:rPr>
        <w:t>万元，与2023年度相比，减少31.42万元，下降34.89%，主要原因是1人退休，1人调离，人员经费减少。公用经费用途主要包括</w:t>
      </w:r>
      <w:r>
        <w:rPr>
          <w:rStyle w:val="11"/>
          <w:rFonts w:ascii="方正仿宋_GBK" w:eastAsia="方正仿宋_GBK"/>
          <w:b w:val="0"/>
          <w:sz w:val="32"/>
          <w:szCs w:val="32"/>
        </w:rPr>
        <w:t>办公费、邮电费、差旅费、维修费、培训费、工会经费、福利费等。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bCs/>
          <w:color w:val="000000" w:themeColor="text1"/>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7"/>
        <w:shd w:val="clear" w:color="auto" w:fill="FFFFFF"/>
        <w:spacing w:before="0" w:beforeAutospacing="0" w:after="0" w:afterAutospacing="0"/>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w:t>
      </w:r>
      <w:r>
        <w:rPr>
          <w:rStyle w:val="11"/>
          <w:rFonts w:hint="eastAsia" w:ascii="黑体" w:hAnsi="黑体" w:eastAsia="黑体" w:cs="黑体"/>
          <w:sz w:val="32"/>
          <w:szCs w:val="32"/>
          <w:shd w:val="clear" w:color="auto" w:fill="FFFFFF"/>
          <w:lang w:eastAsia="zh-CN"/>
        </w:rPr>
        <w:t>三公</w:t>
      </w:r>
      <w:r>
        <w:rPr>
          <w:rStyle w:val="11"/>
          <w:rFonts w:ascii="黑体" w:hAnsi="黑体" w:eastAsia="黑体" w:cs="黑体"/>
          <w:sz w:val="32"/>
          <w:szCs w:val="32"/>
          <w:shd w:val="clear" w:color="auto" w:fill="FFFFFF"/>
        </w:rPr>
        <w:t>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7"/>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经费支出。较上年支出数无增减，主要原因是我单位本年及上年均未发生</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widowControl w:val="0"/>
        <w:spacing w:line="594" w:lineRule="exact"/>
        <w:ind w:firstLine="640" w:firstLineChars="200"/>
        <w:jc w:val="both"/>
        <w:rPr>
          <w:rStyle w:val="11"/>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万元，与2023年度相比，减少0.03万元，下降100.00%，主要原因是压缩开支，多数</w:t>
      </w:r>
      <w:r>
        <w:rPr>
          <w:rStyle w:val="11"/>
          <w:rFonts w:ascii="方正仿宋_GBK" w:eastAsia="方正仿宋_GBK"/>
          <w:b w:val="0"/>
          <w:sz w:val="32"/>
          <w:szCs w:val="32"/>
        </w:rPr>
        <w:t>会议采用线上方式举行</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万元，与2023年度相比，增加0.02万元，增长10.00%，主要原因是召开2024年全县思想文化干部培训班。</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年度我部门未发生政府采购事项，无相关经费支出。</w:t>
      </w:r>
    </w:p>
    <w:p>
      <w:pPr>
        <w:pStyle w:val="7"/>
        <w:shd w:val="clear" w:color="auto" w:fill="FFFFFF"/>
        <w:spacing w:before="0" w:beforeAutospacing="0" w:after="0" w:afterAutospacing="0"/>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五、2024年度预算绩效管理情况说明</w:t>
      </w:r>
    </w:p>
    <w:p>
      <w:pPr>
        <w:pStyle w:val="12"/>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3"/>
        <w:autoSpaceDE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本单位无项目支出，无绩效评价。</w:t>
      </w:r>
    </w:p>
    <w:p>
      <w:pPr>
        <w:pStyle w:val="12"/>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2"/>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本单位未组织开展绩效评价。</w:t>
      </w:r>
    </w:p>
    <w:p>
      <w:pPr>
        <w:pStyle w:val="12"/>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2"/>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7"/>
        <w:shd w:val="clear" w:color="auto" w:fill="FFFFFF"/>
        <w:spacing w:before="0" w:beforeAutospacing="0" w:after="0" w:afterAutospacing="0"/>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  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w:t>
      </w:r>
      <w:r>
        <w:rPr>
          <w:rStyle w:val="11"/>
          <w:rFonts w:hint="eastAsia" w:ascii="楷体" w:hAnsi="楷体" w:eastAsia="楷体" w:cs="楷体"/>
          <w:sz w:val="32"/>
          <w:szCs w:val="32"/>
          <w:shd w:val="clear" w:color="auto" w:fill="FFFFFF"/>
          <w:lang w:eastAsia="zh-CN"/>
        </w:rPr>
        <w:t>三公</w:t>
      </w:r>
      <w:r>
        <w:rPr>
          <w:rStyle w:val="11"/>
          <w:rFonts w:ascii="楷体" w:hAnsi="楷体" w:eastAsia="楷体" w:cs="楷体"/>
          <w:sz w:val="32"/>
          <w:szCs w:val="32"/>
          <w:shd w:val="clear" w:color="auto" w:fill="FFFFFF"/>
        </w:rPr>
        <w:t>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0" w:beforeAutospacing="0" w:after="0" w:afterAutospacing="0"/>
        <w:ind w:firstLine="643" w:firstLineChars="20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pPr>
        <w:pStyle w:val="12"/>
        <w:autoSpaceDE w:val="0"/>
        <w:spacing w:line="596" w:lineRule="exact"/>
        <w:ind w:firstLine="640"/>
        <w:jc w:val="both"/>
        <w:rPr>
          <w:rStyle w:val="11"/>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本单位决算公开信息反馈和联系方式：田老师023-74593059</w:t>
      </w: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垫江县网络信息中心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662.77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662.77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662.77</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662.77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垫江县网络信息中心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662.77</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662.77</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垫江县网络信息中心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662.77</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662.77</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81.71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垫江县网络信息中心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662.77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469.26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469.26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125.24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125.24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662.77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662.77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垫江县网络信息中心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662.77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662.77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469.26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125.24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81.71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41.02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垫江县网络信息中心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604.13</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垫江县网络信息中心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垫江县网络信息中心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垫江县网络信息中心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11.38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239C6"/>
    <w:rsid w:val="001D3BB7"/>
    <w:rsid w:val="002B254B"/>
    <w:rsid w:val="002F2679"/>
    <w:rsid w:val="00315631"/>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02B97"/>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621569"/>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8736B8C"/>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5CE2806"/>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2506FE"/>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Times New Roman" w:hAnsi="Times New Roman"/>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9741</Words>
  <Characters>12197</Characters>
  <Lines>107</Lines>
  <Paragraphs>30</Paragraphs>
  <TotalTime>14</TotalTime>
  <ScaleCrop>false</ScaleCrop>
  <LinksUpToDate>false</LinksUpToDate>
  <CharactersWithSpaces>13259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cp:lastPrinted>2025-09-15T03:32:00Z</cp:lastPrinted>
  <dcterms:modified xsi:type="dcterms:W3CDTF">2025-09-17T07:55:47Z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