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中国共产党垫江县纪律检查委员会（本级）</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4" w:lineRule="exact"/>
        <w:ind w:firstLine="643" w:firstLineChars="200"/>
        <w:rPr>
          <w:rStyle w:val="10"/>
          <w:rFonts w:hint="default" w:ascii="方正黑体_GBK" w:hAnsi="方正黑体_GBK" w:eastAsia="方正黑体_GBK" w:cs="方正黑体_GBK"/>
          <w:sz w:val="32"/>
          <w:szCs w:val="32"/>
          <w:shd w:val="clear" w:color="auto" w:fill="FFFFFF"/>
        </w:rPr>
      </w:pPr>
      <w:r>
        <w:rPr>
          <w:rStyle w:val="10"/>
          <w:rFonts w:ascii="方正黑体_GBK" w:hAnsi="方正黑体_GBK" w:eastAsia="方正黑体_GBK" w:cs="方正黑体_GBK"/>
          <w:sz w:val="32"/>
          <w:szCs w:val="32"/>
          <w:shd w:val="clear" w:color="auto" w:fill="FFFFFF"/>
        </w:rPr>
        <w:t>一、单位基本情况</w:t>
      </w:r>
    </w:p>
    <w:p>
      <w:pPr>
        <w:pStyle w:val="6"/>
        <w:shd w:val="clear" w:color="auto" w:fill="FFFFFF"/>
        <w:spacing w:beforeAutospacing="0" w:afterAutospacing="0" w:line="594" w:lineRule="exact"/>
        <w:ind w:firstLine="420"/>
        <w:rPr>
          <w:rFonts w:hint="default" w:ascii="方正楷体_GBK" w:hAnsi="方正楷体_GBK" w:eastAsia="方正楷体_GBK" w:cs="方正楷体_GBK"/>
          <w:sz w:val="32"/>
          <w:szCs w:val="32"/>
        </w:rPr>
      </w:pPr>
      <w:r>
        <w:rPr>
          <w:rStyle w:val="10"/>
          <w:rFonts w:ascii="方正楷体_GBK" w:hAnsi="方正楷体_GBK" w:eastAsia="方正楷体_GBK" w:cs="方正楷体_GBK"/>
          <w:sz w:val="32"/>
          <w:szCs w:val="32"/>
          <w:shd w:val="clear" w:color="auto" w:fill="FFFFFF"/>
        </w:rPr>
        <w:t>（一）职能职责</w:t>
      </w:r>
    </w:p>
    <w:p>
      <w:pPr>
        <w:spacing w:line="594" w:lineRule="exact"/>
        <w:ind w:firstLine="640" w:firstLineChars="200"/>
        <w:rPr>
          <w:rFonts w:hint="default" w:ascii="方正仿宋_GBK" w:hAnsi="Calibri" w:eastAsia="方正仿宋_GBK"/>
          <w:color w:val="000000"/>
          <w:kern w:val="2"/>
          <w:sz w:val="32"/>
          <w:szCs w:val="32"/>
        </w:rPr>
      </w:pPr>
      <w:r>
        <w:rPr>
          <w:rFonts w:ascii="方正仿宋_GBK" w:hAnsi="Calibri" w:eastAsia="方正仿宋_GBK"/>
          <w:color w:val="000000"/>
          <w:kern w:val="2"/>
          <w:sz w:val="32"/>
          <w:szCs w:val="32"/>
        </w:rPr>
        <w:t>中国共产党垫江县纪律检查委员会(简称县纪委），与垫江县监察委员会（简称县监委）合署办公。</w:t>
      </w:r>
    </w:p>
    <w:p>
      <w:pPr>
        <w:spacing w:line="594" w:lineRule="exact"/>
        <w:ind w:firstLine="640" w:firstLineChars="200"/>
        <w:rPr>
          <w:rFonts w:hint="default" w:ascii="方正仿宋_GBK" w:hAnsi="Calibri" w:eastAsia="方正仿宋_GBK"/>
          <w:color w:val="000000"/>
          <w:kern w:val="2"/>
          <w:sz w:val="32"/>
          <w:szCs w:val="32"/>
        </w:rPr>
      </w:pPr>
      <w:r>
        <w:rPr>
          <w:rFonts w:ascii="方正仿宋_GBK" w:hAnsi="Calibri" w:eastAsia="方正仿宋_GBK"/>
          <w:color w:val="000000"/>
          <w:kern w:val="2"/>
          <w:sz w:val="32"/>
          <w:szCs w:val="32"/>
        </w:rPr>
        <w:t>县纪委主要职责：维护党的章程和其他党内法规，检查党的路线、方针、政策和决议的执行情况，协助县委推进全面从严治党、加强党风建设和组织协调反腐败工作；履行监督、执纪、问责职责；对党员进行遵守纪律的教育，作出关于维护党纪的决定；对党的组织和党员领导干部履行职责、行使权力进行监督，受理处置党员群众检举举报，开展提醒谈话、约谈函询；检查和处理党的组织和党员违反党的章程和其他党内法规的比较重要或复杂的案件，决定或取消对这些案件中的党员的处分；进行问责或提出责任追究的建议；受理党员的控告和申诉；保障党员的权利；履行其他法律法规赋予的其他职责。</w:t>
      </w:r>
    </w:p>
    <w:p>
      <w:pPr>
        <w:spacing w:line="594" w:lineRule="exact"/>
        <w:ind w:firstLine="640" w:firstLineChars="200"/>
        <w:rPr>
          <w:rFonts w:hint="default" w:ascii="方正仿宋_GBK" w:hAnsi="Calibri" w:eastAsia="方正仿宋_GBK"/>
          <w:color w:val="000000"/>
          <w:kern w:val="2"/>
          <w:sz w:val="32"/>
          <w:szCs w:val="32"/>
        </w:rPr>
      </w:pPr>
      <w:r>
        <w:rPr>
          <w:rFonts w:ascii="方正仿宋_GBK" w:hAnsi="Calibri" w:eastAsia="方正仿宋_GBK"/>
          <w:color w:val="000000"/>
          <w:kern w:val="2"/>
          <w:sz w:val="32"/>
          <w:szCs w:val="32"/>
        </w:rPr>
        <w:t>县监委主要职责：维护宪法和法律法规权威；依法监察公职人员行使公权力情况，调查职务违法和职务犯罪；开展廉政建设和反腐败工作；履行监督、调查、处置职责；对公职人员开展廉政教育，对其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检察机关依法提起公诉；对在行使职权中存在的问题提出监察建议；履行其他法律法规赋予的其他职责。</w:t>
      </w:r>
    </w:p>
    <w:p>
      <w:pPr>
        <w:spacing w:line="594" w:lineRule="exact"/>
        <w:ind w:firstLine="640" w:firstLineChars="200"/>
        <w:rPr>
          <w:rFonts w:hint="default" w:ascii="方正仿宋_GBK" w:hAnsi="Calibri" w:eastAsia="方正仿宋_GBK"/>
          <w:color w:val="000000"/>
          <w:kern w:val="2"/>
          <w:sz w:val="32"/>
          <w:szCs w:val="32"/>
        </w:rPr>
      </w:pPr>
      <w:r>
        <w:rPr>
          <w:rFonts w:ascii="方正仿宋_GBK" w:hAnsi="Calibri" w:eastAsia="方正仿宋_GBK"/>
          <w:color w:val="000000"/>
          <w:kern w:val="2"/>
          <w:sz w:val="32"/>
          <w:szCs w:val="32"/>
        </w:rPr>
        <w:t>县纪委监委派驻纪检监察组主要职责：履行对驻在部门党风廉政建设的监督责任，负责本派驻机构干部日常管理和监督，发现重要问题向县纪委及时报告；经县纪委批准，初步核实反映驻在部门领导班子及县管干部的问题线索；参与调查驻在部门领导班子及县管党员干部违反党纪的案件；承办县纪委交办的其他事项。</w:t>
      </w:r>
    </w:p>
    <w:p>
      <w:pPr>
        <w:spacing w:line="594" w:lineRule="exact"/>
        <w:ind w:firstLine="640" w:firstLineChars="200"/>
        <w:rPr>
          <w:rFonts w:hint="default" w:ascii="方正仿宋_GBK" w:hAnsi="Calibri" w:eastAsia="方正仿宋_GBK"/>
          <w:color w:val="000000"/>
          <w:kern w:val="2"/>
          <w:sz w:val="32"/>
          <w:szCs w:val="32"/>
        </w:rPr>
      </w:pPr>
      <w:r>
        <w:rPr>
          <w:rFonts w:ascii="方正仿宋_GBK" w:hAnsi="Calibri" w:eastAsia="方正仿宋_GBK"/>
          <w:color w:val="000000"/>
          <w:kern w:val="2"/>
          <w:sz w:val="32"/>
          <w:szCs w:val="32"/>
        </w:rPr>
        <w:t>县监委派出监察室主要职责：根据县监委授权，按照管理权限依法对公职人员进行监督，提出监察建议；依法对公职人员进行调查、处置。</w:t>
      </w:r>
    </w:p>
    <w:p>
      <w:pPr>
        <w:spacing w:line="594" w:lineRule="exact"/>
        <w:ind w:firstLine="640" w:firstLineChars="200"/>
        <w:rPr>
          <w:rFonts w:hint="default" w:ascii="方正仿宋_GBK" w:hAnsi="Calibri" w:eastAsia="方正仿宋_GBK"/>
          <w:color w:val="000000"/>
          <w:kern w:val="2"/>
          <w:sz w:val="32"/>
          <w:szCs w:val="32"/>
        </w:rPr>
      </w:pPr>
      <w:r>
        <w:rPr>
          <w:rFonts w:ascii="方正仿宋_GBK" w:hAnsi="Calibri" w:eastAsia="方正仿宋_GBK"/>
          <w:color w:val="000000"/>
          <w:kern w:val="2"/>
          <w:sz w:val="32"/>
          <w:szCs w:val="32"/>
        </w:rPr>
        <w:t>县委巡察办主要职责：向市委巡视工作领导小组办公室和县委巡察工作领导小组报告巡察工作情况，传达贯彻市委巡视工作领导小组的决策和部署，办理市委巡视办交办的事项；传达贯彻县委、县委巡察工作领导小组的决策和部署，对县委和县委巡察工作领导小组决定的事项进行督办；统筹、协调、指导巡察组开展工作；承担政策研究、制度建设等工作；会同县纪委、县委组织部等有关机关和部门对巡察工作人员进行培训、考核、监督和管理；为县委巡察组开展工作提供服务保障；办理县委、巡察工作领导小组交办的其他事项。</w:t>
      </w:r>
    </w:p>
    <w:p>
      <w:pPr>
        <w:spacing w:line="594" w:lineRule="exact"/>
        <w:ind w:firstLine="640" w:firstLineChars="200"/>
        <w:rPr>
          <w:rFonts w:hint="default" w:ascii="方正仿宋_GBK" w:hAnsi="Calibri" w:eastAsia="方正仿宋_GBK"/>
          <w:color w:val="000000"/>
          <w:kern w:val="2"/>
          <w:sz w:val="32"/>
          <w:szCs w:val="32"/>
        </w:rPr>
      </w:pPr>
      <w:r>
        <w:rPr>
          <w:rFonts w:ascii="方正仿宋_GBK" w:hAnsi="Calibri" w:eastAsia="方正仿宋_GBK"/>
          <w:color w:val="000000"/>
          <w:kern w:val="2"/>
          <w:sz w:val="32"/>
          <w:szCs w:val="32"/>
        </w:rPr>
        <w:t>县委巡察组主要职责：承担巡察任务，负责发现问题、反映问题、推动问题解决，依纪依法地了解有关情况；按规定向县委、县委巡察工作领导小组报告巡察中发现的重要情况和重大事项；收集整理巡察材料，分析综合情况，形成巡察报告、专题报告、反馈意见等巡察工作材料；审核巡察整改情况报告，督促检查被巡察党组织整改落实、办理移交问题线索的情况、开展巡察移交共性问题整治的情况进行了解和督促；办理县委、县委巡察工作领导小组交办的其他事项。</w:t>
      </w:r>
    </w:p>
    <w:p>
      <w:pPr>
        <w:pStyle w:val="6"/>
        <w:shd w:val="clear" w:color="auto" w:fill="FFFFFF"/>
        <w:spacing w:beforeAutospacing="0" w:afterAutospacing="0" w:line="594" w:lineRule="exact"/>
        <w:ind w:firstLine="420"/>
        <w:rPr>
          <w:rFonts w:hint="default" w:ascii="方正楷体_GBK" w:hAnsi="方正楷体_GBK" w:eastAsia="方正楷体_GBK" w:cs="方正楷体_GBK"/>
          <w:sz w:val="32"/>
          <w:szCs w:val="32"/>
        </w:rPr>
      </w:pPr>
      <w:r>
        <w:rPr>
          <w:rStyle w:val="10"/>
          <w:rFonts w:ascii="方正楷体_GBK" w:hAnsi="方正楷体_GBK" w:eastAsia="方正楷体_GBK" w:cs="方正楷体_GBK"/>
          <w:sz w:val="32"/>
          <w:szCs w:val="32"/>
          <w:shd w:val="clear" w:color="auto" w:fill="FFFFFF"/>
        </w:rPr>
        <w:t>（二）机构设置</w:t>
      </w:r>
    </w:p>
    <w:p>
      <w:pPr>
        <w:spacing w:line="594" w:lineRule="exact"/>
        <w:ind w:firstLine="640" w:firstLineChars="200"/>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县纪委监委机关设18个部室，核定人员编制50名。县纪委监委向县级部门派驻13个纪检监察组，核定行政人员编制54名。县监委采取归口方式向乡镇（街道）派出6个监察室，核定行政人员编制28名。</w:t>
      </w:r>
      <w:bookmarkStart w:id="0" w:name="_GoBack"/>
      <w:bookmarkEnd w:id="0"/>
    </w:p>
    <w:p>
      <w:pPr>
        <w:spacing w:line="594" w:lineRule="exact"/>
        <w:ind w:firstLine="640" w:firstLineChars="200"/>
        <w:rPr>
          <w:rFonts w:hint="default" w:ascii="Times New Roman" w:hAnsi="Times New Roman" w:eastAsia="方正仿宋_GBK"/>
          <w:color w:val="000000"/>
          <w:kern w:val="2"/>
          <w:sz w:val="32"/>
          <w:szCs w:val="32"/>
        </w:rPr>
      </w:pPr>
      <w:r>
        <w:rPr>
          <w:rFonts w:hint="default" w:ascii="Times New Roman" w:hAnsi="Times New Roman" w:eastAsia="方正仿宋_GBK"/>
          <w:color w:val="000000"/>
          <w:kern w:val="2"/>
          <w:sz w:val="32"/>
          <w:szCs w:val="32"/>
        </w:rPr>
        <w:t>设立中共垫江县委巡察工作领导小组办公室和五个巡察组。县委巡察办设2个内设机构（综合业务科、联络督查科），核定县委巡察办行政编制4名、县委巡察组行政编制13名。</w:t>
      </w:r>
    </w:p>
    <w:p>
      <w:pPr>
        <w:pStyle w:val="6"/>
        <w:shd w:val="clear" w:color="auto" w:fill="FFFFFF"/>
        <w:spacing w:before="0" w:beforeAutospacing="0" w:after="0" w:afterAutospacing="0" w:line="594" w:lineRule="exact"/>
        <w:ind w:firstLine="643" w:firstLineChars="200"/>
        <w:rPr>
          <w:rFonts w:hint="default" w:ascii="方正黑体_GBK" w:hAnsi="方正黑体_GBK" w:eastAsia="方正黑体_GBK" w:cs="方正黑体_GBK"/>
          <w:sz w:val="32"/>
          <w:szCs w:val="32"/>
        </w:rPr>
      </w:pPr>
      <w:r>
        <w:rPr>
          <w:rStyle w:val="10"/>
          <w:rFonts w:ascii="方正黑体_GBK" w:hAnsi="方正黑体_GBK" w:eastAsia="方正黑体_GBK" w:cs="方正黑体_GBK"/>
          <w:sz w:val="32"/>
          <w:szCs w:val="32"/>
          <w:shd w:val="clear" w:color="auto" w:fill="FFFFFF"/>
        </w:rPr>
        <w:t>二、单位决算收支情况说明</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pPr>
        <w:pStyle w:val="6"/>
        <w:shd w:val="clear" w:color="auto" w:fill="FFFFFF"/>
        <w:spacing w:beforeAutospacing="0" w:afterAutospacing="0" w:line="594"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2024年度收入总计4395.87万元，支出总计</w:t>
      </w:r>
      <w:r>
        <w:rPr>
          <w:rFonts w:hint="default" w:ascii="Times New Roman" w:hAnsi="Times New Roman" w:eastAsia="方正仿宋_GBK"/>
          <w:sz w:val="32"/>
          <w:szCs w:val="32"/>
        </w:rPr>
        <w:t>4395.87</w:t>
      </w:r>
      <w:r>
        <w:rPr>
          <w:rFonts w:hint="default" w:ascii="Times New Roman" w:hAnsi="Times New Roman" w:eastAsia="方正仿宋_GBK"/>
          <w:sz w:val="32"/>
          <w:szCs w:val="32"/>
          <w:shd w:val="clear" w:color="auto" w:fill="FFFFFF"/>
        </w:rPr>
        <w:t>万元。收、支与2023年度相比，减少107.06万元，下降2.4%，主要原因是2024年项目经费减少。</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2024年度收入合计3995.87万元，与2023年度相比，减少207.06万元，下降4.9%，主要原因是财政拨款收入减少。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3995.87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400.00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4395.87</w:t>
      </w:r>
      <w:r>
        <w:rPr>
          <w:rFonts w:hint="default" w:ascii="Times New Roman" w:hAnsi="Times New Roman" w:eastAsia="方正仿宋_GBK"/>
          <w:sz w:val="32"/>
          <w:szCs w:val="32"/>
          <w:shd w:val="clear" w:color="auto" w:fill="FFFFFF"/>
        </w:rPr>
        <w:t>万元，与2023年度相比，减少107.06万元，下降2.4%，主要原因是2024年项目经费减少。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3986.85</w:t>
      </w:r>
      <w:r>
        <w:rPr>
          <w:rFonts w:ascii="方正仿宋_GBK" w:hAnsi="方正仿宋_GBK" w:eastAsia="方正仿宋_GBK" w:cs="方正仿宋_GBK"/>
          <w:sz w:val="32"/>
          <w:szCs w:val="32"/>
          <w:shd w:val="clear" w:color="auto" w:fill="FFFFFF"/>
        </w:rPr>
        <w:t>万元，占90.7%；项目支出</w:t>
      </w:r>
      <w:r>
        <w:rPr>
          <w:rFonts w:ascii="方正仿宋_GBK" w:hAnsi="方正仿宋_GBK" w:eastAsia="方正仿宋_GBK" w:cs="方正仿宋_GBK"/>
          <w:sz w:val="32"/>
          <w:szCs w:val="32"/>
        </w:rPr>
        <w:t>409.03</w:t>
      </w:r>
      <w:r>
        <w:rPr>
          <w:rFonts w:ascii="方正仿宋_GBK" w:hAnsi="方正仿宋_GBK" w:eastAsia="方正仿宋_GBK" w:cs="方正仿宋_GBK"/>
          <w:sz w:val="32"/>
          <w:szCs w:val="32"/>
          <w:shd w:val="clear" w:color="auto" w:fill="FFFFFF"/>
        </w:rPr>
        <w:t>万元，占9.3%；经营支出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万元，与2023年度相比，无增减，主要原因是为保障纪委本级机关以及留置点正常运转，经费采用足额预算，足额支出。</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2024年度财政拨款收、支总计4395.87万元。与2023年相比，财政拨款收、支总计各减少107.06万元，下降2.4%。主要原因是2024年项目经费减少。</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3995.87</w:t>
      </w:r>
      <w:r>
        <w:rPr>
          <w:rFonts w:hint="default" w:ascii="Times New Roman" w:hAnsi="Times New Roman" w:eastAsia="方正仿宋_GBK"/>
          <w:sz w:val="32"/>
          <w:szCs w:val="32"/>
          <w:shd w:val="clear" w:color="auto" w:fill="FFFFFF"/>
        </w:rPr>
        <w:t>万元，与2023年度相比，减少207.06万元，下降4.9%。主要原因是财政拨款收入减少。较年初预算数增加181.07万元，增长4.8%。主要原因是机关人员增加导致公用经费增加和人员工资、人员考核奖等增加。此外，年初财政拨款结转和结余</w:t>
      </w:r>
      <w:r>
        <w:rPr>
          <w:rFonts w:hint="default" w:ascii="Times New Roman" w:hAnsi="Times New Roman" w:eastAsia="方正仿宋_GBK"/>
          <w:sz w:val="32"/>
          <w:szCs w:val="32"/>
        </w:rPr>
        <w:t>400.00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4395.87</w:t>
      </w:r>
      <w:r>
        <w:rPr>
          <w:rFonts w:hint="default" w:ascii="Times New Roman" w:hAnsi="Times New Roman" w:eastAsia="方正仿宋_GBK"/>
          <w:sz w:val="32"/>
          <w:szCs w:val="32"/>
          <w:shd w:val="clear" w:color="auto" w:fill="FFFFFF"/>
        </w:rPr>
        <w:t>万元，与2023年度相比，减少107.06万元，下降2.4%。主要原因是2024年项目经费减少。较年初预算数增加581.07万元，增长15.2%。主要原因是机关人员增加导致公用经费增加和人员工资、人员考核奖等增加；留置点全年运转经费增加。</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万元，与2023年度相比，无增减，主要原因是为保障纪委本级机关以及留置点正常运转，经费采用足额预算，足额支出。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highlight w:val="cyan"/>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2024年度一般公共预算财政拨款支出主要用于以下几个方面：</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3482.66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79.2%</w:t>
      </w:r>
      <w:r>
        <w:rPr>
          <w:rFonts w:ascii="方正仿宋_GBK" w:hAnsi="方正仿宋_GBK" w:eastAsia="方正仿宋_GBK" w:cs="方正仿宋_GBK"/>
          <w:sz w:val="32"/>
          <w:szCs w:val="32"/>
          <w:shd w:val="clear" w:color="auto" w:fill="FFFFFF"/>
        </w:rPr>
        <w:t>，较年初预算数增加517.46万元，增长17.5%，</w:t>
      </w:r>
      <w:r>
        <w:rPr>
          <w:rFonts w:hint="default" w:ascii="Times New Roman" w:hAnsi="Times New Roman" w:eastAsia="方正仿宋_GBK"/>
          <w:sz w:val="32"/>
          <w:szCs w:val="32"/>
          <w:shd w:val="clear" w:color="auto" w:fill="FFFFFF"/>
        </w:rPr>
        <w:t>主要原因是机关人员增加导致公用经费和人员工资、人员考核奖等增加。</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1.81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，较年初预算数减少6.91万元，下降79.2%，</w:t>
      </w:r>
      <w:r>
        <w:rPr>
          <w:rFonts w:hint="default" w:ascii="Times New Roman" w:hAnsi="Times New Roman" w:eastAsia="方正仿宋_GBK"/>
          <w:sz w:val="32"/>
          <w:szCs w:val="32"/>
          <w:shd w:val="clear" w:color="auto" w:fill="FFFFFF"/>
        </w:rPr>
        <w:t>主要原因是</w:t>
      </w:r>
      <w:r>
        <w:rPr>
          <w:rStyle w:val="10"/>
          <w:rFonts w:hint="default" w:ascii="Times New Roman" w:hAnsi="Times New Roman" w:eastAsia="方正仿宋_GBK"/>
          <w:b w:val="0"/>
          <w:bCs/>
          <w:sz w:val="32"/>
          <w:szCs w:val="32"/>
          <w:shd w:val="clear" w:color="auto" w:fill="FFFFFF"/>
        </w:rPr>
        <w:t>节约开支，减少不必要培训</w:t>
      </w:r>
      <w:r>
        <w:rPr>
          <w:rFonts w:hint="default" w:ascii="Times New Roman" w:hAnsi="Times New Roman" w:eastAsia="方正仿宋_GBK"/>
          <w:sz w:val="32"/>
          <w:szCs w:val="32"/>
          <w:shd w:val="clear" w:color="auto" w:fill="FFFFFF"/>
        </w:rPr>
        <w:t>。</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515.90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11.7%</w:t>
      </w:r>
      <w:r>
        <w:rPr>
          <w:rFonts w:ascii="方正仿宋_GBK" w:hAnsi="方正仿宋_GBK" w:eastAsia="方正仿宋_GBK" w:cs="方正仿宋_GBK"/>
          <w:sz w:val="32"/>
          <w:szCs w:val="32"/>
          <w:shd w:val="clear" w:color="auto" w:fill="FFFFFF"/>
        </w:rPr>
        <w:t>，较年初预算数增加66.23万元，增长14.7%，</w:t>
      </w:r>
      <w:r>
        <w:rPr>
          <w:rFonts w:hint="default" w:ascii="Times New Roman" w:hAnsi="Times New Roman" w:eastAsia="方正仿宋_GBK"/>
          <w:sz w:val="32"/>
          <w:szCs w:val="32"/>
          <w:shd w:val="clear" w:color="auto" w:fill="FFFFFF"/>
        </w:rPr>
        <w:t>主要原因是机关人员增加和</w:t>
      </w:r>
      <w:r>
        <w:rPr>
          <w:rFonts w:hint="default" w:ascii="Times New Roman" w:hAnsi="Times New Roman" w:eastAsia="方正仿宋_GBK"/>
          <w:sz w:val="32"/>
          <w:szCs w:val="32"/>
        </w:rPr>
        <w:t>社会保险基数增加</w:t>
      </w:r>
      <w:r>
        <w:rPr>
          <w:rFonts w:hint="default" w:ascii="Times New Roman" w:hAnsi="Times New Roman" w:eastAsia="方正仿宋_GBK"/>
          <w:sz w:val="32"/>
          <w:szCs w:val="32"/>
          <w:shd w:val="clear" w:color="auto" w:fill="FFFFFF"/>
        </w:rPr>
        <w:t>。</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163.15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w:t>
      </w:r>
      <w:r>
        <w:rPr>
          <w:rFonts w:ascii="方正仿宋_GBK" w:hAnsi="方正仿宋_GBK" w:eastAsia="方正仿宋_GBK" w:cs="方正仿宋_GBK"/>
          <w:sz w:val="32"/>
          <w:szCs w:val="32"/>
          <w:shd w:val="clear" w:color="auto" w:fill="FFFFFF"/>
        </w:rPr>
        <w:t>，较年初预算数减少3.96万元，下降2.4%，</w:t>
      </w:r>
      <w:r>
        <w:rPr>
          <w:rFonts w:hint="default" w:ascii="Times New Roman" w:hAnsi="Times New Roman" w:eastAsia="方正仿宋_GBK"/>
          <w:sz w:val="32"/>
          <w:szCs w:val="32"/>
          <w:shd w:val="clear" w:color="auto" w:fill="FFFFFF"/>
        </w:rPr>
        <w:t>主要原因是规范职工医疗保险基数。</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rPr>
        <w:t>住房保障支出232.35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w:t>
      </w:r>
      <w:r>
        <w:rPr>
          <w:rFonts w:ascii="方正仿宋_GBK" w:hAnsi="方正仿宋_GBK" w:eastAsia="方正仿宋_GBK" w:cs="方正仿宋_GBK"/>
          <w:sz w:val="32"/>
          <w:szCs w:val="32"/>
          <w:shd w:val="clear" w:color="auto" w:fill="FFFFFF"/>
        </w:rPr>
        <w:t>，较年初预算数增加8.24万元，增长3.7%，</w:t>
      </w:r>
      <w:r>
        <w:rPr>
          <w:rFonts w:hint="default" w:ascii="Times New Roman" w:hAnsi="Times New Roman" w:eastAsia="方正仿宋_GBK"/>
          <w:sz w:val="32"/>
          <w:szCs w:val="32"/>
          <w:shd w:val="clear" w:color="auto" w:fill="FFFFFF"/>
        </w:rPr>
        <w:t>主要原因是机关人员增加和</w:t>
      </w:r>
      <w:r>
        <w:rPr>
          <w:rFonts w:hint="default" w:ascii="Times New Roman" w:hAnsi="Times New Roman" w:eastAsia="方正仿宋_GBK"/>
          <w:sz w:val="32"/>
          <w:szCs w:val="32"/>
        </w:rPr>
        <w:t>住房公积金基数增加。</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3986.85</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3179.96</w:t>
      </w:r>
      <w:r>
        <w:rPr>
          <w:rFonts w:hint="default" w:ascii="Times New Roman" w:hAnsi="Times New Roman" w:eastAsia="方正仿宋_GBK"/>
          <w:sz w:val="32"/>
          <w:szCs w:val="32"/>
          <w:shd w:val="clear" w:color="auto" w:fill="FFFFFF"/>
        </w:rPr>
        <w:t>万元，与2023年度相比，增加32.90万元，增长1.1%，主要原因是机关人员增加导致公用经费和人员工资、人员考核奖等增加。人员经费用途主要包括基本工资、津贴补贴、奖金、社会保障缴费、住房公积金、其他工资福利等。公用经费</w:t>
      </w:r>
      <w:r>
        <w:rPr>
          <w:rFonts w:hint="default" w:ascii="Times New Roman" w:hAnsi="Times New Roman" w:eastAsia="方正仿宋_GBK"/>
          <w:sz w:val="32"/>
          <w:szCs w:val="32"/>
        </w:rPr>
        <w:t>806.88</w:t>
      </w:r>
      <w:r>
        <w:rPr>
          <w:rFonts w:hint="default" w:ascii="Times New Roman" w:hAnsi="Times New Roman" w:eastAsia="方正仿宋_GBK"/>
          <w:sz w:val="32"/>
          <w:szCs w:val="32"/>
          <w:shd w:val="clear" w:color="auto" w:fill="FFFFFF"/>
        </w:rPr>
        <w:t>万元，与2023年度相比，增加27.06万元，增长3.5%，主要原因是</w:t>
      </w:r>
      <w:r>
        <w:rPr>
          <w:rFonts w:hint="default" w:ascii="Times New Roman" w:hAnsi="Times New Roman" w:eastAsia="方正仿宋_GBK"/>
          <w:sz w:val="32"/>
          <w:szCs w:val="32"/>
        </w:rPr>
        <w:t>人员增加导致公用经费增加。</w:t>
      </w:r>
      <w:r>
        <w:rPr>
          <w:rFonts w:hint="default" w:ascii="Times New Roman" w:hAnsi="Times New Roman" w:eastAsia="方正仿宋_GBK"/>
          <w:sz w:val="32"/>
          <w:szCs w:val="32"/>
          <w:shd w:val="clear" w:color="auto" w:fill="FFFFFF"/>
        </w:rPr>
        <w:t>公用经费用途主要包括</w:t>
      </w:r>
      <w:r>
        <w:rPr>
          <w:rFonts w:hint="default" w:ascii="Times New Roman" w:hAnsi="Times New Roman" w:eastAsia="方正仿宋_GBK"/>
          <w:sz w:val="32"/>
          <w:szCs w:val="32"/>
        </w:rPr>
        <w:t>办公费、印刷费、差旅费、邮电费、差旅费、工会经费、公车运行</w:t>
      </w:r>
      <w:r>
        <w:rPr>
          <w:rFonts w:hint="default" w:ascii="Times New Roman" w:hAnsi="Times New Roman" w:eastAsia="方正仿宋_GBK"/>
          <w:sz w:val="32"/>
          <w:szCs w:val="32"/>
          <w:shd w:val="clear" w:color="auto" w:fill="FFFFFF"/>
        </w:rPr>
        <w:t>维护费等费用。</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4" w:lineRule="exact"/>
        <w:ind w:firstLine="643" w:firstLineChars="200"/>
        <w:rPr>
          <w:rStyle w:val="10"/>
          <w:rFonts w:hint="default" w:ascii="方正黑体_GBK" w:hAnsi="方正黑体_GBK" w:eastAsia="方正黑体_GBK" w:cs="方正黑体_GBK"/>
          <w:sz w:val="32"/>
          <w:szCs w:val="32"/>
          <w:shd w:val="clear" w:color="auto" w:fill="FFFFFF"/>
        </w:rPr>
      </w:pPr>
      <w:r>
        <w:rPr>
          <w:rStyle w:val="10"/>
          <w:rFonts w:ascii="方正黑体_GBK" w:hAnsi="方正黑体_GBK" w:eastAsia="方正黑体_GBK" w:cs="方正黑体_GBK"/>
          <w:sz w:val="32"/>
          <w:szCs w:val="32"/>
          <w:shd w:val="clear" w:color="auto" w:fill="FFFFFF"/>
        </w:rPr>
        <w:t>三、财政拨款</w:t>
      </w:r>
      <w:r>
        <w:rPr>
          <w:rStyle w:val="10"/>
          <w:rFonts w:hint="eastAsia" w:ascii="方正黑体_GBK" w:hAnsi="方正黑体_GBK" w:eastAsia="方正黑体_GBK" w:cs="方正黑体_GBK"/>
          <w:sz w:val="32"/>
          <w:szCs w:val="32"/>
          <w:shd w:val="clear" w:color="auto" w:fill="FFFFFF"/>
          <w:lang w:eastAsia="zh-CN"/>
        </w:rPr>
        <w:t>三公</w:t>
      </w:r>
      <w:r>
        <w:rPr>
          <w:rStyle w:val="10"/>
          <w:rFonts w:ascii="方正黑体_GBK" w:hAnsi="方正黑体_GBK" w:eastAsia="方正黑体_GBK" w:cs="方正黑体_GBK"/>
          <w:sz w:val="32"/>
          <w:szCs w:val="32"/>
          <w:shd w:val="clear" w:color="auto" w:fill="FFFFFF"/>
        </w:rPr>
        <w:t>经费情况说明</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w:t>
      </w:r>
      <w:r>
        <w:rPr>
          <w:rFonts w:hint="eastAsia" w:ascii="方正楷体_GBK" w:hAnsi="方正楷体_GBK" w:eastAsia="方正楷体_GBK" w:cs="方正楷体_GBK"/>
          <w:b/>
          <w:bCs/>
          <w:sz w:val="32"/>
          <w:szCs w:val="32"/>
          <w:shd w:val="clear" w:color="auto" w:fill="FFFFFF"/>
          <w:lang w:eastAsia="zh-CN"/>
        </w:rPr>
        <w:t>三公</w:t>
      </w:r>
      <w:r>
        <w:rPr>
          <w:rFonts w:hint="eastAsia" w:ascii="方正楷体_GBK" w:hAnsi="方正楷体_GBK" w:eastAsia="方正楷体_GBK" w:cs="方正楷体_GBK"/>
          <w:b/>
          <w:bCs/>
          <w:sz w:val="32"/>
          <w:szCs w:val="32"/>
          <w:shd w:val="clear" w:color="auto" w:fill="FFFFFF"/>
        </w:rPr>
        <w:t>经费支出总体情况说明</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hint="eastAsia" w:ascii="Times New Roman" w:hAnsi="Times New Roman" w:eastAsia="方正仿宋_GBK"/>
          <w:sz w:val="32"/>
          <w:szCs w:val="32"/>
          <w:shd w:val="clear" w:color="auto" w:fill="FFFFFF"/>
          <w:lang w:eastAsia="zh-CN"/>
        </w:rPr>
        <w:t>三公</w:t>
      </w:r>
      <w:r>
        <w:rPr>
          <w:rFonts w:hint="default" w:ascii="Times New Roman" w:hAnsi="Times New Roman" w:eastAsia="方正仿宋_GBK"/>
          <w:sz w:val="32"/>
          <w:szCs w:val="32"/>
          <w:shd w:val="clear" w:color="auto" w:fill="FFFFFF"/>
        </w:rPr>
        <w:t>经费支出共计</w:t>
      </w:r>
      <w:r>
        <w:rPr>
          <w:rFonts w:hint="default" w:ascii="Times New Roman" w:hAnsi="Times New Roman" w:eastAsia="方正仿宋_GBK"/>
          <w:sz w:val="32"/>
          <w:szCs w:val="32"/>
        </w:rPr>
        <w:t>79.28</w:t>
      </w:r>
      <w:r>
        <w:rPr>
          <w:rFonts w:hint="default" w:ascii="Times New Roman" w:hAnsi="Times New Roman" w:eastAsia="方正仿宋_GBK"/>
          <w:sz w:val="32"/>
          <w:szCs w:val="32"/>
          <w:shd w:val="clear" w:color="auto" w:fill="FFFFFF"/>
        </w:rPr>
        <w:t>万元，较年初预算数增加69.28万元，增长692.8%，主要原因是</w:t>
      </w:r>
      <w:r>
        <w:rPr>
          <w:rFonts w:hint="default" w:ascii="Times New Roman" w:hAnsi="Times New Roman" w:eastAsia="方正仿宋_GBK"/>
          <w:sz w:val="32"/>
          <w:szCs w:val="32"/>
        </w:rPr>
        <w:t>本年度执纪审查力度增大，留置案件数增加，案件外查使用公务用车费用大幅增加。</w:t>
      </w:r>
      <w:r>
        <w:rPr>
          <w:rFonts w:hint="default" w:ascii="Times New Roman" w:hAnsi="Times New Roman" w:eastAsia="方正仿宋_GBK"/>
          <w:sz w:val="32"/>
          <w:szCs w:val="32"/>
          <w:shd w:val="clear" w:color="auto" w:fill="FFFFFF"/>
        </w:rPr>
        <w:t>较上年支出数增加25.06万元，增长46.2%，主要原因是</w:t>
      </w:r>
      <w:r>
        <w:rPr>
          <w:rFonts w:hint="default" w:ascii="Times New Roman" w:hAnsi="Times New Roman" w:eastAsia="方正仿宋_GBK"/>
          <w:sz w:val="32"/>
          <w:szCs w:val="32"/>
        </w:rPr>
        <w:t>本年度执纪审查力度增大，留置案件数增加，案件外查使用公务用车费用大幅增加。</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w:t>
      </w:r>
      <w:r>
        <w:rPr>
          <w:rFonts w:hint="eastAsia" w:ascii="方正楷体_GBK" w:hAnsi="方正楷体_GBK" w:eastAsia="方正楷体_GBK" w:cs="方正楷体_GBK"/>
          <w:b/>
          <w:bCs/>
          <w:sz w:val="32"/>
          <w:szCs w:val="32"/>
          <w:shd w:val="clear" w:color="auto" w:fill="FFFFFF"/>
          <w:lang w:eastAsia="zh-CN"/>
        </w:rPr>
        <w:t>三公</w:t>
      </w:r>
      <w:r>
        <w:rPr>
          <w:rFonts w:hint="eastAsia" w:ascii="方正楷体_GBK" w:hAnsi="方正楷体_GBK" w:eastAsia="方正楷体_GBK" w:cs="方正楷体_GBK"/>
          <w:b/>
          <w:bCs/>
          <w:sz w:val="32"/>
          <w:szCs w:val="32"/>
          <w:shd w:val="clear" w:color="auto" w:fill="FFFFFF"/>
        </w:rPr>
        <w:t>经费分项支出情况</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购置费24.98万元，主要用于购买一辆执法执勤用车。费用支出较年初预算数增加24.98万元，增长100.0%，主要原因是年初未纳入预算。较上年支出数增加24.98万元，增长100.0%，主要原因是2023年度无公务车购置开支。</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运行维护费46.39万元，主要用于机要文件交换、市内因公出行、审查调查、执纪监督检查等工作所需车辆的燃料费、维修费、过桥过路费、保险费等。费用支出较年初预算数增加46.39万元，增长100.0%，主要原因是本年度执纪审查力度增大，留置案件数增加，案件外查使用公务用车频次增加，导致公务用车维修维护费、油费、过路费等大幅增加。较上年支出数减少1.65万元，下降3.4%，主要原因是严格落实县委县政府过紧日子要求，节约开支。</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接待费7.90万元，主要用于接待市内其他纪检监察单位到我单位学习调研执纪监督工作和到我县办理审查调查相关案件，接受相关部门检查指导工作发生的接待支出。费用支出较年初预算数减少2.10万元，下降21.0%，主要原因是严格按照公务接待文件规定，减少不必要接待开支和降低接待标准。较上年支出数增加1.72万元，增长27.8%，主要原因是本年度执纪审查力度增大，留置案件数增加，导致接待费用增加。</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w:t>
      </w:r>
      <w:r>
        <w:rPr>
          <w:rFonts w:hint="eastAsia" w:ascii="方正楷体_GBK" w:hAnsi="方正楷体_GBK" w:eastAsia="方正楷体_GBK" w:cs="方正楷体_GBK"/>
          <w:b/>
          <w:bCs/>
          <w:sz w:val="32"/>
          <w:szCs w:val="32"/>
          <w:shd w:val="clear" w:color="auto" w:fill="FFFFFF"/>
          <w:lang w:eastAsia="zh-CN"/>
        </w:rPr>
        <w:t>三公</w:t>
      </w:r>
      <w:r>
        <w:rPr>
          <w:rFonts w:hint="eastAsia" w:ascii="方正楷体_GBK" w:hAnsi="方正楷体_GBK" w:eastAsia="方正楷体_GBK" w:cs="方正楷体_GBK"/>
          <w:b/>
          <w:bCs/>
          <w:sz w:val="32"/>
          <w:szCs w:val="32"/>
          <w:shd w:val="clear" w:color="auto" w:fill="FFFFFF"/>
        </w:rPr>
        <w:t>经费实物量情况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10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104</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456</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人均接待费</w:t>
      </w:r>
      <w:r>
        <w:rPr>
          <w:rFonts w:hint="default" w:ascii="Times New Roman" w:hAnsi="Times New Roman" w:eastAsia="方正仿宋_GBK"/>
          <w:sz w:val="32"/>
          <w:szCs w:val="32"/>
        </w:rPr>
        <w:t>173.34</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24.98</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4.64</w:t>
      </w:r>
      <w:r>
        <w:rPr>
          <w:rFonts w:hint="default" w:ascii="Times New Roman" w:hAnsi="Times New Roman" w:eastAsia="方正仿宋_GBK"/>
          <w:sz w:val="32"/>
          <w:szCs w:val="32"/>
          <w:shd w:val="clear" w:color="auto" w:fill="FFFFFF"/>
        </w:rPr>
        <w:t>万元。</w:t>
      </w:r>
    </w:p>
    <w:p>
      <w:pPr>
        <w:pStyle w:val="6"/>
        <w:shd w:val="clear" w:color="auto" w:fill="FFFFFF"/>
        <w:spacing w:beforeAutospacing="0" w:afterAutospacing="0" w:line="594" w:lineRule="exact"/>
        <w:ind w:firstLine="643" w:firstLineChars="200"/>
        <w:rPr>
          <w:rStyle w:val="10"/>
          <w:rFonts w:hint="default" w:ascii="方正黑体_GBK" w:hAnsi="方正黑体_GBK" w:eastAsia="方正黑体_GBK" w:cs="方正黑体_GBK"/>
          <w:sz w:val="32"/>
          <w:szCs w:val="32"/>
          <w:shd w:val="clear" w:color="auto" w:fill="FFFFFF"/>
        </w:rPr>
      </w:pPr>
      <w:r>
        <w:rPr>
          <w:rStyle w:val="10"/>
          <w:rFonts w:ascii="方正黑体_GBK" w:hAnsi="方正黑体_GBK" w:eastAsia="方正黑体_GBK" w:cs="方正黑体_GBK"/>
          <w:sz w:val="32"/>
          <w:szCs w:val="32"/>
          <w:shd w:val="clear" w:color="auto" w:fill="FFFFFF"/>
        </w:rPr>
        <w:t>四、其他需要说明的事项</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  （一）财政拨款会议费和培训费情况说明</w:t>
      </w:r>
    </w:p>
    <w:p>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1.21</w:t>
      </w:r>
      <w:r>
        <w:rPr>
          <w:rFonts w:hint="default" w:ascii="Times New Roman" w:hAnsi="Times New Roman" w:eastAsia="方正仿宋_GBK"/>
          <w:sz w:val="32"/>
          <w:szCs w:val="32"/>
          <w:shd w:val="clear" w:color="auto" w:fill="FFFFFF"/>
        </w:rPr>
        <w:t>万元，与2023年度相比，减少0.49万元，下降28.8%，主要原因是严格落实县委县政府过紧日子要求，压缩会议费开支。本年度培训费支出</w:t>
      </w:r>
      <w:r>
        <w:rPr>
          <w:rFonts w:hint="default" w:ascii="Times New Roman" w:hAnsi="Times New Roman" w:eastAsia="方正仿宋_GBK"/>
          <w:sz w:val="32"/>
          <w:szCs w:val="32"/>
        </w:rPr>
        <w:t>10.04</w:t>
      </w:r>
      <w:r>
        <w:rPr>
          <w:rFonts w:hint="default" w:ascii="Times New Roman" w:hAnsi="Times New Roman" w:eastAsia="方正仿宋_GBK"/>
          <w:sz w:val="32"/>
          <w:szCs w:val="32"/>
          <w:shd w:val="clear" w:color="auto" w:fill="FFFFFF"/>
        </w:rPr>
        <w:t>万元，与2023年度相比，减少36.67万元，下降78.5%，主要原因是严格落实县委县政府过紧日子要求，压缩培训费开支。</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w:t>
      </w:r>
      <w:r>
        <w:rPr>
          <w:rFonts w:hint="default" w:ascii="Times New Roman" w:hAnsi="Times New Roman" w:eastAsia="方正仿宋_GBK"/>
          <w:sz w:val="32"/>
          <w:szCs w:val="32"/>
          <w:shd w:val="clear" w:color="auto" w:fill="FFFFFF"/>
        </w:rPr>
        <w:t>度本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机关运行经费支出806.88万元，机关运行经费主要用于开支</w:t>
      </w:r>
      <w:r>
        <w:rPr>
          <w:rFonts w:ascii="Times New Roman" w:hAnsi="Times New Roman" w:eastAsia="方正仿宋_GBK"/>
          <w:sz w:val="32"/>
          <w:szCs w:val="32"/>
          <w:shd w:val="clear" w:color="auto" w:fill="FFFFFF"/>
        </w:rPr>
        <w:t>办公费、印刷费、差旅费、邮电费、工会经费、公车运行维护费</w:t>
      </w:r>
      <w:r>
        <w:rPr>
          <w:rFonts w:hint="default" w:ascii="Times New Roman" w:hAnsi="Times New Roman" w:eastAsia="方正仿宋_GBK"/>
          <w:sz w:val="32"/>
          <w:szCs w:val="32"/>
          <w:shd w:val="clear" w:color="auto" w:fill="FFFFFF"/>
        </w:rPr>
        <w:t>。机关运行经费较上年支出数增加27.06万元，增长3.5%，主要原因是</w:t>
      </w:r>
      <w:r>
        <w:rPr>
          <w:rFonts w:ascii="Times New Roman" w:hAnsi="Times New Roman" w:eastAsia="方正仿宋_GBK"/>
          <w:sz w:val="32"/>
          <w:szCs w:val="32"/>
          <w:shd w:val="clear" w:color="auto" w:fill="FFFFFF"/>
        </w:rPr>
        <w:t>人员增加导致公用经费增加</w:t>
      </w:r>
      <w:r>
        <w:rPr>
          <w:rFonts w:hint="default" w:ascii="Times New Roman" w:hAnsi="Times New Roman" w:eastAsia="方正仿宋_GBK"/>
          <w:sz w:val="32"/>
          <w:szCs w:val="32"/>
          <w:shd w:val="clear" w:color="auto" w:fill="FFFFFF"/>
        </w:rPr>
        <w:t>。</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截至2024年12月31日，本单位共有车辆10辆，其中，副部（省）级及以上领导用车0辆、主要负责人用车0辆、机要通信用车0辆、应急保障用车0辆、执法执勤用车10辆，特种专业技术用车0辆，离退休干部用车0辆。单价100万元（含）以上专用设备0台（套）。</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本单位政府采购支出总额32.34万元，其中：政府采购货物支出32.34万元、政府采购工程支出0.00万元、政府采购服务支出0.00万元。授予中小企业合同金额7.36万元，占政府采购支出总额的22.75%，其中：授予小微企业合同金额7.36万元，占政府采购支出总额的22.75 %。主要用于采购单位日常办公所需电脑、打印机等。</w:t>
      </w:r>
    </w:p>
    <w:p>
      <w:pPr>
        <w:pStyle w:val="12"/>
        <w:spacing w:before="0" w:beforeAutospacing="0" w:after="0" w:afterAutospacing="0" w:line="594" w:lineRule="exact"/>
        <w:ind w:firstLine="643" w:firstLineChars="200"/>
        <w:rPr>
          <w:rStyle w:val="10"/>
          <w:rFonts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五、2024年度预算绩效管理情况说明</w:t>
      </w:r>
    </w:p>
    <w:p>
      <w:pPr>
        <w:pStyle w:val="12"/>
        <w:autoSpaceDE w:val="0"/>
        <w:spacing w:before="0" w:beforeAutospacing="0" w:after="0" w:afterAutospacing="0" w:line="594" w:lineRule="exact"/>
        <w:ind w:firstLine="643" w:firstLineChars="200"/>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（一）单位自评情况</w:t>
      </w:r>
    </w:p>
    <w:p>
      <w:pPr>
        <w:pStyle w:val="12"/>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根据预算绩效管理要求，我单位对7个二级项目开展了绩效自评，涉及财政拨款项目支出资金409.03万元。</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tbl>
      <w:tblPr>
        <w:tblStyle w:val="7"/>
        <w:tblW w:w="7980" w:type="dxa"/>
        <w:tblInd w:w="93" w:type="dxa"/>
        <w:tblLayout w:type="fixed"/>
        <w:tblCellMar>
          <w:top w:w="0" w:type="dxa"/>
          <w:left w:w="108" w:type="dxa"/>
          <w:bottom w:w="0" w:type="dxa"/>
          <w:right w:w="108" w:type="dxa"/>
        </w:tblCellMar>
      </w:tblPr>
      <w:tblGrid>
        <w:gridCol w:w="1178"/>
        <w:gridCol w:w="821"/>
        <w:gridCol w:w="820"/>
        <w:gridCol w:w="776"/>
        <w:gridCol w:w="619"/>
        <w:gridCol w:w="660"/>
        <w:gridCol w:w="735"/>
        <w:gridCol w:w="532"/>
        <w:gridCol w:w="530"/>
        <w:gridCol w:w="694"/>
        <w:gridCol w:w="615"/>
      </w:tblGrid>
      <w:tr>
        <w:tblPrEx>
          <w:tblCellMar>
            <w:top w:w="0" w:type="dxa"/>
            <w:left w:w="108" w:type="dxa"/>
            <w:bottom w:w="0" w:type="dxa"/>
            <w:right w:w="108" w:type="dxa"/>
          </w:tblCellMar>
        </w:tblPrEx>
        <w:trPr>
          <w:trHeight w:val="913" w:hRule="atLeast"/>
        </w:trPr>
        <w:tc>
          <w:tcPr>
            <w:tcW w:w="79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tblPrEx>
          <w:tblCellMar>
            <w:top w:w="0" w:type="dxa"/>
            <w:left w:w="108" w:type="dxa"/>
            <w:bottom w:w="0" w:type="dxa"/>
            <w:right w:w="108" w:type="dxa"/>
          </w:tblCellMar>
        </w:tblPrEx>
        <w:trPr>
          <w:trHeight w:val="492" w:hRule="atLeast"/>
        </w:trPr>
        <w:tc>
          <w:tcPr>
            <w:tcW w:w="79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1" w:firstLineChars="100"/>
              <w:jc w:val="right"/>
              <w:textAlignment w:val="center"/>
              <w:rPr>
                <w:rFonts w:hint="default" w:cs="宋体"/>
                <w:b/>
                <w:bCs/>
                <w:color w:val="DA3232"/>
                <w:sz w:val="16"/>
                <w:szCs w:val="12"/>
              </w:rPr>
            </w:pPr>
            <w:r>
              <w:rPr>
                <w:rFonts w:cs="宋体"/>
                <w:b/>
                <w:bCs/>
                <w:color w:val="DA3232"/>
                <w:sz w:val="16"/>
                <w:szCs w:val="12"/>
                <w:lang w:bidi="ar"/>
              </w:rPr>
              <w:t>状态：绩效审核已审</w:t>
            </w:r>
          </w:p>
        </w:tc>
      </w:tr>
      <w:tr>
        <w:tblPrEx>
          <w:tblCellMar>
            <w:top w:w="0" w:type="dxa"/>
            <w:left w:w="108" w:type="dxa"/>
            <w:bottom w:w="0" w:type="dxa"/>
            <w:right w:w="108" w:type="dxa"/>
          </w:tblCellMar>
        </w:tblPrEx>
        <w:trPr>
          <w:trHeight w:val="61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项目名称：</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机关事业单位退休人员管理经费</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项目编码：</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50023121T000000024575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自评总分：</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16"/>
                <w:szCs w:val="12"/>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61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项目主管部门：</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106-中国共产党垫江县纪律检查委员会</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财政归口处室：</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004-行财科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部门联系人：</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程笑英</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联系电话：</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16"/>
                <w:szCs w:val="12"/>
              </w:rPr>
            </w:pPr>
            <w:r>
              <w:rPr>
                <w:rFonts w:cs="宋体"/>
                <w:color w:val="000000"/>
                <w:sz w:val="16"/>
                <w:szCs w:val="12"/>
                <w:lang w:bidi="ar"/>
              </w:rPr>
              <w:t>74681010</w:t>
            </w:r>
          </w:p>
        </w:tc>
      </w:tr>
      <w:tr>
        <w:tblPrEx>
          <w:tblCellMar>
            <w:top w:w="0" w:type="dxa"/>
            <w:left w:w="108" w:type="dxa"/>
            <w:bottom w:w="0" w:type="dxa"/>
            <w:right w:w="108" w:type="dxa"/>
          </w:tblCellMar>
        </w:tblPrEx>
        <w:trPr>
          <w:trHeight w:val="589" w:hRule="atLeast"/>
        </w:trPr>
        <w:tc>
          <w:tcPr>
            <w:tcW w:w="79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ascii="微软雅黑" w:hAnsi="微软雅黑" w:eastAsia="微软雅黑" w:cs="微软雅黑"/>
                <w:b/>
                <w:bCs/>
                <w:color w:val="808080"/>
                <w:sz w:val="16"/>
                <w:szCs w:val="12"/>
              </w:rPr>
            </w:pPr>
            <w:r>
              <w:rPr>
                <w:rFonts w:ascii="微软雅黑" w:hAnsi="微软雅黑" w:eastAsia="微软雅黑" w:cs="微软雅黑"/>
                <w:b/>
                <w:bCs/>
                <w:color w:val="808080"/>
                <w:sz w:val="16"/>
                <w:szCs w:val="12"/>
                <w:lang w:bidi="ar"/>
              </w:rPr>
              <w:t>资金情况</w:t>
            </w:r>
          </w:p>
        </w:tc>
      </w:tr>
      <w:tr>
        <w:tblPrEx>
          <w:tblCellMar>
            <w:top w:w="0" w:type="dxa"/>
            <w:left w:w="108" w:type="dxa"/>
            <w:bottom w:w="0" w:type="dxa"/>
            <w:right w:w="108" w:type="dxa"/>
          </w:tblCellMar>
        </w:tblPrEx>
        <w:trPr>
          <w:trHeight w:val="612" w:hRule="atLeast"/>
        </w:trPr>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年初预算数</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全年（调整）预算数</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全年执行数</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执行率</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执行率权重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执行率得分</w:t>
            </w:r>
          </w:p>
        </w:tc>
      </w:tr>
      <w:tr>
        <w:tblPrEx>
          <w:tblCellMar>
            <w:top w:w="0" w:type="dxa"/>
            <w:left w:w="108" w:type="dxa"/>
            <w:bottom w:w="0" w:type="dxa"/>
            <w:right w:w="108" w:type="dxa"/>
          </w:tblCellMar>
        </w:tblPrEx>
        <w:trPr>
          <w:trHeight w:val="492" w:hRule="atLeast"/>
        </w:trPr>
        <w:tc>
          <w:tcPr>
            <w:tcW w:w="1178"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16"/>
                <w:szCs w:val="12"/>
              </w:rPr>
            </w:pPr>
            <w:r>
              <w:rPr>
                <w:rFonts w:cs="宋体"/>
                <w:color w:val="000000"/>
                <w:sz w:val="16"/>
                <w:szCs w:val="12"/>
                <w:lang w:bidi="ar"/>
              </w:rPr>
              <w:t>年度总金额</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820"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16"/>
                <w:szCs w:val="12"/>
              </w:rPr>
            </w:pPr>
          </w:p>
        </w:tc>
        <w:tc>
          <w:tcPr>
            <w:tcW w:w="776" w:type="dxa"/>
            <w:tcBorders>
              <w:top w:val="single" w:color="000000" w:sz="4" w:space="0"/>
              <w:left w:val="nil"/>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 xml:space="preserve">0.00 </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 xml:space="preserve">600.00 </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color w:val="000000"/>
                <w:sz w:val="16"/>
                <w:szCs w:val="12"/>
              </w:rPr>
            </w:pPr>
            <w:r>
              <w:rPr>
                <w:rFonts w:cs="宋体"/>
                <w:color w:val="000000"/>
                <w:sz w:val="16"/>
                <w:szCs w:val="12"/>
                <w:lang w:bidi="ar"/>
              </w:rPr>
              <w:t xml:space="preserve">600.00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492" w:hRule="atLeast"/>
        </w:trPr>
        <w:tc>
          <w:tcPr>
            <w:tcW w:w="1178"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16"/>
                <w:szCs w:val="12"/>
              </w:rPr>
            </w:pPr>
            <w:r>
              <w:rPr>
                <w:rFonts w:cs="宋体"/>
                <w:color w:val="000000"/>
                <w:sz w:val="16"/>
                <w:szCs w:val="12"/>
                <w:lang w:bidi="ar"/>
              </w:rPr>
              <w:t>其中：财政拨款</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820"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16"/>
                <w:szCs w:val="12"/>
              </w:rPr>
            </w:pPr>
          </w:p>
        </w:tc>
        <w:tc>
          <w:tcPr>
            <w:tcW w:w="776" w:type="dxa"/>
            <w:tcBorders>
              <w:top w:val="single" w:color="000000" w:sz="4" w:space="0"/>
              <w:left w:val="nil"/>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 xml:space="preserve">0.00 </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 xml:space="preserve">600.00 </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color w:val="000000"/>
                <w:sz w:val="16"/>
                <w:szCs w:val="12"/>
              </w:rPr>
            </w:pPr>
            <w:r>
              <w:rPr>
                <w:rFonts w:cs="宋体"/>
                <w:color w:val="000000"/>
                <w:sz w:val="16"/>
                <w:szCs w:val="12"/>
                <w:lang w:bidi="ar"/>
              </w:rPr>
              <w:t xml:space="preserve">600.00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 xml:space="preserve">10.00 </w:t>
            </w:r>
          </w:p>
        </w:tc>
      </w:tr>
      <w:tr>
        <w:tblPrEx>
          <w:tblCellMar>
            <w:top w:w="0" w:type="dxa"/>
            <w:left w:w="108" w:type="dxa"/>
            <w:bottom w:w="0" w:type="dxa"/>
            <w:right w:w="108" w:type="dxa"/>
          </w:tblCellMar>
        </w:tblPrEx>
        <w:trPr>
          <w:trHeight w:val="492" w:hRule="atLeast"/>
        </w:trPr>
        <w:tc>
          <w:tcPr>
            <w:tcW w:w="1178"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16"/>
                <w:szCs w:val="12"/>
              </w:rPr>
            </w:pPr>
            <w:r>
              <w:rPr>
                <w:rFonts w:cs="宋体"/>
                <w:color w:val="000000"/>
                <w:sz w:val="16"/>
                <w:szCs w:val="12"/>
                <w:lang w:bidi="ar"/>
              </w:rPr>
              <w:t>一般公共预算</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820"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16"/>
                <w:szCs w:val="12"/>
              </w:rPr>
            </w:pPr>
          </w:p>
        </w:tc>
        <w:tc>
          <w:tcPr>
            <w:tcW w:w="776" w:type="dxa"/>
            <w:tcBorders>
              <w:top w:val="single" w:color="000000" w:sz="4" w:space="0"/>
              <w:left w:val="nil"/>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 xml:space="preserve">0.00 </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 xml:space="preserve">600.00 </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color w:val="000000"/>
                <w:sz w:val="16"/>
                <w:szCs w:val="12"/>
              </w:rPr>
            </w:pPr>
            <w:r>
              <w:rPr>
                <w:rFonts w:cs="宋体"/>
                <w:color w:val="000000"/>
                <w:sz w:val="16"/>
                <w:szCs w:val="12"/>
                <w:lang w:bidi="ar"/>
              </w:rPr>
              <w:t xml:space="preserve">600.00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589" w:hRule="atLeast"/>
        </w:trPr>
        <w:tc>
          <w:tcPr>
            <w:tcW w:w="79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ascii="微软雅黑" w:hAnsi="微软雅黑" w:eastAsia="微软雅黑" w:cs="微软雅黑"/>
                <w:b/>
                <w:bCs/>
                <w:color w:val="808080"/>
                <w:sz w:val="16"/>
                <w:szCs w:val="12"/>
              </w:rPr>
            </w:pPr>
            <w:r>
              <w:rPr>
                <w:rFonts w:ascii="微软雅黑" w:hAnsi="微软雅黑" w:eastAsia="微软雅黑" w:cs="微软雅黑"/>
                <w:b/>
                <w:bCs/>
                <w:color w:val="808080"/>
                <w:sz w:val="16"/>
                <w:szCs w:val="12"/>
                <w:lang w:bidi="ar"/>
              </w:rPr>
              <w:t>绩效目标</w:t>
            </w:r>
          </w:p>
        </w:tc>
      </w:tr>
      <w:tr>
        <w:tblPrEx>
          <w:tblCellMar>
            <w:top w:w="0" w:type="dxa"/>
            <w:left w:w="108" w:type="dxa"/>
            <w:bottom w:w="0" w:type="dxa"/>
            <w:right w:w="108" w:type="dxa"/>
          </w:tblCellMar>
        </w:tblPrEx>
        <w:trPr>
          <w:trHeight w:val="492" w:hRule="atLeast"/>
        </w:trPr>
        <w:tc>
          <w:tcPr>
            <w:tcW w:w="3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年初绩效目标</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全年（调整）绩效目标</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全年目标实际完成情况</w:t>
            </w:r>
          </w:p>
        </w:tc>
      </w:tr>
      <w:tr>
        <w:tblPrEx>
          <w:tblCellMar>
            <w:top w:w="0" w:type="dxa"/>
            <w:left w:w="108" w:type="dxa"/>
            <w:bottom w:w="0" w:type="dxa"/>
            <w:right w:w="108" w:type="dxa"/>
          </w:tblCellMar>
        </w:tblPrEx>
        <w:trPr>
          <w:trHeight w:val="311" w:hRule="atLeast"/>
        </w:trPr>
        <w:tc>
          <w:tcPr>
            <w:tcW w:w="3595"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16"/>
                <w:szCs w:val="12"/>
              </w:rPr>
            </w:pPr>
            <w:r>
              <w:rPr>
                <w:rFonts w:cs="宋体"/>
                <w:color w:val="000000"/>
                <w:sz w:val="16"/>
                <w:szCs w:val="12"/>
                <w:lang w:bidi="ar"/>
              </w:rPr>
              <w:t>慰问纪委退休人员</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16"/>
                <w:szCs w:val="12"/>
              </w:rPr>
            </w:pPr>
            <w:r>
              <w:rPr>
                <w:rFonts w:cs="宋体"/>
                <w:color w:val="000000"/>
                <w:sz w:val="16"/>
                <w:szCs w:val="12"/>
                <w:lang w:bidi="ar"/>
              </w:rPr>
              <w:t>慰问纪委退休人员</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16"/>
                <w:szCs w:val="12"/>
              </w:rPr>
            </w:pPr>
            <w:r>
              <w:rPr>
                <w:rFonts w:cs="宋体"/>
                <w:color w:val="000000"/>
                <w:sz w:val="16"/>
                <w:szCs w:val="12"/>
                <w:lang w:bidi="ar"/>
              </w:rPr>
              <w:t>慰问14人</w:t>
            </w:r>
          </w:p>
        </w:tc>
      </w:tr>
      <w:tr>
        <w:tblPrEx>
          <w:tblCellMar>
            <w:top w:w="0" w:type="dxa"/>
            <w:left w:w="108" w:type="dxa"/>
            <w:bottom w:w="0" w:type="dxa"/>
            <w:right w:w="108" w:type="dxa"/>
          </w:tblCellMar>
        </w:tblPrEx>
        <w:trPr>
          <w:trHeight w:val="589" w:hRule="atLeast"/>
        </w:trPr>
        <w:tc>
          <w:tcPr>
            <w:tcW w:w="79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ascii="微软雅黑" w:hAnsi="微软雅黑" w:eastAsia="微软雅黑" w:cs="微软雅黑"/>
                <w:b/>
                <w:bCs/>
                <w:color w:val="808080"/>
                <w:sz w:val="16"/>
                <w:szCs w:val="12"/>
              </w:rPr>
            </w:pPr>
            <w:r>
              <w:rPr>
                <w:rFonts w:ascii="微软雅黑" w:hAnsi="微软雅黑" w:eastAsia="微软雅黑" w:cs="微软雅黑"/>
                <w:b/>
                <w:bCs/>
                <w:color w:val="808080"/>
                <w:sz w:val="16"/>
                <w:szCs w:val="12"/>
                <w:lang w:bidi="ar"/>
              </w:rPr>
              <w:t>绩效指标</w:t>
            </w:r>
          </w:p>
        </w:tc>
      </w:tr>
      <w:tr>
        <w:tblPrEx>
          <w:tblCellMar>
            <w:top w:w="0" w:type="dxa"/>
            <w:left w:w="108" w:type="dxa"/>
            <w:bottom w:w="0" w:type="dxa"/>
            <w:right w:w="108" w:type="dxa"/>
          </w:tblCellMar>
        </w:tblPrEx>
        <w:trPr>
          <w:trHeight w:val="61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指标名称</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计量单位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指标性质</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指标值</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全年完成值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偏离度（%）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得分系数（%）</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指标权重</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指标得分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是否核心指标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说明</w:t>
            </w:r>
          </w:p>
        </w:tc>
      </w:tr>
      <w:tr>
        <w:tblPrEx>
          <w:tblCellMar>
            <w:top w:w="0" w:type="dxa"/>
            <w:left w:w="108" w:type="dxa"/>
            <w:bottom w:w="0" w:type="dxa"/>
            <w:right w:w="108" w:type="dxa"/>
          </w:tblCellMar>
        </w:tblPrEx>
        <w:trPr>
          <w:trHeight w:val="49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慰问人数</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人</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16.67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49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慰问服务合格率</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49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慰问服务按时率</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61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机关退休人员管理到位情况</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定性</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好</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20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61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慰问服务对象满意度</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50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慰问服务人员标准</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元/人年</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50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bl>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tbl>
      <w:tblPr>
        <w:tblStyle w:val="7"/>
        <w:tblW w:w="8340" w:type="dxa"/>
        <w:tblInd w:w="93" w:type="dxa"/>
        <w:tblLayout w:type="autofit"/>
        <w:tblCellMar>
          <w:top w:w="0" w:type="dxa"/>
          <w:left w:w="108" w:type="dxa"/>
          <w:bottom w:w="0" w:type="dxa"/>
          <w:right w:w="108" w:type="dxa"/>
        </w:tblCellMar>
      </w:tblPr>
      <w:tblGrid>
        <w:gridCol w:w="1319"/>
        <w:gridCol w:w="918"/>
        <w:gridCol w:w="793"/>
        <w:gridCol w:w="791"/>
        <w:gridCol w:w="1075"/>
        <w:gridCol w:w="750"/>
        <w:gridCol w:w="545"/>
        <w:gridCol w:w="545"/>
        <w:gridCol w:w="709"/>
        <w:gridCol w:w="993"/>
      </w:tblGrid>
      <w:tr>
        <w:tblPrEx>
          <w:tblCellMar>
            <w:top w:w="0" w:type="dxa"/>
            <w:left w:w="108" w:type="dxa"/>
            <w:bottom w:w="0" w:type="dxa"/>
            <w:right w:w="108" w:type="dxa"/>
          </w:tblCellMar>
        </w:tblPrEx>
        <w:trPr>
          <w:trHeight w:val="670" w:hRule="atLeast"/>
        </w:trPr>
        <w:tc>
          <w:tcPr>
            <w:tcW w:w="83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tblPrEx>
          <w:tblCellMar>
            <w:top w:w="0" w:type="dxa"/>
            <w:left w:w="108" w:type="dxa"/>
            <w:bottom w:w="0" w:type="dxa"/>
            <w:right w:w="108" w:type="dxa"/>
          </w:tblCellMar>
        </w:tblPrEx>
        <w:trPr>
          <w:trHeight w:val="321"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20" w:firstLineChars="100"/>
              <w:jc w:val="right"/>
              <w:textAlignment w:val="center"/>
              <w:rPr>
                <w:rFonts w:hint="default" w:cs="宋体"/>
                <w:b/>
                <w:bCs/>
                <w:color w:val="DA3232"/>
                <w:sz w:val="22"/>
                <w:szCs w:val="22"/>
              </w:rPr>
            </w:pPr>
            <w:r>
              <w:rPr>
                <w:rFonts w:cs="宋体"/>
                <w:b/>
                <w:bCs/>
                <w:color w:val="DA3232"/>
                <w:sz w:val="12"/>
                <w:szCs w:val="12"/>
                <w:lang w:bidi="ar"/>
              </w:rPr>
              <w:t>状态：绩效审核已审</w:t>
            </w:r>
          </w:p>
        </w:tc>
      </w:tr>
      <w:tr>
        <w:tblPrEx>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巡察工作经费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项目编码：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50023122T000000121713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16"/>
                <w:szCs w:val="12"/>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106-中国共产党垫江县纪律检查委员会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财政归口处室：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004-行财科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程笑英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联系电话：</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16"/>
                <w:szCs w:val="12"/>
              </w:rPr>
            </w:pPr>
            <w:r>
              <w:rPr>
                <w:rFonts w:cs="宋体"/>
                <w:color w:val="000000"/>
                <w:sz w:val="16"/>
                <w:szCs w:val="12"/>
                <w:lang w:bidi="ar"/>
              </w:rPr>
              <w:t>74681010</w:t>
            </w:r>
          </w:p>
        </w:tc>
      </w:tr>
      <w:tr>
        <w:tblPrEx>
          <w:tblCellMar>
            <w:top w:w="0" w:type="dxa"/>
            <w:left w:w="108" w:type="dxa"/>
            <w:bottom w:w="0" w:type="dxa"/>
            <w:right w:w="108" w:type="dxa"/>
          </w:tblCellMar>
        </w:tblPrEx>
        <w:trPr>
          <w:trHeight w:val="381"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ascii="微软雅黑" w:hAnsi="微软雅黑" w:eastAsia="微软雅黑" w:cs="微软雅黑"/>
                <w:b/>
                <w:bCs/>
                <w:color w:val="808080"/>
                <w:sz w:val="16"/>
                <w:szCs w:val="12"/>
              </w:rPr>
            </w:pPr>
            <w:r>
              <w:rPr>
                <w:rFonts w:ascii="微软雅黑" w:hAnsi="微软雅黑" w:eastAsia="微软雅黑" w:cs="微软雅黑"/>
                <w:b/>
                <w:bCs/>
                <w:color w:val="808080"/>
                <w:sz w:val="16"/>
                <w:szCs w:val="12"/>
                <w:lang w:bidi="ar"/>
              </w:rPr>
              <w:t>资金情况</w:t>
            </w:r>
          </w:p>
        </w:tc>
      </w:tr>
      <w:tr>
        <w:tblPrEx>
          <w:tblCellMar>
            <w:top w:w="0" w:type="dxa"/>
            <w:left w:w="108" w:type="dxa"/>
            <w:bottom w:w="0" w:type="dxa"/>
            <w:right w:w="108" w:type="dxa"/>
          </w:tblCellMar>
        </w:tblPrEx>
        <w:trPr>
          <w:trHeight w:val="44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执行率得分</w:t>
            </w:r>
          </w:p>
        </w:tc>
      </w:tr>
      <w:tr>
        <w:tblPrEx>
          <w:tblCellMar>
            <w:top w:w="0" w:type="dxa"/>
            <w:left w:w="108" w:type="dxa"/>
            <w:bottom w:w="0" w:type="dxa"/>
            <w:right w:w="108" w:type="dxa"/>
          </w:tblCellMar>
        </w:tblPrEx>
        <w:trPr>
          <w:trHeight w:val="321" w:hRule="atLeast"/>
        </w:trPr>
        <w:tc>
          <w:tcPr>
            <w:tcW w:w="133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16"/>
                <w:szCs w:val="12"/>
              </w:rPr>
            </w:pPr>
            <w:r>
              <w:rPr>
                <w:rFonts w:cs="宋体"/>
                <w:color w:val="000000"/>
                <w:sz w:val="16"/>
                <w:szCs w:val="1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color w:val="000000"/>
                <w:sz w:val="16"/>
                <w:szCs w:val="12"/>
              </w:rPr>
            </w:pPr>
            <w:r>
              <w:rPr>
                <w:rFonts w:cs="宋体"/>
                <w:color w:val="000000"/>
                <w:sz w:val="16"/>
                <w:szCs w:val="12"/>
                <w:lang w:bidi="ar"/>
              </w:rPr>
              <w:t xml:space="preserve">368,000.00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textAlignment w:val="center"/>
              <w:rPr>
                <w:rFonts w:hint="default" w:cs="宋体"/>
                <w:color w:val="000000"/>
                <w:sz w:val="16"/>
                <w:szCs w:val="12"/>
              </w:rPr>
            </w:pPr>
            <w:r>
              <w:rPr>
                <w:rFonts w:cs="宋体"/>
                <w:color w:val="000000"/>
                <w:sz w:val="16"/>
                <w:szCs w:val="12"/>
                <w:lang w:bidi="ar"/>
              </w:rPr>
              <w:t xml:space="preserve">368,000.00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color w:val="000000"/>
                <w:sz w:val="16"/>
                <w:szCs w:val="12"/>
              </w:rPr>
            </w:pPr>
            <w:r>
              <w:rPr>
                <w:rFonts w:cs="宋体"/>
                <w:color w:val="000000"/>
                <w:sz w:val="16"/>
                <w:szCs w:val="12"/>
                <w:lang w:bidi="ar"/>
              </w:rPr>
              <w:t xml:space="preserve">368,000.00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321" w:hRule="atLeast"/>
        </w:trPr>
        <w:tc>
          <w:tcPr>
            <w:tcW w:w="133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16"/>
                <w:szCs w:val="12"/>
              </w:rPr>
            </w:pPr>
            <w:r>
              <w:rPr>
                <w:rFonts w:cs="宋体"/>
                <w:color w:val="000000"/>
                <w:sz w:val="16"/>
                <w:szCs w:val="1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color w:val="000000"/>
                <w:sz w:val="16"/>
                <w:szCs w:val="12"/>
              </w:rPr>
            </w:pPr>
            <w:r>
              <w:rPr>
                <w:rFonts w:cs="宋体"/>
                <w:color w:val="000000"/>
                <w:sz w:val="16"/>
                <w:szCs w:val="12"/>
                <w:lang w:bidi="ar"/>
              </w:rPr>
              <w:t xml:space="preserve">368,000.00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textAlignment w:val="center"/>
              <w:rPr>
                <w:rFonts w:hint="default" w:cs="宋体"/>
                <w:color w:val="000000"/>
                <w:sz w:val="16"/>
                <w:szCs w:val="12"/>
              </w:rPr>
            </w:pPr>
            <w:r>
              <w:rPr>
                <w:rFonts w:cs="宋体"/>
                <w:color w:val="000000"/>
                <w:sz w:val="16"/>
                <w:szCs w:val="12"/>
                <w:lang w:bidi="ar"/>
              </w:rPr>
              <w:t xml:space="preserve">368,000.00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color w:val="000000"/>
                <w:sz w:val="16"/>
                <w:szCs w:val="12"/>
              </w:rPr>
            </w:pPr>
            <w:r>
              <w:rPr>
                <w:rFonts w:cs="宋体"/>
                <w:color w:val="000000"/>
                <w:sz w:val="16"/>
                <w:szCs w:val="12"/>
                <w:lang w:bidi="ar"/>
              </w:rPr>
              <w:t xml:space="preserve">368,000.00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 xml:space="preserve">10.00 </w:t>
            </w:r>
          </w:p>
        </w:tc>
      </w:tr>
      <w:tr>
        <w:tblPrEx>
          <w:tblCellMar>
            <w:top w:w="0" w:type="dxa"/>
            <w:left w:w="108" w:type="dxa"/>
            <w:bottom w:w="0" w:type="dxa"/>
            <w:right w:w="108" w:type="dxa"/>
          </w:tblCellMar>
        </w:tblPrEx>
        <w:trPr>
          <w:trHeight w:val="321" w:hRule="atLeast"/>
        </w:trPr>
        <w:tc>
          <w:tcPr>
            <w:tcW w:w="133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16"/>
                <w:szCs w:val="12"/>
              </w:rPr>
            </w:pPr>
            <w:r>
              <w:rPr>
                <w:rFonts w:cs="宋体"/>
                <w:color w:val="000000"/>
                <w:sz w:val="16"/>
                <w:szCs w:val="1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color w:val="000000"/>
                <w:sz w:val="16"/>
                <w:szCs w:val="12"/>
              </w:rPr>
            </w:pPr>
            <w:r>
              <w:rPr>
                <w:rFonts w:cs="宋体"/>
                <w:color w:val="000000"/>
                <w:sz w:val="16"/>
                <w:szCs w:val="12"/>
                <w:lang w:bidi="ar"/>
              </w:rPr>
              <w:t xml:space="preserve">368,000.00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textAlignment w:val="center"/>
              <w:rPr>
                <w:rFonts w:hint="default" w:cs="宋体"/>
                <w:color w:val="000000"/>
                <w:sz w:val="16"/>
                <w:szCs w:val="12"/>
              </w:rPr>
            </w:pPr>
            <w:r>
              <w:rPr>
                <w:rFonts w:cs="宋体"/>
                <w:color w:val="000000"/>
                <w:sz w:val="16"/>
                <w:szCs w:val="12"/>
                <w:lang w:bidi="ar"/>
              </w:rPr>
              <w:t xml:space="preserve">368,000.00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color w:val="000000"/>
                <w:sz w:val="16"/>
                <w:szCs w:val="12"/>
              </w:rPr>
            </w:pPr>
            <w:r>
              <w:rPr>
                <w:rFonts w:cs="宋体"/>
                <w:color w:val="000000"/>
                <w:sz w:val="16"/>
                <w:szCs w:val="12"/>
                <w:lang w:bidi="ar"/>
              </w:rPr>
              <w:t xml:space="preserve">368,000.00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381"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ascii="微软雅黑" w:hAnsi="微软雅黑" w:eastAsia="微软雅黑" w:cs="微软雅黑"/>
                <w:b/>
                <w:bCs/>
                <w:color w:val="808080"/>
                <w:sz w:val="16"/>
                <w:szCs w:val="12"/>
              </w:rPr>
            </w:pPr>
            <w:r>
              <w:rPr>
                <w:rFonts w:ascii="微软雅黑" w:hAnsi="微软雅黑" w:eastAsia="微软雅黑" w:cs="微软雅黑"/>
                <w:b/>
                <w:bCs/>
                <w:color w:val="808080"/>
                <w:sz w:val="16"/>
                <w:szCs w:val="12"/>
                <w:lang w:bidi="ar"/>
              </w:rPr>
              <w:t>绩效目标</w:t>
            </w:r>
          </w:p>
        </w:tc>
      </w:tr>
      <w:tr>
        <w:tblPrEx>
          <w:tblCellMar>
            <w:top w:w="0" w:type="dxa"/>
            <w:left w:w="108" w:type="dxa"/>
            <w:bottom w:w="0" w:type="dxa"/>
            <w:right w:w="108" w:type="dxa"/>
          </w:tblCellMar>
        </w:tblPrEx>
        <w:trPr>
          <w:trHeight w:val="32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年初绩效目标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全年目标实际完成情况</w:t>
            </w:r>
          </w:p>
        </w:tc>
      </w:tr>
      <w:tr>
        <w:tblPrEx>
          <w:tblCellMar>
            <w:top w:w="0" w:type="dxa"/>
            <w:left w:w="108" w:type="dxa"/>
            <w:bottom w:w="0" w:type="dxa"/>
            <w:right w:w="108" w:type="dxa"/>
          </w:tblCellMar>
        </w:tblPrEx>
        <w:trPr>
          <w:trHeight w:val="994" w:hRule="atLeast"/>
        </w:trPr>
        <w:tc>
          <w:tcPr>
            <w:tcW w:w="3760"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16"/>
                <w:szCs w:val="12"/>
              </w:rPr>
            </w:pPr>
            <w:r>
              <w:rPr>
                <w:rFonts w:cs="宋体"/>
                <w:color w:val="000000"/>
                <w:sz w:val="16"/>
                <w:szCs w:val="12"/>
                <w:lang w:bidi="ar"/>
              </w:rPr>
              <w:t>保障县委各轮巡察工作正常开展，完成市纪委对县纪委考核</w:t>
            </w:r>
          </w:p>
        </w:tc>
        <w:tc>
          <w:tcPr>
            <w:tcW w:w="2328"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16"/>
                <w:szCs w:val="12"/>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16"/>
                <w:szCs w:val="12"/>
              </w:rPr>
            </w:pPr>
            <w:r>
              <w:rPr>
                <w:rFonts w:cs="宋体"/>
                <w:color w:val="000000"/>
                <w:sz w:val="16"/>
                <w:szCs w:val="12"/>
                <w:lang w:bidi="ar"/>
              </w:rPr>
              <w:t>保障县委各轮巡察工作正常开展</w:t>
            </w:r>
          </w:p>
        </w:tc>
      </w:tr>
      <w:tr>
        <w:tblPrEx>
          <w:tblCellMar>
            <w:top w:w="0" w:type="dxa"/>
            <w:left w:w="108" w:type="dxa"/>
            <w:bottom w:w="0" w:type="dxa"/>
            <w:right w:w="108" w:type="dxa"/>
          </w:tblCellMar>
        </w:tblPrEx>
        <w:trPr>
          <w:trHeight w:val="381"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ascii="微软雅黑" w:hAnsi="微软雅黑" w:eastAsia="微软雅黑" w:cs="微软雅黑"/>
                <w:b/>
                <w:bCs/>
                <w:color w:val="808080"/>
                <w:sz w:val="16"/>
                <w:szCs w:val="12"/>
              </w:rPr>
            </w:pPr>
            <w:r>
              <w:rPr>
                <w:rFonts w:ascii="微软雅黑" w:hAnsi="微软雅黑" w:eastAsia="微软雅黑" w:cs="微软雅黑"/>
                <w:b/>
                <w:bCs/>
                <w:color w:val="808080"/>
                <w:sz w:val="16"/>
                <w:szCs w:val="12"/>
                <w:lang w:bidi="ar"/>
              </w:rPr>
              <w:t>绩效指标</w:t>
            </w:r>
          </w:p>
        </w:tc>
      </w:tr>
      <w:tr>
        <w:tblPrEx>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6"/>
                <w:szCs w:val="12"/>
              </w:rPr>
            </w:pPr>
            <w:r>
              <w:rPr>
                <w:rFonts w:cs="宋体"/>
                <w:b/>
                <w:bCs/>
                <w:color w:val="000000"/>
                <w:sz w:val="16"/>
                <w:szCs w:val="12"/>
                <w:lang w:bidi="ar"/>
              </w:rPr>
              <w:t>说明</w:t>
            </w:r>
          </w:p>
        </w:tc>
      </w:tr>
      <w:tr>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抽调巡察干部人数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市纪委抽调巡视人数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保障全年巡察工作正常开展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年度巡察任务按时完成率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政治巡察持续发力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完成市纪委考核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巡察办公经费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购买办公设备增加</w:t>
            </w:r>
          </w:p>
        </w:tc>
      </w:tr>
      <w:tr>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巡察干部抽调经费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28.07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6"/>
                <w:szCs w:val="1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巡察公告和手册印刷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60" w:firstLineChars="100"/>
              <w:textAlignment w:val="center"/>
              <w:rPr>
                <w:rFonts w:hint="default" w:cs="宋体"/>
                <w:color w:val="000000"/>
                <w:sz w:val="16"/>
                <w:szCs w:val="12"/>
              </w:rPr>
            </w:pPr>
            <w:r>
              <w:rPr>
                <w:rFonts w:cs="宋体"/>
                <w:color w:val="000000"/>
                <w:sz w:val="16"/>
                <w:szCs w:val="12"/>
                <w:lang w:bidi="ar"/>
              </w:rPr>
              <w:t>24年两轮巡察</w:t>
            </w:r>
          </w:p>
        </w:tc>
      </w:tr>
    </w:tbl>
    <w:p>
      <w:pPr>
        <w:pStyle w:val="12"/>
        <w:autoSpaceDE w:val="0"/>
        <w:spacing w:before="0" w:beforeAutospacing="0" w:after="0" w:afterAutospacing="0" w:line="596" w:lineRule="exact"/>
        <w:ind w:firstLine="643" w:firstLineChars="200"/>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（二）部门绩效评价情况</w:t>
      </w:r>
    </w:p>
    <w:p>
      <w:pPr>
        <w:pStyle w:val="12"/>
        <w:autoSpaceDE w:val="0"/>
        <w:spacing w:before="0" w:beforeAutospacing="0" w:after="0" w:afterAutospacing="0" w:line="594" w:lineRule="exact"/>
        <w:ind w:firstLine="640" w:firstLineChars="200"/>
        <w:rPr>
          <w:rStyle w:val="10"/>
          <w:rFonts w:ascii="Times New Roman" w:hAnsi="Times New Roman" w:eastAsia="方正仿宋_GBK"/>
          <w:b w:val="0"/>
          <w:bCs/>
          <w:sz w:val="32"/>
          <w:szCs w:val="32"/>
          <w:shd w:val="clear" w:color="auto" w:fill="FFFFFF"/>
        </w:rPr>
      </w:pPr>
      <w:r>
        <w:rPr>
          <w:rStyle w:val="10"/>
          <w:rFonts w:hint="eastAsia" w:ascii="Times New Roman" w:hAnsi="Times New Roman" w:eastAsia="方正仿宋_GBK"/>
          <w:b w:val="0"/>
          <w:bCs/>
          <w:sz w:val="32"/>
          <w:szCs w:val="32"/>
          <w:shd w:val="clear" w:color="auto" w:fill="FFFFFF"/>
        </w:rPr>
        <w:t>我单位未组织开展绩效评价。</w:t>
      </w:r>
    </w:p>
    <w:p>
      <w:pPr>
        <w:pStyle w:val="12"/>
        <w:autoSpaceDE w:val="0"/>
        <w:spacing w:before="0" w:beforeAutospacing="0" w:after="0" w:afterAutospacing="0" w:line="596" w:lineRule="exact"/>
        <w:ind w:firstLine="643" w:firstLineChars="200"/>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（三）财政绩效评价情况</w:t>
      </w:r>
    </w:p>
    <w:p>
      <w:pPr>
        <w:pStyle w:val="12"/>
        <w:autoSpaceDE w:val="0"/>
        <w:spacing w:before="0" w:beforeAutospacing="0" w:after="0" w:afterAutospacing="0" w:line="596" w:lineRule="exact"/>
        <w:ind w:firstLine="640" w:firstLineChars="200"/>
        <w:rPr>
          <w:rStyle w:val="10"/>
          <w:rFonts w:ascii="黑体" w:hAnsi="黑体" w:eastAsia="黑体" w:cs="黑体"/>
          <w:sz w:val="32"/>
          <w:szCs w:val="32"/>
          <w:shd w:val="clear" w:color="auto" w:fill="FFFFFF"/>
        </w:rPr>
      </w:pPr>
      <w:r>
        <w:rPr>
          <w:rStyle w:val="10"/>
          <w:rFonts w:ascii="Times New Roman" w:hAnsi="Times New Roman" w:eastAsia="方正仿宋_GBK"/>
          <w:b w:val="0"/>
          <w:bCs/>
          <w:sz w:val="32"/>
          <w:szCs w:val="32"/>
          <w:shd w:val="clear" w:color="auto" w:fill="FFFFFF"/>
        </w:rPr>
        <w:t>2024年度县财政局未委托第三方对我单位开展绩效评价。</w:t>
      </w: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w:t>
      </w:r>
    </w:p>
    <w:p>
      <w:pPr>
        <w:pStyle w:val="12"/>
        <w:autoSpaceDE w:val="0"/>
        <w:spacing w:before="0" w:beforeAutospacing="0" w:after="0" w:afterAutospacing="0" w:line="596" w:lineRule="exact"/>
        <w:ind w:firstLine="643" w:firstLineChars="200"/>
        <w:rPr>
          <w:rFonts w:ascii="方正黑体_GBK" w:hAnsi="方正黑体_GBK" w:eastAsia="方正黑体_GBK" w:cs="方正黑体_GBK"/>
          <w:sz w:val="32"/>
          <w:szCs w:val="32"/>
        </w:rPr>
      </w:pPr>
      <w:r>
        <w:rPr>
          <w:rStyle w:val="10"/>
          <w:rFonts w:hint="eastAsia" w:ascii="方正黑体_GBK" w:hAnsi="方正黑体_GBK" w:eastAsia="方正黑体_GBK" w:cs="方正黑体_GBK"/>
          <w:sz w:val="32"/>
          <w:szCs w:val="32"/>
          <w:shd w:val="clear" w:color="auto" w:fill="FFFFFF"/>
        </w:rPr>
        <w:t>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（十二）</w:t>
      </w:r>
      <w:r>
        <w:rPr>
          <w:rStyle w:val="10"/>
          <w:rFonts w:hint="eastAsia" w:ascii="方正楷体_GBK" w:hAnsi="方正楷体_GBK" w:eastAsia="方正楷体_GBK" w:cs="方正楷体_GBK"/>
          <w:sz w:val="32"/>
          <w:szCs w:val="32"/>
          <w:shd w:val="clear" w:color="auto" w:fill="FFFFFF"/>
          <w:lang w:eastAsia="zh-CN"/>
        </w:rPr>
        <w:t>三公</w:t>
      </w:r>
      <w:r>
        <w:rPr>
          <w:rStyle w:val="10"/>
          <w:rFonts w:hint="eastAsia" w:ascii="方正楷体_GBK" w:hAnsi="方正楷体_GBK" w:eastAsia="方正楷体_GBK" w:cs="方正楷体_GBK"/>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黑体_GBK" w:hAnsi="方正黑体_GBK" w:eastAsia="方正黑体_GBK" w:cs="方正黑体_GBK"/>
          <w:sz w:val="32"/>
          <w:szCs w:val="32"/>
        </w:rPr>
      </w:pPr>
      <w:r>
        <w:rPr>
          <w:rStyle w:val="10"/>
          <w:rFonts w:hint="eastAsia" w:ascii="方正黑体_GBK" w:hAnsi="方正黑体_GBK" w:eastAsia="方正黑体_GBK" w:cs="方正黑体_GBK"/>
          <w:sz w:val="32"/>
          <w:szCs w:val="32"/>
          <w:shd w:val="clear" w:color="auto" w:fill="FFFFFF"/>
        </w:rPr>
        <w:t>七、决算公开联系方式及信息反馈渠道</w:t>
      </w:r>
    </w:p>
    <w:p>
      <w:pPr>
        <w:pStyle w:val="12"/>
        <w:spacing w:before="0" w:beforeAutospacing="0" w:after="0" w:afterAutospacing="0" w:line="59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w:t>
      </w:r>
      <w:r>
        <w:rPr>
          <w:rStyle w:val="10"/>
          <w:rFonts w:ascii="Times New Roman" w:hAnsi="Times New Roman" w:eastAsia="方正仿宋_GBK"/>
          <w:b w:val="0"/>
          <w:sz w:val="32"/>
          <w:szCs w:val="32"/>
          <w:shd w:val="clear" w:color="auto" w:fill="FFFFFF"/>
        </w:rPr>
        <w:t>决算</w:t>
      </w:r>
      <w:r>
        <w:rPr>
          <w:rFonts w:ascii="Times New Roman" w:hAnsi="Times New Roman" w:eastAsia="方正仿宋_GBK"/>
          <w:sz w:val="32"/>
          <w:szCs w:val="32"/>
          <w:shd w:val="clear" w:color="auto" w:fill="FFFFFF"/>
        </w:rPr>
        <w:t>公开信息反馈和联系方式：</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程</w:t>
      </w:r>
      <w:r>
        <w:rPr>
          <w:rFonts w:hint="eastAsia" w:ascii="Times New Roman" w:hAnsi="Times New Roman" w:eastAsia="方正仿宋_GBK"/>
          <w:sz w:val="32"/>
          <w:szCs w:val="32"/>
          <w:shd w:val="clear" w:color="auto" w:fill="FFFFFF"/>
        </w:rPr>
        <w:t>老师</w:t>
      </w:r>
      <w:r>
        <w:rPr>
          <w:rFonts w:ascii="Times New Roman" w:hAnsi="Times New Roman" w:eastAsia="方正仿宋_GBK"/>
          <w:sz w:val="32"/>
          <w:szCs w:val="32"/>
          <w:shd w:val="clear" w:color="auto" w:fill="FFFFFF"/>
        </w:rPr>
        <w:t xml:space="preserve">   023-74681010</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中国共产党垫江县纪律检查委员会（本级）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3,995.87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3,482.66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163.15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3,995.87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4,395.87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4,395.87</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4,395.87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中国共产党垫江县纪律检查委员会（本级）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3,995.87</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3,995.87</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3,137.58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3,137.58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3,137.58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3,137.58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2,728.61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2,728.61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大案要案查处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364.97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364.97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267.37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267.37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163.15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163.15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163.15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163.15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163.15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163.15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中国共产党垫江县纪律检查委员会（本级）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4,395.87</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3,986.85</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409.03</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3,482.66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3,073.70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408.97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3,482.66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3,073.70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408.97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3,073.70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3,073.70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大案要案查处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364.97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364.97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515.84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496.01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302.13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302.13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151.56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163.15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163.15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163.15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163.15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163.15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163.15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232.35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232.35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232.35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232.35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232.35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232.35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中国共产党垫江县纪律检查委员会（本级）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3,995.87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3,482.66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3,482.66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3,995.87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4,395.87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4,395.87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4,395.87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4,395.87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4,395.87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中国共产党垫江县纪律检查委员会（本级）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4,395.87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3,986.85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409.03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3,482.66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3,073.70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408.97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3,482.66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3,073.70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408.97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3,073.70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3,073.70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大案要案查处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364.97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515.84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302.13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302.13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151.56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163.15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163.15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163.15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163.15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163.15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163.15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232.35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中国共产党垫江县纪律检查委员会（本级）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3,106.63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72.87</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72.87</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897.36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3,179.96</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806.88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中国共产党垫江县纪律检查委员会（本级）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中国共产党垫江县纪律检查委员会（本级）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中国共产党垫江县纪律检查委员会（本级）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806.88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79.28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79.28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806.88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71.37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71.37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46.39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46.39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32.34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32.34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200.73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kNmIwODI1Y2QwNGQxZDFhYmRhZWMyNWM5ZTJhMjU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8517E"/>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C7227"/>
    <w:rsid w:val="00EE1E33"/>
    <w:rsid w:val="00F73F90"/>
    <w:rsid w:val="00F75C3B"/>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CC15B51"/>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20A71"/>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6CE7995"/>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11288</Words>
  <Characters>14981</Characters>
  <Lines>131</Lines>
  <Paragraphs>37</Paragraphs>
  <TotalTime>1</TotalTime>
  <ScaleCrop>false</ScaleCrop>
  <LinksUpToDate>false</LinksUpToDate>
  <CharactersWithSpaces>16173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2025-09-17T03:44:21Z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