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垫江县群山管理中心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一、单位基本情况</w:t>
      </w:r>
    </w:p>
    <w:p>
      <w:pPr>
        <w:pStyle w:val="6"/>
        <w:shd w:val="clear" w:color="auto" w:fill="FFFFFF"/>
        <w:spacing w:beforeAutospacing="0" w:afterAutospacing="0" w:line="594" w:lineRule="exact"/>
        <w:ind w:firstLine="643" w:firstLineChars="200"/>
        <w:rPr>
          <w:rFonts w:hint="default" w:ascii="方正楷体_GBK" w:hAnsi="方正楷体_GBK" w:eastAsia="方正楷体_GBK" w:cs="方正楷体_GBK"/>
          <w:sz w:val="32"/>
          <w:szCs w:val="32"/>
        </w:rPr>
      </w:pPr>
      <w:r>
        <w:rPr>
          <w:rStyle w:val="10"/>
          <w:rFonts w:ascii="方正楷体_GBK" w:hAnsi="方正楷体_GBK" w:eastAsia="方正楷体_GBK" w:cs="方正楷体_GBK"/>
          <w:sz w:val="32"/>
          <w:szCs w:val="32"/>
          <w:shd w:val="clear" w:color="auto" w:fill="FFFFFF"/>
        </w:rPr>
        <w:t>（一）职能职责</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为依法留置被调查人或相关涉案人员场所的日常运行提供保障服务；负责留置场所的后勤、医疗、安保等设施设备维护；为县纪委监委机关信息化建设提供信息技术保障，利用相关信息技术为案件调查提供支持保障服务。</w:t>
      </w:r>
    </w:p>
    <w:p>
      <w:pPr>
        <w:pStyle w:val="6"/>
        <w:shd w:val="clear" w:color="auto" w:fill="FFFFFF"/>
        <w:spacing w:beforeAutospacing="0" w:afterAutospacing="0" w:line="594" w:lineRule="exact"/>
        <w:ind w:firstLine="643" w:firstLineChars="200"/>
        <w:rPr>
          <w:rStyle w:val="10"/>
          <w:rFonts w:hint="default" w:ascii="方正楷体_GBK" w:hAnsi="方正楷体_GBK" w:eastAsia="方正楷体_GBK" w:cs="方正楷体_GBK"/>
          <w:sz w:val="32"/>
          <w:szCs w:val="32"/>
          <w:shd w:val="clear" w:color="auto" w:fill="FFFFFF"/>
        </w:rPr>
      </w:pPr>
      <w:r>
        <w:rPr>
          <w:rStyle w:val="10"/>
          <w:rFonts w:ascii="方正楷体_GBK" w:hAnsi="方正楷体_GBK" w:eastAsia="方正楷体_GBK" w:cs="方正楷体_GBK"/>
          <w:sz w:val="32"/>
          <w:szCs w:val="32"/>
          <w:shd w:val="clear" w:color="auto" w:fill="FFFFFF"/>
        </w:rPr>
        <w:t>（二）机构设置</w:t>
      </w:r>
    </w:p>
    <w:p>
      <w:pPr>
        <w:pStyle w:val="17"/>
        <w:tabs>
          <w:tab w:val="center" w:pos="4153"/>
          <w:tab w:val="left" w:pos="7275"/>
        </w:tabs>
        <w:spacing w:line="594"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本单位1个内设机构为综合科，核定财政全额拨款事业编制6名。</w:t>
      </w:r>
    </w:p>
    <w:p>
      <w:pPr>
        <w:pStyle w:val="6"/>
        <w:shd w:val="clear" w:color="auto" w:fill="FFFFFF"/>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黑体_GBK" w:hAnsi="方正黑体_GBK" w:eastAsia="方正黑体_GBK" w:cs="方正黑体_GBK"/>
          <w:sz w:val="32"/>
          <w:szCs w:val="32"/>
          <w:shd w:val="clear" w:color="auto" w:fill="FFFFFF"/>
        </w:rPr>
        <w:t>二、单位决算收支情况说明</w:t>
      </w:r>
    </w:p>
    <w:p>
      <w:pPr>
        <w:pStyle w:val="11"/>
        <w:autoSpaceDE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2024年度收入总计104.32万元，支出总计</w:t>
      </w:r>
      <w:r>
        <w:rPr>
          <w:rFonts w:hint="default" w:ascii="Times New Roman" w:hAnsi="Times New Roman" w:eastAsia="方正仿宋_GBK"/>
          <w:sz w:val="32"/>
          <w:szCs w:val="32"/>
        </w:rPr>
        <w:t>104.32</w:t>
      </w:r>
      <w:r>
        <w:rPr>
          <w:rFonts w:hint="default" w:ascii="Times New Roman" w:hAnsi="Times New Roman" w:eastAsia="方正仿宋_GBK"/>
          <w:sz w:val="32"/>
          <w:szCs w:val="32"/>
          <w:shd w:val="clear" w:color="auto" w:fill="FFFFFF"/>
        </w:rPr>
        <w:t>万元。收、支与2023年度相比，减少27.99万元，下降21.2%，主要原因是人员调出，人员经费减少。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2024年度收入合计104.32万元，与2023年度相比，减少27.99万元，下降21.2%，主要原因是人员调出，人员经费减少。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104.32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104.32</w:t>
      </w:r>
      <w:r>
        <w:rPr>
          <w:rFonts w:hint="default" w:ascii="Times New Roman" w:hAnsi="Times New Roman" w:eastAsia="方正仿宋_GBK"/>
          <w:sz w:val="32"/>
          <w:szCs w:val="32"/>
          <w:shd w:val="clear" w:color="auto" w:fill="FFFFFF"/>
        </w:rPr>
        <w:t>万元，与2023年度相比，减少27.99万元，下降21.2%，主要原因是人员调出，人员经费减少。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104.32</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主要原因是本年度与上年度均无结转结余</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2024年度财政拨款收、支总计104.32万元。与2023年相比，财政拨款收、支总计各减少27.99万元，下降21.2%。主要原因是人员调出，人员经费减少。</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104.32</w:t>
      </w:r>
      <w:r>
        <w:rPr>
          <w:rFonts w:hint="default" w:ascii="Times New Roman" w:hAnsi="Times New Roman" w:eastAsia="方正仿宋_GBK"/>
          <w:sz w:val="32"/>
          <w:szCs w:val="32"/>
          <w:shd w:val="clear" w:color="auto" w:fill="FFFFFF"/>
        </w:rPr>
        <w:t>万元，与2023年度相比，减少27.99万元，下降21.2%。主要原因是人员调出，人员经费减少。较年初预算数增加9.97万元，增长10.6%。主要原因是年中工资调标以及养老保险等基数调整。此外，年初财政拨款结转和结余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104.32</w:t>
      </w:r>
      <w:r>
        <w:rPr>
          <w:rFonts w:hint="default" w:ascii="Times New Roman" w:hAnsi="Times New Roman" w:eastAsia="方正仿宋_GBK"/>
          <w:sz w:val="32"/>
          <w:szCs w:val="32"/>
          <w:shd w:val="clear" w:color="auto" w:fill="FFFFFF"/>
        </w:rPr>
        <w:t>万元，与2023年度相比，减少27.99万元，下降21.2%。主要原因是人员调出，人员经费减少。较年初预算数增加9.97万元，增长10.6%。主要原因是年中工资调标以及养老保险等基数调整。</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主要原因是本年度与上年度均无结转结余</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80.77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77.4%</w:t>
      </w:r>
      <w:r>
        <w:rPr>
          <w:rFonts w:ascii="方正仿宋_GBK" w:hAnsi="方正仿宋_GBK" w:eastAsia="方正仿宋_GBK" w:cs="方正仿宋_GBK"/>
          <w:sz w:val="32"/>
          <w:szCs w:val="32"/>
          <w:shd w:val="clear" w:color="auto" w:fill="FFFFFF"/>
        </w:rPr>
        <w:t>，较年初预算数增加3.58万元，增长4.6%，</w:t>
      </w:r>
      <w:r>
        <w:rPr>
          <w:rFonts w:hint="default" w:ascii="Times New Roman" w:hAnsi="Times New Roman" w:eastAsia="方正仿宋_GBK"/>
          <w:sz w:val="32"/>
          <w:szCs w:val="32"/>
          <w:shd w:val="clear" w:color="auto" w:fill="FFFFFF"/>
        </w:rPr>
        <w:t>主要原因是年中工资调标以及养老保险等基数调整。</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主要是严格按照预算执行。</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12.34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，较年初预算数增加3.54万元，增长40.2%，</w:t>
      </w:r>
      <w:r>
        <w:rPr>
          <w:rFonts w:hint="default" w:ascii="Times New Roman" w:hAnsi="Times New Roman" w:eastAsia="方正仿宋_GBK"/>
          <w:sz w:val="32"/>
          <w:szCs w:val="32"/>
          <w:shd w:val="clear" w:color="auto" w:fill="FFFFFF"/>
        </w:rPr>
        <w:t>主要原因是养老保险和职业年金基数调整。</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w:t>
      </w:r>
      <w:r>
        <w:rPr>
          <w:rFonts w:ascii="方正仿宋_GBK" w:hAnsi="方正仿宋_GBK" w:eastAsia="方正仿宋_GBK" w:cs="方正仿宋_GBK"/>
          <w:sz w:val="32"/>
          <w:szCs w:val="32"/>
          <w:shd w:val="clear" w:color="auto" w:fill="FFFFFF"/>
        </w:rPr>
        <w:t>，较年初预算数减少0.16万元，下降4.4%，</w:t>
      </w:r>
      <w:r>
        <w:rPr>
          <w:rFonts w:hint="default" w:ascii="Times New Roman" w:hAnsi="Times New Roman" w:eastAsia="方正仿宋_GBK"/>
          <w:sz w:val="32"/>
          <w:szCs w:val="32"/>
          <w:shd w:val="clear" w:color="auto" w:fill="FFFFFF"/>
        </w:rPr>
        <w:t>主要原因是2024年6月调离职工1名。</w:t>
      </w:r>
    </w:p>
    <w:p>
      <w:pPr>
        <w:spacing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rPr>
        <w:t>住房保障支出7.41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w:t>
      </w:r>
      <w:r>
        <w:rPr>
          <w:rFonts w:ascii="方正仿宋_GBK" w:hAnsi="方正仿宋_GBK" w:eastAsia="方正仿宋_GBK" w:cs="方正仿宋_GBK"/>
          <w:sz w:val="32"/>
          <w:szCs w:val="32"/>
          <w:shd w:val="clear" w:color="auto" w:fill="FFFFFF"/>
        </w:rPr>
        <w:t>，较年初预算数增加3.01万元，增长68.4%，</w:t>
      </w:r>
      <w:r>
        <w:rPr>
          <w:rFonts w:hint="default" w:ascii="Times New Roman" w:hAnsi="Times New Roman" w:eastAsia="方正仿宋_GBK"/>
          <w:sz w:val="32"/>
          <w:szCs w:val="32"/>
          <w:shd w:val="clear" w:color="auto" w:fill="FFFFFF"/>
        </w:rPr>
        <w:t>主要原因是住房公积金基数增加。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104.32</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93.24</w:t>
      </w:r>
      <w:r>
        <w:rPr>
          <w:rFonts w:hint="default" w:ascii="Times New Roman" w:hAnsi="Times New Roman" w:eastAsia="方正仿宋_GBK"/>
          <w:sz w:val="32"/>
          <w:szCs w:val="32"/>
          <w:shd w:val="clear" w:color="auto" w:fill="FFFFFF"/>
        </w:rPr>
        <w:t>万元，与2023年度相比，减少20.63万元，下降18.1%，主要原因是人员调出，人员经费减少。人员经费用途主要包括</w:t>
      </w:r>
      <w:r>
        <w:rPr>
          <w:rStyle w:val="10"/>
          <w:rFonts w:hint="default" w:ascii="Times New Roman" w:hAnsi="Times New Roman" w:eastAsia="方正仿宋_GBK"/>
          <w:b w:val="0"/>
          <w:bCs/>
          <w:sz w:val="32"/>
          <w:szCs w:val="32"/>
          <w:shd w:val="clear" w:color="auto" w:fill="FFFFFF"/>
        </w:rPr>
        <w:t>岗位工资、薪级工资和绩效工资、社会保障缴费、住房公积金、其他工资福利等。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11.07</w:t>
      </w:r>
      <w:r>
        <w:rPr>
          <w:rFonts w:hint="default" w:ascii="Times New Roman" w:hAnsi="Times New Roman" w:eastAsia="方正仿宋_GBK"/>
          <w:sz w:val="32"/>
          <w:szCs w:val="32"/>
          <w:shd w:val="clear" w:color="auto" w:fill="FFFFFF"/>
        </w:rPr>
        <w:t>万元，与2023年度相比，减少7.37万元，下降40.0%，主要原因是严格落实县委县政府过紧日子要求，压缩公用经费预算。公用经费用途主要包括</w:t>
      </w:r>
      <w:r>
        <w:rPr>
          <w:rStyle w:val="10"/>
          <w:rFonts w:hint="default" w:ascii="Times New Roman" w:hAnsi="Times New Roman" w:eastAsia="方正仿宋_GBK"/>
          <w:b w:val="0"/>
          <w:bCs/>
          <w:sz w:val="32"/>
          <w:szCs w:val="32"/>
          <w:shd w:val="clear" w:color="auto" w:fill="FFFFFF"/>
        </w:rPr>
        <w:t>办公费、培训费、工会经费、福利费等</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三、财政拨款</w:t>
      </w:r>
      <w:r>
        <w:rPr>
          <w:rStyle w:val="10"/>
          <w:rFonts w:hint="eastAsia" w:ascii="方正黑体_GBK" w:hAnsi="方正黑体_GBK" w:eastAsia="方正黑体_GBK" w:cs="方正黑体_GBK"/>
          <w:sz w:val="32"/>
          <w:szCs w:val="32"/>
          <w:shd w:val="clear" w:color="auto" w:fill="FFFFFF"/>
          <w:lang w:eastAsia="zh-CN"/>
        </w:rPr>
        <w:t>三公</w:t>
      </w:r>
      <w:r>
        <w:rPr>
          <w:rStyle w:val="10"/>
          <w:rFonts w:ascii="方正黑体_GBK" w:hAnsi="方正黑体_GBK" w:eastAsia="方正黑体_GBK" w:cs="方正黑体_GBK"/>
          <w:sz w:val="32"/>
          <w:szCs w:val="32"/>
          <w:shd w:val="clear" w:color="auto" w:fill="FFFFFF"/>
        </w:rPr>
        <w:t>经费情况说明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经费支出总体情况说明</w:t>
      </w:r>
    </w:p>
    <w:p>
      <w:pPr>
        <w:pStyle w:val="11"/>
        <w:autoSpaceDE w:val="0"/>
        <w:spacing w:line="594" w:lineRule="exact"/>
        <w:ind w:firstLine="640"/>
        <w:rPr>
          <w:rStyle w:val="10"/>
          <w:rFonts w:ascii="Times New Roman" w:hAnsi="Times New Roman" w:eastAsia="方正仿宋_GBK"/>
          <w:b w:val="0"/>
          <w:bCs/>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w:t>
      </w:r>
      <w:bookmarkStart w:id="0" w:name="_GoBack"/>
      <w:bookmarkEnd w:id="0"/>
      <w:r>
        <w:rPr>
          <w:rFonts w:ascii="方正仿宋_GBK" w:hAnsi="方正仿宋_GBK" w:eastAsia="方正仿宋_GBK" w:cs="方正仿宋_GBK"/>
          <w:sz w:val="32"/>
          <w:szCs w:val="32"/>
          <w:shd w:val="clear" w:color="auto" w:fill="FFFFFF"/>
        </w:rPr>
        <w:t>数无增减，主要原因是我单位2024年未发生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11"/>
        <w:autoSpaceDE w:val="0"/>
        <w:spacing w:line="594" w:lineRule="exact"/>
        <w:ind w:firstLine="640"/>
        <w:rPr>
          <w:rStyle w:val="10"/>
          <w:rFonts w:ascii="Times New Roman" w:hAnsi="Times New Roman" w:eastAsia="方正仿宋_GBK"/>
          <w:b w:val="0"/>
          <w:bCs/>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bCs/>
          <w:sz w:val="32"/>
          <w:szCs w:val="32"/>
          <w:shd w:val="clear" w:color="auto" w:fill="FFFFFF"/>
        </w:rPr>
      </w:pPr>
      <w:r>
        <w:rPr>
          <w:rStyle w:val="10"/>
          <w:rFonts w:ascii="Times New Roman" w:hAnsi="Times New Roman" w:eastAsia="方正仿宋_GBK"/>
          <w:b w:val="0"/>
          <w:bCs/>
          <w:sz w:val="32"/>
          <w:szCs w:val="32"/>
          <w:shd w:val="clear" w:color="auto" w:fill="FFFFFF"/>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6"/>
        <w:shd w:val="clear" w:color="auto" w:fill="FFFFFF"/>
        <w:spacing w:beforeAutospacing="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四、其他需要说明的事项</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bCs/>
          <w:sz w:val="32"/>
          <w:szCs w:val="32"/>
          <w:shd w:val="clear" w:color="auto" w:fill="FFFFFF"/>
        </w:rPr>
      </w:pPr>
      <w:r>
        <w:rPr>
          <w:rStyle w:val="10"/>
          <w:rFonts w:ascii="Times New Roman" w:hAnsi="Times New Roman" w:eastAsia="方正仿宋_GBK"/>
          <w:b w:val="0"/>
          <w:bCs/>
          <w:sz w:val="32"/>
          <w:szCs w:val="32"/>
          <w:shd w:val="clear" w:color="auto" w:fill="FFFFFF"/>
        </w:rPr>
        <w:t>本年度会议费支出0.00万元，与2023年度相比，无增减，与上年持平。本年度培训费支出0.29万元，与2023年度相比，减少0.07万元，下降19.4%，主要原因是节约开支，减少不必要培训。</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bCs/>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bCs/>
          <w:sz w:val="32"/>
          <w:szCs w:val="32"/>
          <w:shd w:val="clear" w:color="auto" w:fill="FFFFFF"/>
        </w:rPr>
      </w:pPr>
      <w:r>
        <w:rPr>
          <w:rStyle w:val="10"/>
          <w:rFonts w:hint="default" w:ascii="Times New Roman" w:hAnsi="Times New Roman" w:eastAsia="方正仿宋_GBK"/>
          <w:b w:val="0"/>
          <w:bCs/>
          <w:sz w:val="32"/>
          <w:szCs w:val="32"/>
          <w:shd w:val="clear" w:color="auto" w:fill="FFFFFF"/>
        </w:rPr>
        <w:t>截至</w:t>
      </w:r>
      <w:r>
        <w:rPr>
          <w:rStyle w:val="10"/>
          <w:rFonts w:ascii="Times New Roman" w:hAnsi="Times New Roman" w:eastAsia="方正仿宋_GBK"/>
          <w:b w:val="0"/>
          <w:bCs/>
          <w:sz w:val="32"/>
          <w:szCs w:val="32"/>
          <w:shd w:val="clear" w:color="auto" w:fill="FFFFFF"/>
        </w:rPr>
        <w:t>2024年</w:t>
      </w:r>
      <w:r>
        <w:rPr>
          <w:rStyle w:val="10"/>
          <w:rFonts w:hint="default" w:ascii="Times New Roman" w:hAnsi="Times New Roman" w:eastAsia="方正仿宋_GBK"/>
          <w:b w:val="0"/>
          <w:bCs/>
          <w:sz w:val="32"/>
          <w:szCs w:val="32"/>
          <w:shd w:val="clear" w:color="auto" w:fill="FFFFFF"/>
        </w:rPr>
        <w:t>12月31日，本</w:t>
      </w:r>
      <w:r>
        <w:rPr>
          <w:rStyle w:val="10"/>
          <w:rFonts w:ascii="Times New Roman" w:hAnsi="Times New Roman" w:eastAsia="方正仿宋_GBK"/>
          <w:b w:val="0"/>
          <w:bCs/>
          <w:sz w:val="32"/>
          <w:szCs w:val="32"/>
          <w:shd w:val="clear" w:color="auto" w:fill="FFFFFF"/>
        </w:rPr>
        <w:t>单位</w:t>
      </w:r>
      <w:r>
        <w:rPr>
          <w:rStyle w:val="10"/>
          <w:rFonts w:hint="default" w:ascii="Times New Roman" w:hAnsi="Times New Roman" w:eastAsia="方正仿宋_GBK"/>
          <w:b w:val="0"/>
          <w:bCs/>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bCs/>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12"/>
        <w:spacing w:before="0" w:beforeAutospacing="0" w:after="0" w:afterAutospacing="0" w:line="594" w:lineRule="exact"/>
        <w:ind w:firstLine="643" w:firstLineChars="200"/>
        <w:rPr>
          <w:rStyle w:val="10"/>
          <w:rFonts w:ascii="Times New Roman" w:hAnsi="Times New Roman" w:eastAsia="方正黑体_GBK"/>
          <w:sz w:val="32"/>
          <w:szCs w:val="32"/>
          <w:shd w:val="clear" w:color="auto" w:fill="FFFFFF"/>
        </w:rPr>
      </w:pPr>
      <w:r>
        <w:rPr>
          <w:rStyle w:val="10"/>
          <w:rFonts w:ascii="Times New Roman" w:hAnsi="Times New Roman" w:eastAsia="方正黑体_GBK"/>
          <w:sz w:val="32"/>
          <w:szCs w:val="32"/>
          <w:shd w:val="clear" w:color="auto" w:fill="FFFFFF"/>
        </w:rPr>
        <w:t>五、2024年度预算绩效管理情况说明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12"/>
        <w:autoSpaceDE w:val="0"/>
        <w:spacing w:before="0" w:beforeAutospacing="0" w:after="0" w:afterAutospacing="0" w:line="594" w:lineRule="exact"/>
        <w:ind w:firstLine="640" w:firstLineChars="200"/>
        <w:rPr>
          <w:rStyle w:val="10"/>
          <w:rFonts w:ascii="Times New Roman" w:hAnsi="Times New Roman" w:eastAsia="方正仿宋_GBK"/>
          <w:b w:val="0"/>
          <w:bCs/>
          <w:sz w:val="32"/>
          <w:szCs w:val="32"/>
          <w:shd w:val="clear" w:color="auto" w:fill="FFFFFF"/>
        </w:rPr>
      </w:pPr>
      <w:r>
        <w:rPr>
          <w:rStyle w:val="10"/>
          <w:rFonts w:ascii="Times New Roman" w:hAnsi="Times New Roman" w:eastAsia="方正仿宋_GBK"/>
          <w:b w:val="0"/>
          <w:bCs/>
          <w:sz w:val="32"/>
          <w:szCs w:val="32"/>
          <w:shd w:val="clear" w:color="auto" w:fill="FFFFFF"/>
        </w:rPr>
        <w:t>202</w:t>
      </w:r>
      <w:r>
        <w:rPr>
          <w:rStyle w:val="10"/>
          <w:rFonts w:hint="eastAsia" w:ascii="Times New Roman" w:hAnsi="Times New Roman" w:eastAsia="方正仿宋_GBK"/>
          <w:b w:val="0"/>
          <w:bCs/>
          <w:sz w:val="32"/>
          <w:szCs w:val="32"/>
          <w:shd w:val="clear" w:color="auto" w:fill="FFFFFF"/>
        </w:rPr>
        <w:t>4年度我单位无项目，未开展预算绩效管理工作，无绩效自评表。</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pPr>
        <w:pStyle w:val="12"/>
        <w:autoSpaceDE w:val="0"/>
        <w:spacing w:before="0" w:beforeAutospacing="0" w:after="0" w:afterAutospacing="0" w:line="594" w:lineRule="exact"/>
        <w:ind w:firstLine="640" w:firstLineChars="200"/>
        <w:rPr>
          <w:rStyle w:val="10"/>
          <w:rFonts w:ascii="Times New Roman" w:hAnsi="Times New Roman" w:eastAsia="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rPr>
        <w:t>我单位未组织开展绩效评价。</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pPr>
        <w:pStyle w:val="12"/>
        <w:autoSpaceDE w:val="0"/>
        <w:spacing w:before="0" w:beforeAutospacing="0" w:after="0" w:afterAutospacing="0" w:line="594" w:lineRule="exact"/>
        <w:ind w:firstLine="640" w:firstLineChars="200"/>
        <w:rPr>
          <w:rStyle w:val="10"/>
          <w:rFonts w:ascii="Times New Roman" w:hAnsi="Times New Roman" w:eastAsia="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rPr>
        <w:t>2024年度县财政局未委托第三方对我单位开展绩效评价。</w:t>
      </w:r>
    </w:p>
    <w:p>
      <w:pPr>
        <w:pStyle w:val="12"/>
        <w:autoSpaceDE w:val="0"/>
        <w:spacing w:before="0" w:beforeAutospacing="0" w:after="0" w:afterAutospacing="0" w:line="594" w:lineRule="exact"/>
        <w:ind w:firstLine="643" w:firstLineChars="200"/>
        <w:rPr>
          <w:rFonts w:ascii="方正黑体_GBK" w:hAnsi="方正黑体_GBK" w:eastAsia="方正黑体_GBK" w:cs="方正黑体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3"/>
          <w:rFonts w:hint="eastAsia" w:ascii="方正黑体_GBK" w:hAnsi="方正黑体_GBK" w:eastAsia="方正黑体_GBK" w:cs="方正黑体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 xml:space="preserve"> 六、专业名词解释</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4" w:lineRule="exact"/>
        <w:ind w:firstLine="643" w:firstLineChars="200"/>
        <w:rPr>
          <w:rFonts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本单位决算公开信息反馈和联系方式：程</w:t>
      </w:r>
      <w:r>
        <w:rPr>
          <w:rFonts w:hint="eastAsia" w:ascii="Times New Roman" w:hAnsi="Times New Roman" w:eastAsia="方正仿宋_GBK"/>
          <w:sz w:val="32"/>
          <w:szCs w:val="32"/>
          <w:shd w:val="clear" w:color="auto" w:fill="FFFFFF"/>
        </w:rPr>
        <w:t>老师</w:t>
      </w:r>
      <w:r>
        <w:rPr>
          <w:rFonts w:ascii="Times New Roman" w:hAnsi="Times New Roman" w:eastAsia="方正仿宋_GBK"/>
          <w:sz w:val="32"/>
          <w:szCs w:val="32"/>
          <w:shd w:val="clear" w:color="auto" w:fill="FFFFFF"/>
        </w:rPr>
        <w:t xml:space="preserve">   023-74681010</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垫江县群山管理中心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垫江县群山管理中心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垫江县群山管理中心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垫江县群山管理中心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垫江县群山管理中心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垫江县群山管理中心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93.24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垫江县群山管理中心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垫江县群山管理中心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垫江县群山管理中心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239C6"/>
    <w:rsid w:val="001D3BB7"/>
    <w:rsid w:val="00227DCD"/>
    <w:rsid w:val="002B254B"/>
    <w:rsid w:val="0034050A"/>
    <w:rsid w:val="0044504F"/>
    <w:rsid w:val="00466C9B"/>
    <w:rsid w:val="00486CFC"/>
    <w:rsid w:val="00491DDD"/>
    <w:rsid w:val="00550ABE"/>
    <w:rsid w:val="005A37F2"/>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A6C7B"/>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D0DD2"/>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8217</Words>
  <Characters>10394</Characters>
  <Lines>94</Lines>
  <Paragraphs>26</Paragraphs>
  <TotalTime>16</TotalTime>
  <ScaleCrop>false</ScaleCrop>
  <LinksUpToDate>false</LinksUpToDate>
  <CharactersWithSpaces>11429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2025-09-17T06:32:42Z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