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垫江县公共资源交易中心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shd w:val="clear" w:color="auto" w:fill="FFFFFF"/>
        <w:spacing w:beforeAutospacing="0" w:afterAutospacing="0" w:line="600" w:lineRule="exact"/>
        <w:ind w:firstLine="643" w:firstLineChars="200"/>
        <w:rPr>
          <w:rFonts w:hint="eastAsia" w:ascii="仿宋_GB2312" w:hAnsi="仿宋_GB2312" w:eastAsia="仿宋_GB2312" w:cs="仿宋_GB2312"/>
          <w:sz w:val="32"/>
          <w:szCs w:val="32"/>
          <w:shd w:val="clear" w:color="auto" w:fill="FFFFFF"/>
          <w:lang w:eastAsia="zh-CN"/>
        </w:rPr>
      </w:pPr>
      <w:r>
        <w:rPr>
          <w:rStyle w:val="10"/>
          <w:rFonts w:hint="eastAsia" w:ascii="黑体" w:hAnsi="黑体" w:eastAsia="黑体" w:cs="黑体"/>
          <w:sz w:val="32"/>
          <w:szCs w:val="32"/>
          <w:shd w:val="clear" w:color="auto" w:fill="FFFFFF"/>
          <w:lang w:val="en-US" w:eastAsia="zh-CN"/>
        </w:rPr>
        <w:t xml:space="preserve">  </w:t>
      </w:r>
      <w:r>
        <w:rPr>
          <w:rFonts w:ascii="仿宋_GB2312" w:hAnsi="仿宋_GB2312" w:eastAsia="仿宋_GB2312" w:cs="仿宋_GB2312"/>
          <w:sz w:val="32"/>
          <w:szCs w:val="32"/>
          <w:shd w:val="clear" w:color="auto" w:fill="FFFFFF"/>
        </w:rPr>
        <w:t>垫江县公共资源交易中心为参照公务员管理办法执行的事业单位，按照政府会计制度会计核算，编制数为14人，</w:t>
      </w:r>
      <w:r>
        <w:rPr>
          <w:rFonts w:hint="eastAsia" w:ascii="仿宋_GB2312" w:hAnsi="仿宋_GB2312" w:eastAsia="仿宋_GB2312" w:cs="仿宋_GB2312"/>
          <w:sz w:val="32"/>
          <w:szCs w:val="32"/>
          <w:shd w:val="clear" w:color="auto" w:fill="FFFFFF"/>
          <w:lang w:val="en-US" w:eastAsia="zh-CN"/>
        </w:rPr>
        <w:t>2024年</w:t>
      </w:r>
      <w:r>
        <w:rPr>
          <w:rFonts w:ascii="仿宋_GB2312" w:hAnsi="仿宋_GB2312" w:eastAsia="仿宋_GB2312" w:cs="仿宋_GB2312"/>
          <w:sz w:val="32"/>
          <w:szCs w:val="32"/>
          <w:shd w:val="clear" w:color="auto" w:fill="FFFFFF"/>
        </w:rPr>
        <w:t>实际在职人员年末1</w:t>
      </w:r>
      <w:r>
        <w:rPr>
          <w:rFonts w:hint="eastAsia" w:ascii="仿宋_GB2312" w:hAnsi="仿宋_GB2312" w:eastAsia="仿宋_GB2312" w:cs="仿宋_GB2312"/>
          <w:sz w:val="32"/>
          <w:szCs w:val="32"/>
          <w:shd w:val="clear" w:color="auto" w:fill="FFFFFF"/>
          <w:lang w:val="en-US" w:eastAsia="zh-CN"/>
        </w:rPr>
        <w:t>2</w:t>
      </w:r>
      <w:r>
        <w:rPr>
          <w:rFonts w:ascii="仿宋_GB2312" w:hAnsi="仿宋_GB2312" w:eastAsia="仿宋_GB2312" w:cs="仿宋_GB2312"/>
          <w:sz w:val="32"/>
          <w:szCs w:val="32"/>
          <w:shd w:val="clear" w:color="auto" w:fill="FFFFFF"/>
        </w:rPr>
        <w:t>人，购买服务人员年末3人</w:t>
      </w:r>
      <w:r>
        <w:rPr>
          <w:rFonts w:hint="eastAsia" w:ascii="仿宋_GB2312" w:hAnsi="仿宋_GB2312" w:eastAsia="仿宋_GB2312" w:cs="仿宋_GB2312"/>
          <w:sz w:val="32"/>
          <w:szCs w:val="32"/>
          <w:shd w:val="clear" w:color="auto" w:fill="FFFFFF"/>
          <w:lang w:eastAsia="zh-CN"/>
        </w:rPr>
        <w:t>。</w:t>
      </w:r>
    </w:p>
    <w:p>
      <w:pPr>
        <w:pStyle w:val="6"/>
        <w:shd w:val="clear" w:color="auto" w:fill="FFFFFF"/>
        <w:spacing w:beforeAutospacing="0" w:afterAutospacing="0" w:line="600"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rPr>
          <w:rFonts w:hint="default" w:ascii="仿宋_GB2312" w:hAnsi="仿宋_GB2312" w:eastAsia="仿宋_GB2312" w:cs="仿宋_GB2312"/>
          <w:shd w:val="clear" w:color="auto" w:fill="FFFFFF"/>
        </w:rPr>
      </w:pPr>
      <w:r>
        <w:rPr>
          <w:rFonts w:ascii="仿宋_GB2312" w:hAnsi="仿宋_GB2312" w:eastAsia="仿宋_GB2312" w:cs="仿宋_GB2312"/>
          <w:sz w:val="32"/>
          <w:szCs w:val="32"/>
          <w:shd w:val="clear" w:color="auto" w:fill="FFFFFF"/>
        </w:rPr>
        <w:t>为全县达到限额标准的各类公共资源交易活动提供场地和服务。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设办公室、财务科、信息科、交易一科（工程招投标、土地出让、产权交易、矿业权出让）、交易二科（政府采购）、法规科等六个科室。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度收入总计397.27万元，支出总计</w:t>
      </w:r>
      <w:r>
        <w:rPr>
          <w:rFonts w:ascii="方正仿宋_GBK" w:hAnsi="方正仿宋_GBK" w:eastAsia="方正仿宋_GBK" w:cs="方正仿宋_GBK"/>
          <w:sz w:val="32"/>
          <w:szCs w:val="32"/>
        </w:rPr>
        <w:t>397.27</w:t>
      </w:r>
      <w:r>
        <w:rPr>
          <w:rFonts w:ascii="方正仿宋_GBK" w:hAnsi="方正仿宋_GBK" w:eastAsia="方正仿宋_GBK" w:cs="方正仿宋_GBK"/>
          <w:sz w:val="32"/>
          <w:szCs w:val="32"/>
          <w:shd w:val="clear" w:color="auto" w:fill="FFFFFF"/>
        </w:rPr>
        <w:t>万元。收、支与2023年度相比，增加14.27万元，增长3.73%，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本年度为更好的优化营商环境增加弱电设备费用及按财政要求清算往年社保缴纳费用并对其进行了补缴增加基本支出费用。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度收入合计357.98万元，与2023年度相比，减少24.73万元，下降6.46%，主要原因是</w:t>
      </w:r>
      <w:r>
        <w:rPr>
          <w:rFonts w:hint="eastAsia" w:ascii="方正仿宋_GBK" w:hAnsi="方正仿宋_GBK" w:eastAsia="方正仿宋_GBK" w:cs="方正仿宋_GBK"/>
          <w:color w:val="auto"/>
          <w:sz w:val="32"/>
          <w:szCs w:val="32"/>
          <w:shd w:val="clear" w:color="auto" w:fill="FFFFFF"/>
          <w:lang w:eastAsia="zh-CN"/>
        </w:rPr>
        <w:t>本年度有人员退休预算相对减少。</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357.98</w:t>
      </w:r>
      <w:r>
        <w:rPr>
          <w:rFonts w:ascii="方正仿宋_GBK" w:hAnsi="方正仿宋_GBK" w:eastAsia="方正仿宋_GBK" w:cs="方正仿宋_GBK"/>
          <w:color w:val="auto"/>
          <w:sz w:val="32"/>
          <w:szCs w:val="32"/>
          <w:shd w:val="clear" w:color="auto" w:fill="FFFFFF"/>
        </w:rPr>
        <w:t>万</w:t>
      </w:r>
      <w:r>
        <w:rPr>
          <w:rFonts w:ascii="方正仿宋_GBK" w:hAnsi="方正仿宋_GBK" w:eastAsia="方正仿宋_GBK" w:cs="方正仿宋_GBK"/>
          <w:sz w:val="32"/>
          <w:szCs w:val="32"/>
          <w:shd w:val="clear" w:color="auto" w:fill="FFFFFF"/>
        </w:rPr>
        <w:t>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39.29</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396.98</w:t>
      </w:r>
      <w:r>
        <w:rPr>
          <w:rFonts w:ascii="方正仿宋_GBK" w:hAnsi="方正仿宋_GBK" w:eastAsia="方正仿宋_GBK" w:cs="方正仿宋_GBK"/>
          <w:sz w:val="32"/>
          <w:szCs w:val="32"/>
          <w:shd w:val="clear" w:color="auto" w:fill="FFFFFF"/>
        </w:rPr>
        <w:t>万元，与2023年度相比，增加14.27万元，增长3.73%，主要原因是</w:t>
      </w:r>
      <w:r>
        <w:rPr>
          <w:rFonts w:hint="eastAsia" w:ascii="方正仿宋_GBK" w:hAnsi="方正仿宋_GBK" w:eastAsia="方正仿宋_GBK" w:cs="方正仿宋_GBK"/>
          <w:color w:val="auto"/>
          <w:sz w:val="32"/>
          <w:szCs w:val="32"/>
          <w:shd w:val="clear" w:color="auto" w:fill="FFFFFF"/>
          <w:lang w:eastAsia="zh-CN"/>
        </w:rPr>
        <w:t>本年度为更好的优化营商环境增加弱电设备费用及按财政要求清算往年社保缴纳费用并对其进行了补缴增加基本支出费用。</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338.85</w:t>
      </w:r>
      <w:r>
        <w:rPr>
          <w:rFonts w:ascii="方正仿宋_GBK" w:hAnsi="方正仿宋_GBK" w:eastAsia="方正仿宋_GBK" w:cs="方正仿宋_GBK"/>
          <w:sz w:val="32"/>
          <w:szCs w:val="32"/>
          <w:shd w:val="clear" w:color="auto" w:fill="FFFFFF"/>
        </w:rPr>
        <w:t>万元，占85.36%；项目支出</w:t>
      </w:r>
      <w:r>
        <w:rPr>
          <w:rFonts w:ascii="方正仿宋_GBK" w:hAnsi="方正仿宋_GBK" w:eastAsia="方正仿宋_GBK" w:cs="方正仿宋_GBK"/>
          <w:sz w:val="32"/>
          <w:szCs w:val="32"/>
        </w:rPr>
        <w:t>58.13</w:t>
      </w:r>
      <w:r>
        <w:rPr>
          <w:rFonts w:ascii="方正仿宋_GBK" w:hAnsi="方正仿宋_GBK" w:eastAsia="方正仿宋_GBK" w:cs="方正仿宋_GBK"/>
          <w:sz w:val="32"/>
          <w:szCs w:val="32"/>
          <w:shd w:val="clear" w:color="auto" w:fill="FFFFFF"/>
        </w:rPr>
        <w:t>万元，占14.64%；经营支出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往年结余未支出。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度财政拨款收、支总计397.27万元。与202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年相比，财政拨款收、支总计各增加14.27万元，增长3.73%。主要原因是</w:t>
      </w:r>
      <w:r>
        <w:rPr>
          <w:rFonts w:hint="eastAsia" w:ascii="方正仿宋_GBK" w:hAnsi="方正仿宋_GBK" w:eastAsia="方正仿宋_GBK" w:cs="方正仿宋_GBK"/>
          <w:color w:val="auto"/>
          <w:sz w:val="32"/>
          <w:szCs w:val="32"/>
          <w:shd w:val="clear" w:color="auto" w:fill="FFFFFF"/>
          <w:lang w:eastAsia="zh-CN"/>
        </w:rPr>
        <w:t>补缴职工清算社保和增加弱电设备采购增加支出费用。</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357.98</w:t>
      </w:r>
      <w:r>
        <w:rPr>
          <w:rFonts w:ascii="方正仿宋_GBK" w:hAnsi="方正仿宋_GBK" w:eastAsia="方正仿宋_GBK" w:cs="方正仿宋_GBK"/>
          <w:color w:val="auto"/>
          <w:sz w:val="32"/>
          <w:szCs w:val="32"/>
          <w:shd w:val="clear" w:color="auto" w:fill="FFFFFF"/>
        </w:rPr>
        <w:t>万元，与2023年度相比，减少24.73万元，下降6.46%。主要原因是</w:t>
      </w:r>
      <w:r>
        <w:rPr>
          <w:rFonts w:hint="eastAsia" w:ascii="方正仿宋_GBK" w:hAnsi="方正仿宋_GBK" w:eastAsia="方正仿宋_GBK" w:cs="方正仿宋_GBK"/>
          <w:color w:val="auto"/>
          <w:sz w:val="32"/>
          <w:szCs w:val="32"/>
          <w:shd w:val="clear" w:color="auto" w:fill="FFFFFF"/>
          <w:lang w:eastAsia="zh-CN"/>
        </w:rPr>
        <w:t>人员减少，预算减少</w:t>
      </w:r>
      <w:r>
        <w:rPr>
          <w:rFonts w:ascii="方正仿宋_GBK" w:hAnsi="方正仿宋_GBK" w:eastAsia="方正仿宋_GBK" w:cs="方正仿宋_GBK"/>
          <w:color w:val="auto"/>
          <w:sz w:val="32"/>
          <w:szCs w:val="32"/>
          <w:shd w:val="clear" w:color="auto" w:fill="FFFFFF"/>
        </w:rPr>
        <w:t>。较年初预算数增加9.53万元，增长2.73%。主要原因是</w:t>
      </w:r>
      <w:r>
        <w:rPr>
          <w:rFonts w:hint="eastAsia" w:ascii="方正仿宋_GBK" w:hAnsi="方正仿宋_GBK" w:eastAsia="方正仿宋_GBK" w:cs="方正仿宋_GBK"/>
          <w:color w:val="auto"/>
          <w:sz w:val="32"/>
          <w:szCs w:val="32"/>
          <w:shd w:val="clear" w:color="auto" w:fill="FFFFFF"/>
          <w:lang w:eastAsia="zh-CN"/>
        </w:rPr>
        <w:t>住房社保预算增加，总基本支出总费用增加</w:t>
      </w:r>
      <w:r>
        <w:rPr>
          <w:rFonts w:ascii="方正仿宋_GBK" w:hAnsi="方正仿宋_GBK" w:eastAsia="方正仿宋_GBK" w:cs="方正仿宋_GBK"/>
          <w:color w:val="auto"/>
          <w:sz w:val="32"/>
          <w:szCs w:val="32"/>
          <w:shd w:val="clear" w:color="auto" w:fill="FFFFFF"/>
        </w:rPr>
        <w:t>。此外，年初财政拨款结转和结余</w:t>
      </w:r>
      <w:r>
        <w:rPr>
          <w:rFonts w:hint="eastAsia" w:ascii="方正仿宋_GBK" w:hAnsi="方正仿宋_GBK" w:eastAsia="方正仿宋_GBK" w:cs="方正仿宋_GBK"/>
          <w:color w:val="auto"/>
          <w:sz w:val="32"/>
          <w:szCs w:val="32"/>
          <w:lang w:val="en-US" w:eastAsia="zh-CN"/>
        </w:rPr>
        <w:t>39.</w:t>
      </w:r>
      <w:r>
        <w:rPr>
          <w:rFonts w:ascii="方正仿宋_GBK" w:hAnsi="方正仿宋_GBK" w:eastAsia="方正仿宋_GBK" w:cs="方正仿宋_GBK"/>
          <w:color w:val="auto"/>
          <w:sz w:val="32"/>
          <w:szCs w:val="32"/>
        </w:rPr>
        <w:t>29</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396.98</w:t>
      </w:r>
      <w:r>
        <w:rPr>
          <w:rFonts w:ascii="方正仿宋_GBK" w:hAnsi="方正仿宋_GBK" w:eastAsia="方正仿宋_GBK" w:cs="方正仿宋_GBK"/>
          <w:color w:val="auto"/>
          <w:sz w:val="32"/>
          <w:szCs w:val="32"/>
          <w:shd w:val="clear" w:color="auto" w:fill="FFFFFF"/>
        </w:rPr>
        <w:t>万元，与2023年度相比，增加14.27万元，增长3.73%。主要原因是</w:t>
      </w:r>
      <w:r>
        <w:rPr>
          <w:rFonts w:hint="eastAsia" w:ascii="方正仿宋_GBK" w:hAnsi="方正仿宋_GBK" w:eastAsia="方正仿宋_GBK" w:cs="方正仿宋_GBK"/>
          <w:color w:val="auto"/>
          <w:sz w:val="32"/>
          <w:szCs w:val="32"/>
          <w:shd w:val="clear" w:color="auto" w:fill="FFFFFF"/>
          <w:lang w:eastAsia="zh-CN"/>
        </w:rPr>
        <w:t>补缴职工清算社保和增加弱电设备采购增加支出费用。</w:t>
      </w:r>
      <w:r>
        <w:rPr>
          <w:rFonts w:ascii="方正仿宋_GBK" w:hAnsi="方正仿宋_GBK" w:eastAsia="方正仿宋_GBK" w:cs="方正仿宋_GBK"/>
          <w:color w:val="auto"/>
          <w:sz w:val="32"/>
          <w:szCs w:val="32"/>
          <w:shd w:val="clear" w:color="auto" w:fill="FFFFFF"/>
        </w:rPr>
        <w:t>较年初预算数增加48.53万元，增长13.93%。主要原因是</w:t>
      </w:r>
      <w:r>
        <w:rPr>
          <w:rFonts w:hint="eastAsia" w:ascii="方正仿宋_GBK" w:hAnsi="方正仿宋_GBK" w:eastAsia="方正仿宋_GBK" w:cs="方正仿宋_GBK"/>
          <w:color w:val="auto"/>
          <w:sz w:val="32"/>
          <w:szCs w:val="32"/>
          <w:shd w:val="clear" w:color="auto" w:fill="FFFFFF"/>
          <w:lang w:eastAsia="zh-CN"/>
        </w:rPr>
        <w:t>年初预算不足，年末追加支出</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0.29</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未支出往年结余</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313.66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79.01</w:t>
      </w:r>
      <w:r>
        <w:rPr>
          <w:rFonts w:ascii="方正仿宋_GBK" w:hAnsi="方正仿宋_GBK" w:eastAsia="方正仿宋_GBK" w:cs="方正仿宋_GBK"/>
          <w:color w:val="auto"/>
          <w:sz w:val="32"/>
          <w:szCs w:val="32"/>
          <w:shd w:val="clear" w:color="auto" w:fill="FFFFFF"/>
        </w:rPr>
        <w:t>%，较年初预算数增加43.87万元，增长16.26%，主要原因是</w:t>
      </w:r>
      <w:r>
        <w:rPr>
          <w:rFonts w:ascii="方正仿宋_GBK" w:hAnsi="方正仿宋_GBK" w:eastAsia="方正仿宋_GBK" w:cs="方正仿宋_GBK"/>
          <w:sz w:val="32"/>
          <w:szCs w:val="32"/>
          <w:shd w:val="clear" w:color="auto" w:fill="FFFFFF"/>
        </w:rPr>
        <w:t>主要原因是期中追加支出</w:t>
      </w:r>
      <w:r>
        <w:rPr>
          <w:rFonts w:hint="eastAsia" w:ascii="方正仿宋_GBK" w:hAnsi="方正仿宋_GBK" w:eastAsia="方正仿宋_GBK" w:cs="方正仿宋_GBK"/>
          <w:sz w:val="32"/>
          <w:szCs w:val="32"/>
          <w:shd w:val="clear" w:color="auto" w:fill="FFFFFF"/>
          <w:lang w:eastAsia="zh-CN"/>
        </w:rPr>
        <w:t>，比如</w:t>
      </w:r>
      <w:r>
        <w:rPr>
          <w:rFonts w:hint="eastAsia" w:ascii="方正仿宋_GBK" w:hAnsi="方正仿宋_GBK" w:eastAsia="方正仿宋_GBK" w:cs="方正仿宋_GBK"/>
          <w:color w:val="auto"/>
          <w:sz w:val="32"/>
          <w:szCs w:val="32"/>
          <w:shd w:val="clear" w:color="auto" w:fill="FFFFFF"/>
          <w:lang w:eastAsia="zh-CN"/>
        </w:rPr>
        <w:t>增加弱电设备采购增加支出费用等。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43.96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11.07</w:t>
      </w:r>
      <w:r>
        <w:rPr>
          <w:rFonts w:ascii="方正仿宋_GBK" w:hAnsi="方正仿宋_GBK" w:eastAsia="方正仿宋_GBK" w:cs="方正仿宋_GBK"/>
          <w:sz w:val="32"/>
          <w:szCs w:val="32"/>
          <w:shd w:val="clear" w:color="auto" w:fill="FFFFFF"/>
        </w:rPr>
        <w:t>%，较年初预算数增加4.63万元，增长11.77%，主要原因是按本年度的缴费基数上</w:t>
      </w:r>
      <w:r>
        <w:rPr>
          <w:rFonts w:hint="eastAsia" w:ascii="方正仿宋_GBK" w:hAnsi="方正仿宋_GBK" w:eastAsia="方正仿宋_GBK" w:cs="方正仿宋_GBK"/>
          <w:sz w:val="32"/>
          <w:szCs w:val="32"/>
          <w:shd w:val="clear" w:color="auto" w:fill="FFFFFF"/>
          <w:lang w:eastAsia="zh-CN"/>
        </w:rPr>
        <w:t>缴</w:t>
      </w:r>
      <w:r>
        <w:rPr>
          <w:rFonts w:ascii="方正仿宋_GBK" w:hAnsi="方正仿宋_GBK" w:eastAsia="方正仿宋_GBK" w:cs="方正仿宋_GBK"/>
          <w:sz w:val="32"/>
          <w:szCs w:val="32"/>
          <w:shd w:val="clear" w:color="auto" w:fill="FFFFFF"/>
        </w:rPr>
        <w:t>社保</w:t>
      </w:r>
      <w:r>
        <w:rPr>
          <w:rFonts w:hint="eastAsia" w:ascii="方正仿宋_GBK" w:hAnsi="方正仿宋_GBK" w:eastAsia="方正仿宋_GBK" w:cs="方正仿宋_GBK"/>
          <w:sz w:val="32"/>
          <w:szCs w:val="32"/>
          <w:shd w:val="clear" w:color="auto" w:fill="FFFFFF"/>
          <w:lang w:eastAsia="zh-CN"/>
        </w:rPr>
        <w:t>并清算补缴往年费用</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4.18</w:t>
      </w:r>
      <w:r>
        <w:rPr>
          <w:rFonts w:ascii="方正仿宋_GBK" w:hAnsi="方正仿宋_GBK" w:eastAsia="方正仿宋_GBK" w:cs="方正仿宋_GBK"/>
          <w:sz w:val="32"/>
          <w:szCs w:val="32"/>
          <w:shd w:val="clear" w:color="auto" w:fill="FFFFFF"/>
        </w:rPr>
        <w:t>%，较年初预算数增加0.21万元，增长1.28%，主要原因是医保基数按要求上交</w:t>
      </w:r>
      <w:r>
        <w:rPr>
          <w:rFonts w:hint="eastAsia" w:ascii="方正仿宋_GBK" w:hAnsi="方正仿宋_GBK" w:eastAsia="方正仿宋_GBK" w:cs="方正仿宋_GBK"/>
          <w:sz w:val="32"/>
          <w:szCs w:val="32"/>
          <w:shd w:val="clear" w:color="auto" w:fill="FFFFFF"/>
          <w:lang w:eastAsia="zh-CN"/>
        </w:rPr>
        <w:t>并清算补缴往年费用</w:t>
      </w:r>
      <w:r>
        <w:rPr>
          <w:rFonts w:ascii="方正仿宋_GBK" w:hAnsi="方正仿宋_GBK" w:eastAsia="方正仿宋_GBK" w:cs="方正仿宋_GBK"/>
          <w:sz w:val="32"/>
          <w:szCs w:val="32"/>
          <w:shd w:val="clear" w:color="auto" w:fill="FFFFFF"/>
        </w:rPr>
        <w:t>。</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住房保障支出22.75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5.73</w:t>
      </w:r>
      <w:r>
        <w:rPr>
          <w:rFonts w:ascii="方正仿宋_GBK" w:hAnsi="方正仿宋_GBK" w:eastAsia="方正仿宋_GBK" w:cs="方正仿宋_GBK"/>
          <w:color w:val="auto"/>
          <w:sz w:val="32"/>
          <w:szCs w:val="32"/>
          <w:shd w:val="clear" w:color="auto" w:fill="FFFFFF"/>
        </w:rPr>
        <w:t>%，较年初预算数增加0.74万元，增长3.36%，主要原因是</w:t>
      </w:r>
      <w:r>
        <w:rPr>
          <w:rFonts w:hint="eastAsia" w:ascii="方正仿宋_GBK" w:hAnsi="方正仿宋_GBK" w:eastAsia="方正仿宋_GBK" w:cs="方正仿宋_GBK"/>
          <w:color w:val="auto"/>
          <w:sz w:val="32"/>
          <w:szCs w:val="32"/>
          <w:shd w:val="clear" w:color="auto" w:fill="FFFFFF"/>
          <w:lang w:eastAsia="zh-CN"/>
        </w:rPr>
        <w:t>职工住房公积金基数按要求计算缴纳比上年基数有所增加。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hd w:val="clear" w:color="auto" w:fill="FFFFFF"/>
        <w:autoSpaceDE w:val="0"/>
        <w:adjustRightInd w:val="0"/>
        <w:snapToGrid w:val="0"/>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338.85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290.29</w:t>
      </w:r>
      <w:r>
        <w:rPr>
          <w:rFonts w:ascii="方正仿宋_GBK" w:hAnsi="方正仿宋_GBK" w:eastAsia="方正仿宋_GBK" w:cs="方正仿宋_GBK"/>
          <w:sz w:val="32"/>
          <w:szCs w:val="32"/>
          <w:shd w:val="clear" w:color="auto" w:fill="FFFFFF"/>
        </w:rPr>
        <w:t>万元，与2023年度相比，增加14.35万元，增长5.20%，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清算往年社保和住房公积金增加费用</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ascii="仿宋_GB2312" w:hAnsi="仿宋_GB2312" w:eastAsia="仿宋_GB2312" w:cs="仿宋_GB2312"/>
          <w:sz w:val="32"/>
          <w:szCs w:val="32"/>
          <w:shd w:val="clear" w:color="auto" w:fill="FFFFFF"/>
        </w:rPr>
        <w:t>基本工资、津贴补贴、奖金、五险一金缴费、职业年金缴费、购买服务人员工资及社保费等</w:t>
      </w:r>
      <w:r>
        <w:rPr>
          <w:rFonts w:hint="eastAsia" w:ascii="仿宋_GB2312" w:hAnsi="仿宋_GB2312" w:eastAsia="仿宋_GB2312" w:cs="仿宋_GB2312"/>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48.55</w:t>
      </w:r>
      <w:r>
        <w:rPr>
          <w:rFonts w:ascii="方正仿宋_GBK" w:hAnsi="方正仿宋_GBK" w:eastAsia="方正仿宋_GBK" w:cs="方正仿宋_GBK"/>
          <w:sz w:val="32"/>
          <w:szCs w:val="32"/>
          <w:shd w:val="clear" w:color="auto" w:fill="FFFFFF"/>
        </w:rPr>
        <w:t>万元，与2023年度相比，减少13.96万元，下降22.33%，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从节约出发压缩不必要办公及差旅费经费开支</w:t>
      </w:r>
      <w:r>
        <w:rPr>
          <w:rFonts w:ascii="方正仿宋_GBK" w:hAnsi="方正仿宋_GBK" w:eastAsia="方正仿宋_GBK" w:cs="方正仿宋_GBK"/>
          <w:color w:val="auto"/>
          <w:sz w:val="32"/>
          <w:szCs w:val="32"/>
          <w:shd w:val="clear" w:color="auto" w:fill="FFFFFF"/>
        </w:rPr>
        <w:t>。公用经费用途主要包括办公费、印刷费、</w:t>
      </w:r>
      <w:r>
        <w:rPr>
          <w:rFonts w:ascii="方正仿宋_GBK" w:hAnsi="方正仿宋_GBK" w:eastAsia="方正仿宋_GBK" w:cs="方正仿宋_GBK"/>
          <w:sz w:val="32"/>
          <w:szCs w:val="32"/>
          <w:shd w:val="clear" w:color="auto" w:fill="FFFFFF"/>
        </w:rPr>
        <w:t>邮电费、差旅费、因公出国（境）、公务接待费、劳务费、其他交通费、其他商品服务支出。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Times New Roman" w:hAnsi="Times New Roman" w:eastAsia="方正仿宋_GBK"/>
          <w:b w:val="0"/>
          <w:bCs w:val="0"/>
          <w:color w:val="auto"/>
          <w:sz w:val="32"/>
          <w:szCs w:val="32"/>
          <w:shd w:val="clear" w:color="auto" w:fill="FFFFFF"/>
        </w:rPr>
        <w:t>本单位202</w:t>
      </w:r>
      <w:r>
        <w:rPr>
          <w:rFonts w:hint="eastAsia" w:ascii="Times New Roman" w:hAnsi="Times New Roman" w:eastAsia="方正仿宋_GBK"/>
          <w:b w:val="0"/>
          <w:bCs w:val="0"/>
          <w:color w:val="auto"/>
          <w:sz w:val="32"/>
          <w:szCs w:val="32"/>
          <w:shd w:val="clear" w:color="auto" w:fill="FFFFFF"/>
          <w:lang w:val="en-US" w:eastAsia="zh-CN"/>
        </w:rPr>
        <w:t>4</w:t>
      </w:r>
      <w:r>
        <w:rPr>
          <w:rFonts w:ascii="Times New Roman" w:hAnsi="Times New Roman" w:eastAsia="方正仿宋_GBK"/>
          <w:b w:val="0"/>
          <w:bCs w:val="0"/>
          <w:color w:val="auto"/>
          <w:sz w:val="32"/>
          <w:szCs w:val="32"/>
          <w:shd w:val="clear" w:color="auto" w:fill="FFFFFF"/>
        </w:rPr>
        <w:t>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经费支出共计0.00万元，较年初预算数无增减，主要原因是我单位202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经费支出。较上年支出数无增减，主要原因是我单位本年及上年均未发生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FF"/>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主要原因是本年度我中心未产生</w:t>
      </w:r>
      <w:r>
        <w:rPr>
          <w:rFonts w:hint="eastAsia" w:ascii="方正仿宋_GBK" w:hAnsi="方正仿宋_GBK" w:eastAsia="方正仿宋_GBK" w:cs="方正仿宋_GBK"/>
          <w:color w:val="auto"/>
          <w:sz w:val="32"/>
          <w:szCs w:val="32"/>
          <w:shd w:val="clear" w:color="auto" w:fill="FFFFFF"/>
          <w:lang w:eastAsia="zh-CN"/>
        </w:rPr>
        <w:t>会议</w:t>
      </w:r>
      <w:r>
        <w:rPr>
          <w:rFonts w:ascii="方正仿宋_GBK" w:hAnsi="方正仿宋_GBK" w:eastAsia="方正仿宋_GBK" w:cs="方正仿宋_GBK"/>
          <w:color w:val="auto"/>
          <w:sz w:val="32"/>
          <w:szCs w:val="32"/>
          <w:shd w:val="clear" w:color="auto" w:fill="FFFFFF"/>
        </w:rPr>
        <w:t>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ascii="方正仿宋_GBK" w:hAnsi="方正仿宋_GBK" w:eastAsia="方正仿宋_GBK" w:cs="方正仿宋_GBK"/>
          <w:color w:val="auto"/>
          <w:sz w:val="32"/>
          <w:szCs w:val="32"/>
          <w:shd w:val="clear" w:color="auto" w:fill="FFFFFF"/>
        </w:rPr>
        <w:t>本年度我中心未产生培训费。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color w:val="FF0000"/>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48.55</w:t>
      </w:r>
      <w:r>
        <w:rPr>
          <w:rFonts w:ascii="方正仿宋_GBK" w:hAnsi="方正仿宋_GBK" w:eastAsia="方正仿宋_GBK" w:cs="方正仿宋_GBK"/>
          <w:sz w:val="32"/>
          <w:szCs w:val="32"/>
          <w:shd w:val="clear" w:color="auto" w:fill="FFFFFF"/>
        </w:rPr>
        <w:t>万元，机关运行经费主要用于开支</w:t>
      </w:r>
      <w:r>
        <w:rPr>
          <w:rFonts w:ascii="仿宋_GB2312" w:hAnsi="仿宋_GB2312" w:eastAsia="仿宋_GB2312" w:cs="仿宋_GB2312"/>
          <w:sz w:val="32"/>
          <w:szCs w:val="32"/>
          <w:shd w:val="clear" w:color="auto" w:fill="FFFFFF"/>
        </w:rPr>
        <w:t>交易平台建设、办公费、水费、邮电费、差旅费、劳务费、其他交通费用和其他商品和服务支出。</w:t>
      </w:r>
      <w:r>
        <w:rPr>
          <w:rFonts w:ascii="方正仿宋_GBK" w:hAnsi="方正仿宋_GBK" w:eastAsia="方正仿宋_GBK" w:cs="方正仿宋_GBK"/>
          <w:sz w:val="32"/>
          <w:szCs w:val="32"/>
          <w:shd w:val="clear" w:color="auto" w:fill="FFFFFF"/>
        </w:rPr>
        <w:t>机关运行经费较上年支出数减少13.96万元，下降22.33%，主要原因是</w:t>
      </w:r>
      <w:r>
        <w:rPr>
          <w:rFonts w:hint="eastAsia" w:ascii="方正仿宋_GBK" w:hAnsi="方正仿宋_GBK" w:eastAsia="方正仿宋_GBK" w:cs="方正仿宋_GBK"/>
          <w:sz w:val="32"/>
          <w:szCs w:val="32"/>
          <w:shd w:val="clear" w:color="auto" w:fill="FFFFFF"/>
          <w:lang w:eastAsia="zh-CN"/>
        </w:rPr>
        <w:t>提倡压缩开支“过紧日子”，减少不必要的差旅费支出和办公经费的支出。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autoSpaceDE w:val="0"/>
        <w:spacing w:before="0" w:beforeAutospacing="0" w:line="600" w:lineRule="exact"/>
        <w:ind w:firstLine="640" w:firstLineChars="200"/>
        <w:rPr>
          <w:rStyle w:val="10"/>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bidi="ar"/>
        </w:rPr>
        <w:t>根据预算绩效管理要求，我单位对1个二级项目开展了绩效自评，涉及项目支出资金</w:t>
      </w:r>
      <w:r>
        <w:rPr>
          <w:rFonts w:hint="eastAsia" w:ascii="方正仿宋_GBK" w:hAnsi="方正仿宋_GBK" w:eastAsia="方正仿宋_GBK" w:cs="方正仿宋_GBK"/>
          <w:sz w:val="32"/>
          <w:szCs w:val="32"/>
          <w:shd w:val="clear" w:color="auto" w:fill="FFFFFF"/>
          <w:lang w:val="en-US" w:eastAsia="zh-CN" w:bidi="ar"/>
        </w:rPr>
        <w:t>58.13</w:t>
      </w:r>
      <w:r>
        <w:rPr>
          <w:rFonts w:hint="eastAsia" w:ascii="方正仿宋_GBK" w:hAnsi="方正仿宋_GBK" w:eastAsia="方正仿宋_GBK" w:cs="方正仿宋_GBK"/>
          <w:sz w:val="32"/>
          <w:szCs w:val="32"/>
          <w:shd w:val="clear" w:color="auto" w:fill="FFFFFF"/>
          <w:lang w:bidi="ar"/>
        </w:rPr>
        <w:t>万元。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年，项目资金预算数为</w:t>
      </w:r>
      <w:r>
        <w:rPr>
          <w:rFonts w:hint="eastAsia" w:ascii="仿宋_GB2312" w:hAnsi="仿宋_GB2312" w:eastAsia="仿宋_GB2312" w:cs="仿宋_GB2312"/>
          <w:sz w:val="32"/>
          <w:szCs w:val="32"/>
          <w:lang w:val="en-US" w:eastAsia="zh-CN"/>
        </w:rPr>
        <w:t>58.13</w:t>
      </w:r>
      <w:r>
        <w:rPr>
          <w:rFonts w:ascii="仿宋_GB2312" w:hAnsi="仿宋_GB2312" w:eastAsia="仿宋_GB2312" w:cs="仿宋_GB2312"/>
          <w:sz w:val="32"/>
          <w:szCs w:val="32"/>
        </w:rPr>
        <w:t>万元，累计执行</w:t>
      </w:r>
      <w:r>
        <w:rPr>
          <w:rFonts w:hint="eastAsia" w:ascii="仿宋_GB2312" w:hAnsi="仿宋_GB2312" w:eastAsia="仿宋_GB2312" w:cs="仿宋_GB2312"/>
          <w:sz w:val="32"/>
          <w:szCs w:val="32"/>
          <w:lang w:val="en-US" w:eastAsia="zh-CN"/>
        </w:rPr>
        <w:t>58.13</w:t>
      </w:r>
      <w:r>
        <w:rPr>
          <w:rFonts w:ascii="仿宋_GB2312" w:hAnsi="仿宋_GB2312" w:eastAsia="仿宋_GB2312" w:cs="仿宋_GB2312"/>
          <w:sz w:val="32"/>
          <w:szCs w:val="32"/>
        </w:rPr>
        <w:t>万元，使用完成率达100%，各类项目的资金使用严格按照财政、审计相关文件执行，项目资金使用合理、合法、高效。县公共资源交易中心，遵循“公开透明、公平竞争、公正诚信、廉洁高效”的原则，圆满完成了各项目标任务，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年全年达到限额标准进入公共资源交易中心交易的项目，共成交</w:t>
      </w:r>
      <w:r>
        <w:rPr>
          <w:rFonts w:hint="eastAsia" w:ascii="仿宋_GB2312" w:hAnsi="仿宋_GB2312" w:eastAsia="仿宋_GB2312" w:cs="仿宋_GB2312"/>
          <w:sz w:val="32"/>
          <w:szCs w:val="32"/>
          <w:lang w:val="en-US" w:eastAsia="zh-CN"/>
        </w:rPr>
        <w:t>476</w:t>
      </w:r>
      <w:r>
        <w:rPr>
          <w:rFonts w:ascii="仿宋_GB2312" w:hAnsi="仿宋_GB2312" w:eastAsia="仿宋_GB2312" w:cs="仿宋_GB2312"/>
          <w:sz w:val="32"/>
          <w:szCs w:val="32"/>
        </w:rPr>
        <w:t>宗，成交总额</w:t>
      </w:r>
      <w:r>
        <w:rPr>
          <w:rFonts w:hint="eastAsia" w:ascii="仿宋_GB2312" w:hAnsi="仿宋_GB2312" w:eastAsia="仿宋_GB2312" w:cs="仿宋_GB2312"/>
          <w:sz w:val="32"/>
          <w:szCs w:val="32"/>
          <w:lang w:val="en-US" w:eastAsia="zh-CN"/>
        </w:rPr>
        <w:t>51.65</w:t>
      </w:r>
      <w:r>
        <w:rPr>
          <w:rFonts w:ascii="仿宋_GB2312" w:hAnsi="仿宋_GB2312" w:eastAsia="仿宋_GB2312" w:cs="仿宋_GB2312"/>
          <w:sz w:val="32"/>
          <w:szCs w:val="32"/>
        </w:rPr>
        <w:t>亿元，上缴财政非税收入</w:t>
      </w:r>
      <w:r>
        <w:rPr>
          <w:rFonts w:hint="eastAsia" w:ascii="仿宋_GB2312" w:hAnsi="仿宋_GB2312" w:eastAsia="仿宋_GB2312" w:cs="仿宋_GB2312"/>
          <w:sz w:val="32"/>
          <w:szCs w:val="32"/>
          <w:lang w:val="en-US" w:eastAsia="zh-CN"/>
        </w:rPr>
        <w:t>568</w:t>
      </w:r>
      <w:r>
        <w:rPr>
          <w:rFonts w:ascii="仿宋_GB2312" w:hAnsi="仿宋_GB2312" w:eastAsia="仿宋_GB2312" w:cs="仿宋_GB2312"/>
          <w:sz w:val="32"/>
          <w:szCs w:val="32"/>
        </w:rPr>
        <w:t>万余元。</w:t>
      </w:r>
      <w:bookmarkStart w:id="0" w:name="_GoBack"/>
      <w:bookmarkEnd w:id="0"/>
    </w:p>
    <w:p>
      <w:pPr>
        <w:pStyle w:val="12"/>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lang w:eastAsia="zh-CN"/>
        </w:rPr>
        <w:drawing>
          <wp:anchor distT="0" distB="0" distL="114300" distR="114300" simplePos="0" relativeHeight="251659264" behindDoc="1" locked="0" layoutInCell="1" allowOverlap="1">
            <wp:simplePos x="0" y="0"/>
            <wp:positionH relativeFrom="column">
              <wp:posOffset>52070</wp:posOffset>
            </wp:positionH>
            <wp:positionV relativeFrom="paragraph">
              <wp:posOffset>52705</wp:posOffset>
            </wp:positionV>
            <wp:extent cx="8510905" cy="6566535"/>
            <wp:effectExtent l="0" t="0" r="4445" b="5715"/>
            <wp:wrapNone/>
            <wp:docPr id="2" name="图片 2" descr="1B50BFD1-CD95-4067-9D4A-19F7AD58D8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50BFD1-CD95-4067-9D4A-19F7AD58D80C"/>
                    <pic:cNvPicPr>
                      <a:picLocks noChangeAspect="1"/>
                    </pic:cNvPicPr>
                  </pic:nvPicPr>
                  <pic:blipFill>
                    <a:blip r:embed="rId6"/>
                    <a:stretch>
                      <a:fillRect/>
                    </a:stretch>
                  </pic:blipFill>
                  <pic:spPr>
                    <a:xfrm>
                      <a:off x="0" y="0"/>
                      <a:ext cx="8510905" cy="6566535"/>
                    </a:xfrm>
                    <a:prstGeom prst="rect">
                      <a:avLst/>
                    </a:prstGeom>
                  </pic:spPr>
                </pic:pic>
              </a:graphicData>
            </a:graphic>
          </wp:anchor>
        </w:drawing>
      </w: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960" w:firstLineChars="300"/>
        <w:textAlignment w:val="auto"/>
        <w:rPr>
          <w:rFonts w:hint="eastAsia" w:ascii="楷体" w:hAnsi="楷体" w:eastAsia="楷体" w:cs="楷体"/>
          <w:sz w:val="32"/>
          <w:szCs w:val="32"/>
          <w:shd w:val="clear" w:color="auto" w:fill="FFFFFF"/>
          <w:lang w:eastAsia="zh-CN" w:bidi="ar"/>
        </w:rPr>
      </w:pPr>
      <w:r>
        <w:rPr>
          <w:rFonts w:hint="eastAsia" w:ascii="方正仿宋_GBK" w:hAnsi="方正仿宋_GBK" w:eastAsia="方正仿宋_GBK" w:cs="方正仿宋_GBK"/>
          <w:kern w:val="0"/>
          <w:sz w:val="32"/>
          <w:szCs w:val="32"/>
          <w:shd w:val="clear" w:fill="FFFFFF"/>
          <w:lang w:eastAsia="zh-CN"/>
        </w:rPr>
        <w:t>我单位</w:t>
      </w:r>
      <w:r>
        <w:rPr>
          <w:rFonts w:hint="eastAsia" w:ascii="楷体" w:hAnsi="楷体" w:eastAsia="楷体" w:cs="楷体"/>
          <w:sz w:val="32"/>
          <w:szCs w:val="32"/>
          <w:shd w:val="clear" w:color="auto" w:fill="FFFFFF"/>
          <w:lang w:bidi="ar"/>
        </w:rPr>
        <w:t>未</w:t>
      </w:r>
      <w:r>
        <w:rPr>
          <w:rFonts w:hint="eastAsia" w:ascii="楷体" w:hAnsi="楷体" w:eastAsia="楷体" w:cs="楷体"/>
          <w:sz w:val="32"/>
          <w:szCs w:val="32"/>
          <w:shd w:val="clear" w:color="auto" w:fill="FFFFFF"/>
          <w:lang w:eastAsia="zh-CN" w:bidi="ar"/>
        </w:rPr>
        <w:t>开展绩效评价。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1"/>
        <w:autoSpaceDE w:val="0"/>
        <w:ind w:firstLine="960" w:firstLineChars="300"/>
        <w:rPr>
          <w:rFonts w:ascii="楷体" w:hAnsi="楷体" w:eastAsia="楷体" w:cs="楷体"/>
          <w:sz w:val="32"/>
          <w:szCs w:val="32"/>
          <w:shd w:val="clear" w:color="auto" w:fill="FFFFFF"/>
          <w:lang w:bidi="ar"/>
        </w:rPr>
      </w:pPr>
      <w:r>
        <w:rPr>
          <w:rFonts w:hint="eastAsia" w:ascii="楷体" w:hAnsi="楷体" w:eastAsia="楷体" w:cs="楷体"/>
          <w:sz w:val="32"/>
          <w:szCs w:val="32"/>
          <w:shd w:val="clear" w:color="auto" w:fill="FFFFFF"/>
          <w:lang w:bidi="ar"/>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兰老师</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528667</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垫江县公共资源交易中心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垫江县公共资源交易中心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357.98</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357.98</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274.66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274.66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垫江县公共资源交易中心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396.98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338.85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58.13</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垫江县公共资源交易中心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垫江县公共资源交易中心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338.85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垫江县公共资源交易中心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290.29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垫江县公共资源交易中心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垫江县公共资源交易中心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垫江县公共资源交易中心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48.55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48.55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D3194"/>
    <w:multiLevelType w:val="singleLevel"/>
    <w:tmpl w:val="DBDD3194"/>
    <w:lvl w:ilvl="0" w:tentative="0">
      <w:start w:val="1"/>
      <w:numFmt w:val="chineseCounting"/>
      <w:suff w:val="nothing"/>
      <w:lvlText w:val="（%1）"/>
      <w:lvlJc w:val="left"/>
      <w:rPr>
        <w:rFonts w:hint="eastAsia"/>
      </w:rPr>
    </w:lvl>
  </w:abstractNum>
  <w:abstractNum w:abstractNumId="1">
    <w:nsid w:val="7FDA6F22"/>
    <w:multiLevelType w:val="singleLevel"/>
    <w:tmpl w:val="7FDA6F2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0A142F"/>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EB798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753E39"/>
    <w:rsid w:val="173708E3"/>
    <w:rsid w:val="17C374FC"/>
    <w:rsid w:val="182E4AB6"/>
    <w:rsid w:val="189079DC"/>
    <w:rsid w:val="189B0D0B"/>
    <w:rsid w:val="18B43F7C"/>
    <w:rsid w:val="191C433B"/>
    <w:rsid w:val="194A1770"/>
    <w:rsid w:val="19B906A4"/>
    <w:rsid w:val="1ABF6814"/>
    <w:rsid w:val="1B6F15B6"/>
    <w:rsid w:val="1BAA2EDC"/>
    <w:rsid w:val="1CA55E64"/>
    <w:rsid w:val="1D014A01"/>
    <w:rsid w:val="1D017B46"/>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0B375B"/>
    <w:rsid w:val="2A73162E"/>
    <w:rsid w:val="2B167953"/>
    <w:rsid w:val="2B200583"/>
    <w:rsid w:val="2B2729C0"/>
    <w:rsid w:val="2B8209DE"/>
    <w:rsid w:val="2B821C91"/>
    <w:rsid w:val="2BF81A22"/>
    <w:rsid w:val="2C636760"/>
    <w:rsid w:val="2C6762A3"/>
    <w:rsid w:val="2FBE529C"/>
    <w:rsid w:val="2FCA4B37"/>
    <w:rsid w:val="2FCD6DA0"/>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2567B"/>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8B7929"/>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B539BD"/>
    <w:rsid w:val="5CF66BF3"/>
    <w:rsid w:val="5D290C69"/>
    <w:rsid w:val="5DA80C2C"/>
    <w:rsid w:val="5E734B5F"/>
    <w:rsid w:val="5F2D4A41"/>
    <w:rsid w:val="60C74F6C"/>
    <w:rsid w:val="61015958"/>
    <w:rsid w:val="61025A59"/>
    <w:rsid w:val="613D5BBC"/>
    <w:rsid w:val="61536C39"/>
    <w:rsid w:val="61BF43D5"/>
    <w:rsid w:val="62944DD7"/>
    <w:rsid w:val="6319381F"/>
    <w:rsid w:val="63C25DC5"/>
    <w:rsid w:val="63C62057"/>
    <w:rsid w:val="64571EF5"/>
    <w:rsid w:val="64FB113D"/>
    <w:rsid w:val="656152C6"/>
    <w:rsid w:val="6587477F"/>
    <w:rsid w:val="658C3A08"/>
    <w:rsid w:val="65C031CA"/>
    <w:rsid w:val="65CE6852"/>
    <w:rsid w:val="66267C04"/>
    <w:rsid w:val="663F505A"/>
    <w:rsid w:val="666C2D2F"/>
    <w:rsid w:val="667B6731"/>
    <w:rsid w:val="66AF5D7C"/>
    <w:rsid w:val="66EE5541"/>
    <w:rsid w:val="67924660"/>
    <w:rsid w:val="68407834"/>
    <w:rsid w:val="6883293E"/>
    <w:rsid w:val="688412AD"/>
    <w:rsid w:val="68EB1B71"/>
    <w:rsid w:val="696C0310"/>
    <w:rsid w:val="6A6C7940"/>
    <w:rsid w:val="6A9F1565"/>
    <w:rsid w:val="6AAD2300"/>
    <w:rsid w:val="6B474EF5"/>
    <w:rsid w:val="6BC938E5"/>
    <w:rsid w:val="6BCD677C"/>
    <w:rsid w:val="6C0A5AC5"/>
    <w:rsid w:val="6C560CAE"/>
    <w:rsid w:val="6C576495"/>
    <w:rsid w:val="6D903FF5"/>
    <w:rsid w:val="6D994C74"/>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8407</Words>
  <Characters>10647</Characters>
  <Lines>186</Lines>
  <Paragraphs>52</Paragraphs>
  <TotalTime>0</TotalTime>
  <ScaleCrop>false</ScaleCrop>
  <LinksUpToDate>false</LinksUpToDate>
  <CharactersWithSpaces>11667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cp:lastPrinted>2025-09-15T08:14:00Z</cp:lastPrinted>
  <dcterms:modified xsi:type="dcterms:W3CDTF">2025-09-17T02:49:15Z</dcterms:modified>
  <dc:title>垫江县公共资源交易中心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A07611F2087646D999DD9567607F7193</vt:lpwstr>
  </property>
  <property fmtid="{D5CDD505-2E9C-101B-9397-08002B2CF9AE}" pid="4" name="KSOTemplateDocerSaveRecord">
    <vt:lpwstr>eyJoZGlkIjoiNzU0ZmMwNzE4YzMyMzNiMTVjNzg2NmYyYmU5YzMwZmYifQ==</vt:lpwstr>
  </property>
</Properties>
</file>