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rPr>
        <w:t>垫江县供销合作社联合社（本级）</w:t>
      </w:r>
      <w:r>
        <w:rPr>
          <w:rFonts w:hint="default" w:ascii="Times New Roman" w:hAnsi="Times New Roman" w:eastAsia="方正小标宋_GBK"/>
          <w:sz w:val="44"/>
          <w:szCs w:val="44"/>
          <w:shd w:val="clear" w:color="auto" w:fill="FFFFFF"/>
        </w:rPr>
        <w:t>2024年度决算公开说明</w:t>
      </w:r>
    </w:p>
    <w:p>
      <w:pPr>
        <w:pStyle w:val="6"/>
        <w:shd w:val="clear" w:color="auto" w:fill="FFFFFF"/>
        <w:spacing w:line="600" w:lineRule="exact"/>
        <w:ind w:firstLine="643" w:firstLineChars="200"/>
        <w:rPr>
          <w:rFonts w:hint="default" w:ascii="Times New Roman" w:hAnsi="Times New Roman" w:eastAsia="黑体"/>
          <w:sz w:val="32"/>
          <w:szCs w:val="32"/>
        </w:rPr>
      </w:pPr>
      <w:r>
        <w:rPr>
          <w:rStyle w:val="10"/>
          <w:rFonts w:hint="default" w:ascii="Times New Roman" w:hAnsi="Times New Roman" w:eastAsia="黑体"/>
          <w:sz w:val="32"/>
          <w:szCs w:val="32"/>
          <w:shd w:val="clear" w:color="auto" w:fill="FFFFFF"/>
        </w:rPr>
        <w:t>一、单位基本情况</w:t>
      </w:r>
    </w:p>
    <w:p>
      <w:pPr>
        <w:pStyle w:val="6"/>
        <w:shd w:val="clear" w:color="auto" w:fill="FFFFFF"/>
        <w:spacing w:line="600" w:lineRule="exact"/>
        <w:ind w:firstLine="420"/>
        <w:rPr>
          <w:rFonts w:hint="default" w:ascii="Times New Roman" w:hAnsi="Times New Roman" w:eastAsia="方正仿宋_GBK"/>
          <w:b/>
          <w:sz w:val="32"/>
          <w:szCs w:val="32"/>
        </w:rPr>
      </w:pPr>
      <w:r>
        <w:rPr>
          <w:rStyle w:val="10"/>
          <w:rFonts w:hint="default" w:ascii="Times New Roman" w:hAnsi="Times New Roman" w:eastAsia="楷体"/>
          <w:sz w:val="32"/>
          <w:szCs w:val="32"/>
          <w:shd w:val="clear" w:color="auto" w:fill="FFFFFF"/>
        </w:rPr>
        <w:t>（一）职能职责</w:t>
      </w:r>
    </w:p>
    <w:p>
      <w:pPr>
        <w:adjustRightInd w:val="0"/>
        <w:snapToGrid w:val="0"/>
        <w:spacing w:line="600" w:lineRule="exact"/>
        <w:ind w:firstLine="640" w:firstLineChars="200"/>
        <w:rPr>
          <w:rFonts w:hint="default" w:ascii="Times New Roman" w:hAnsi="Times New Roman" w:eastAsia="方正仿宋_GBK"/>
          <w:sz w:val="32"/>
          <w:szCs w:val="32"/>
        </w:rPr>
      </w:pPr>
      <w:bookmarkStart w:id="0" w:name="OLE_LINK12"/>
      <w:r>
        <w:rPr>
          <w:rFonts w:hint="default" w:ascii="Times New Roman" w:hAnsi="Times New Roman" w:eastAsia="方正仿宋_GBK"/>
          <w:sz w:val="32"/>
          <w:szCs w:val="32"/>
        </w:rPr>
        <w:t>1、贯彻执行党中央、国务院、市委、市政府和县委、县政府有关农村经济工作和社会发展的方针政策；</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2、研究拟订全县供销合作社的发展战略和发展规划，指导全县供销合作社的改革和发展，起草供销合作社事业有关地方性政策文件；</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3、按照政府授权对主要农业生产资料、再生资源及农副产品等经营进行指导、协调和管理，负责全县供销合作社系统化肥储备和供应工作；</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4、推进全县农村合作经济组织及各类专业合作社的发展，加强农村综合服务体系建设，开拓培育城乡市场，参与农业产业化经营、农村现代流通网络建设和农村合作经济组织人员的培训工作；</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5、依法管理运营本级社有资产，监督社有资产保值增值，指导社有出资企业改革发展，建设完善现代企业制度，对社有出资企业行使出资人职责，对基层社改制后的剩余资产代为行使所有权和管理权；</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6、承担全县烟花爆竹安全经营管理和烟花爆竹市场有序供应的责任，负责全县烟花爆竹统一归口经营管理，承担全县烟花爆竹专营管理的日常工作；</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7、承办县政府交办的其他事项；</w:t>
      </w:r>
    </w:p>
    <w:p>
      <w:pPr>
        <w:adjustRightInd w:val="0"/>
        <w:snapToGrid w:val="0"/>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8、负责全县废弃农膜回收利用，负责全县农膜回收网络体系建设工作。</w:t>
      </w:r>
      <w:bookmarkEnd w:id="0"/>
    </w:p>
    <w:p>
      <w:pPr>
        <w:pStyle w:val="6"/>
        <w:shd w:val="clear" w:color="auto" w:fill="FFFFFF"/>
        <w:spacing w:line="600"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adjustRightInd w:val="0"/>
        <w:snapToGrid w:val="0"/>
        <w:spacing w:line="600" w:lineRule="exact"/>
        <w:ind w:firstLine="640" w:firstLineChars="200"/>
        <w:rPr>
          <w:rFonts w:hint="default" w:ascii="Times New Roman" w:hAnsi="Times New Roman" w:eastAsia="方正仿宋_GBK"/>
          <w:sz w:val="32"/>
          <w:szCs w:val="32"/>
        </w:rPr>
      </w:pPr>
      <w:bookmarkStart w:id="1" w:name="OLE_LINK13"/>
      <w:r>
        <w:rPr>
          <w:rFonts w:hint="default" w:ascii="Times New Roman" w:hAnsi="Times New Roman" w:eastAsia="方正仿宋_GBK"/>
          <w:sz w:val="32"/>
          <w:szCs w:val="32"/>
        </w:rPr>
        <w:t>垫江县供销合作社联合社内设5个科室，分别为办公室、监事会办公室、经济发展科、合作指导科、财务审计科。无二级预算单位。</w:t>
      </w:r>
      <w:bookmarkEnd w:id="1"/>
    </w:p>
    <w:p>
      <w:pPr>
        <w:pStyle w:val="6"/>
        <w:shd w:val="clear" w:color="auto" w:fill="FFFFFF"/>
        <w:spacing w:line="60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二、单位</w:t>
      </w:r>
      <w:r>
        <w:rPr>
          <w:rStyle w:val="10"/>
          <w:rFonts w:ascii="黑体" w:hAnsi="黑体" w:eastAsia="黑体" w:cs="黑体"/>
          <w:sz w:val="32"/>
          <w:szCs w:val="32"/>
          <w:shd w:val="clear" w:color="auto" w:fill="FFFFFF"/>
        </w:rPr>
        <w:t>决算收支情况说明</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line="600"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收入总计1924.59万元，支出总计1924.59万元。收、支与2023年度相比，增加411.39万元，增长27.19%，主要原因是死亡抚恤增加47.46万元、国有土地使用权出让安排的支出增加55.93万元、新网工程项目建设增加28万元、农村合作经济增加282.9万元以及上年结转结余增加28.15万元，但是住房公积金、商业流通等收入较上年度有所减少。</w:t>
      </w:r>
    </w:p>
    <w:p>
      <w:pPr>
        <w:pStyle w:val="6"/>
        <w:shd w:val="clear" w:color="auto" w:fill="FFFFFF"/>
        <w:spacing w:line="600"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rPr>
        <w:t>2024年度收入合计1393.30万元，与2023年度相比，增加383.24万元，增长37.94%，主要原因是死亡抚恤增加47.46万元、国有土地使用权出让安排的支出增加55.93万元、新网工程项目建设增加28万元、农村合作经济增加282.9万元。其中：财政拨款收入1393.30万元，占100.00%；事业收入0.00万元，占0.00%；经营收入0.00万元，占0.00%；其他收入0.00万元，占0.00%。此外，使用非财政拨款结余和专用结余0.00万元，年初结转和结余531.29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支出合计1424.59万元，与2023年度相比，增加442.68万元，增长45.08%，主要原因是死亡抚恤金支出增加47.46万元、下岗伤残军人社保缴费补助增加1.21万元、废弃农膜回收补助增加11.35万元、国有资产盘活确权办证税费支出55.93万元、新网工程建设支出增加28万元、农业社会化服务补助及“三社”融合发展项目建设增加339.50万元。其中：基本支出547.69万元，占38.45%；项目支出876.90万元，占61.55%；经营支出0.00万元，占0.00%。此外，结余分配0.00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024年度年末结转和结余500.00万元，与2023年度相比，减少31.29万元，下降5.89%，主要原因是一个基层社建设项目通过验收，形成支出。</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财政拨款收、支总计1924.59万元。与2023年相比，财政拨款收、支总计各增加411.39万元，增长27.19%。主要原因是死亡抚恤增加47.46万元、国有土地使用权出让安排的支出增加55.93万元、新网工程项目建设增加28万元、农村合作经济增加282.9万元以及上年结转结余增加28.15万元，但是住房公积金、商业流通等收入较上年度有所减少。</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一般公共预算财政拨款收入1337.37万元，与2023年度相比，增加327.31万元，增长32.41%。主要原因是死亡抚恤增加47.46万元、国有土地使用权出让安排的支出增加55.93万元、新网工程项目建设增加28万元、农村合作经济增加282.9万元。较年初预算数增加177.05万元，增长15.26%。主要原因一是根据垫江县财政局关于追加（减）县级行政事业单位和乡镇（街道）2024年1-3月人员经费预算的通知（垫江财政发〔</w:t>
      </w:r>
      <w:bookmarkStart w:id="2" w:name="年份"/>
      <w:bookmarkEnd w:id="2"/>
      <w:r>
        <w:rPr>
          <w:rFonts w:hint="default" w:ascii="Times New Roman" w:hAnsi="Times New Roman" w:eastAsia="方正仿宋_GBK"/>
          <w:sz w:val="32"/>
          <w:szCs w:val="32"/>
        </w:rPr>
        <w:t>2024〕</w:t>
      </w:r>
      <w:bookmarkStart w:id="3" w:name="号"/>
      <w:bookmarkEnd w:id="3"/>
      <w:r>
        <w:rPr>
          <w:rFonts w:hint="default" w:ascii="Times New Roman" w:hAnsi="Times New Roman" w:eastAsia="方正仿宋_GBK"/>
          <w:sz w:val="32"/>
          <w:szCs w:val="32"/>
        </w:rPr>
        <w:t>154号）、垫江县财政局关于调整2024年企业“三类人员”困难补助资金预算指标的通知（垫江财政发〔2024〕581号）、垫江县财政局关于追加（减）县级行政事业单位和乡镇（街道）2024年7-9月人员经费预算的通等文件年中追加人员经费、“三类”人员困难生活补助（垫江财政发〔2024〕478号）、垫江县财政局关于下达2024年中央农业经营主体能力提升资金预算的通知（垫江财政发〔2024〕230号）等文件年中追加人员经费、“三类”人员困难生活补助、农业社会化服务资金等资金。此外，年初财政拨款结转和结余531.29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一般公共预算财政拨款支出1368.66万元，与2023年度相比，增加386.75万元，增长39.39%。主要原因是死亡抚恤金支出增加47.46万元、下岗伤残军人社保缴费补助增加1.21万元、废弃农膜回收补助增加11.35万元、新网工程建设支出增加28万元、农业社会化服务补助及“三社”融合发展项目建设增加339.50万元。较年初预算数增加208.34万元，增长17.96%。主要原因是一是根据垫江县财政局关于追加（减）县级行政事业单位和乡镇（街道）2024年1-3月人员经费预算的通知（垫江财政发〔2024〕154号）、垫江县财政局关于调整2024年企业“三类人员”困难补助资金预算指标的通知（垫江财政发〔2024〕581号）、垫江县财政局关于追加（减）县级行政事业单位和乡镇（街道）2024年7-9月人员经费预算的通</w:t>
      </w:r>
      <w:r>
        <w:rPr>
          <w:rFonts w:hint="eastAsia" w:ascii="Times New Roman" w:hAnsi="Times New Roman" w:eastAsia="方正仿宋_GBK"/>
          <w:sz w:val="32"/>
          <w:szCs w:val="32"/>
          <w:lang w:eastAsia="zh-CN"/>
        </w:rPr>
        <w:t>知</w:t>
      </w:r>
      <w:r>
        <w:rPr>
          <w:rFonts w:hint="default" w:ascii="Times New Roman" w:hAnsi="Times New Roman" w:eastAsia="方正仿宋_GBK"/>
          <w:sz w:val="32"/>
          <w:szCs w:val="32"/>
        </w:rPr>
        <w:t>等文件年中追加人员经费、“三类”人员困难生活补助（垫江财政发〔2024〕478号）、垫江县财政局关于下达2024年中央农业经营主体能力提升资金预算的通知（垫江财政发〔2024〕230号）等文件年中追加人员经费、“三类”人员困难生活补助、农业社会化服务资金等资金。</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w:t>
      </w:r>
      <w:r>
        <w:rPr>
          <w:rFonts w:hint="default" w:ascii="Times New Roman" w:hAnsi="Times New Roman" w:eastAsia="方正仿宋_GBK"/>
          <w:sz w:val="32"/>
          <w:szCs w:val="32"/>
        </w:rPr>
        <w:t>024年度年末一般公共预算财政拨款结转和结余500.00万元，与2023年度相比，减少31.29万元，下降5.89%，主要原因是一个基层社建设项目通过验收，形成支出。</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（1）教育支出1.12万元，占0.08%，较年初预算数无增减，主要原因是严格按照预算执行。</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（2）社会保障与就业支出216.75万元，占15.84%，较年初预算数增加69.07万元，增长46.77%，主要原因一是年中根据相关文件增加了企业“三类人员”困难补助支出16.71万元，二是增加追加死亡抚恤金47.46万元。</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（3）卫生健康支出19.20万元，占1.40%，较年初预算数减少0.62万元，下降3.13%，主要原因是年中一名在职职工因病去世，下半年医疗保险缴费减少。</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（4）节能环保支出114.03万元，占8.33%，较年初预算数减少11.28万元，下降9.00%，主要原因是</w:t>
      </w:r>
      <w:bookmarkStart w:id="4" w:name="OLE_LINK21"/>
      <w:r>
        <w:rPr>
          <w:rFonts w:hint="default" w:ascii="Times New Roman" w:hAnsi="Times New Roman" w:eastAsia="方正仿宋_GBK"/>
          <w:sz w:val="32"/>
          <w:szCs w:val="32"/>
        </w:rPr>
        <w:t>废弃农膜回收项目通过公开招投标方式进行政府采购节约资金。</w:t>
      </w:r>
      <w:bookmarkEnd w:id="4"/>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（5）农林水支出628.30万元，占45.91%，较年初预算数增加156.30万元，增长33.11%，主要原因一是年中追加农业社会化服务补助资金，二是基层社建设验收合格形成支出。</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 xml:space="preserve">（6）商业服务业等支出364.35万元，占26.62%，较年初预算数减少3.37万元，下降0.92%，主要原因是一是人员年中减少一人，相应费用有所下降；二是单位严格执行各项制度，加强内控管理，节约公用经费。 </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（7）住房保障支出24.92万元，占1.82%，较年初预算数减少1.75万元，下降6.56%，主要原因是年中减少一人，住房公积金缴纳费用下降。</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w:t>
      </w:r>
      <w:r>
        <w:rPr>
          <w:rFonts w:hint="default" w:ascii="Times New Roman" w:hAnsi="Times New Roman" w:eastAsia="方正仿宋_GBK"/>
          <w:sz w:val="32"/>
          <w:szCs w:val="32"/>
        </w:rPr>
        <w:t>024年度一般公共财政拨款基本支出547.69万元。其中：人员经费478.58万元，与2023年度相比，增加39.43万元，增长8.98%，主要原因是增加死亡抚恤金47.46万元。人员经费用途主要包括</w:t>
      </w:r>
      <w:bookmarkStart w:id="5" w:name="OLE_LINK25"/>
      <w:r>
        <w:rPr>
          <w:rFonts w:hint="default" w:ascii="Times New Roman" w:hAnsi="Times New Roman" w:eastAsia="方正仿宋_GBK"/>
          <w:sz w:val="32"/>
          <w:szCs w:val="32"/>
        </w:rPr>
        <w:t>基本工资、津贴补贴、奖金、养老保险缴费、职业年金缴费、医疗保险缴费、住房公积金、生活补助、死亡抚恤、退休人员健康休养费等。</w:t>
      </w:r>
      <w:bookmarkEnd w:id="5"/>
      <w:r>
        <w:rPr>
          <w:rFonts w:hint="default" w:ascii="Times New Roman" w:hAnsi="Times New Roman" w:eastAsia="方正仿宋_GBK"/>
          <w:sz w:val="32"/>
          <w:szCs w:val="32"/>
        </w:rPr>
        <w:t>公用经费69.11万元，与2023年度相比，减少4.16万元，下降5.68%，主要原因是一是人员年中减少一人，相应费用有所下降；二是单位严格执行各项制度，加强内控管理，节约公用经费。公用经费用途主要包括</w:t>
      </w:r>
      <w:bookmarkStart w:id="6" w:name="OLE_LINK27"/>
      <w:r>
        <w:rPr>
          <w:rFonts w:hint="default" w:ascii="Times New Roman" w:hAnsi="Times New Roman" w:eastAsia="方正仿宋_GBK"/>
          <w:sz w:val="32"/>
          <w:szCs w:val="32"/>
        </w:rPr>
        <w:t>办公费、印刷费、水费、电费、邮电费、差旅费、培训费、公务接待费、工会经费、其他交通费用等。</w:t>
      </w:r>
      <w:bookmarkEnd w:id="6"/>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政府性基金预算财政拨款年初结转结余0.00万元，年末结转结余0.00万元。本年收入55.93万元，与2023年度相比，增加55.93万元，增长100.00%，主要原因是根据资产盘活相关要求，本年度确权办证4处缴纳税费55.93万元。本年支出55.93万元，与2023年度相比，增加55.93万元，增长100.00%，主要原因是根据资产盘活相关要求，本年度确权办证4处缴纳税费55.93万元。</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line="60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三、</w:t>
      </w:r>
      <w:r>
        <w:rPr>
          <w:rStyle w:val="10"/>
          <w:rFonts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xml:space="preserve"> （一）</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经费支出总体情况说明</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w:t>
      </w:r>
      <w:r>
        <w:rPr>
          <w:rFonts w:hint="eastAsia" w:ascii="Times New Roman" w:hAnsi="Times New Roman" w:eastAsia="方正仿宋_GBK"/>
          <w:sz w:val="32"/>
          <w:szCs w:val="32"/>
          <w:lang w:eastAsia="zh-CN"/>
        </w:rPr>
        <w:t>三公</w:t>
      </w:r>
      <w:r>
        <w:rPr>
          <w:rFonts w:hint="default" w:ascii="Times New Roman" w:hAnsi="Times New Roman" w:eastAsia="方正仿宋_GBK"/>
          <w:sz w:val="32"/>
          <w:szCs w:val="32"/>
        </w:rPr>
        <w:t>经费支出共计2.49万元，较年初预算数减少1.51万元，下降37.75%，主要原因</w:t>
      </w:r>
      <w:bookmarkStart w:id="7" w:name="OLE_LINK10"/>
      <w:r>
        <w:rPr>
          <w:rFonts w:hint="default" w:ascii="Times New Roman" w:hAnsi="Times New Roman" w:eastAsia="方正仿宋_GBK"/>
          <w:sz w:val="32"/>
          <w:szCs w:val="32"/>
        </w:rPr>
        <w:t>一是本单位完善内控制度、公务接待制度等，并严格执行；二是严格按照中央八项规定、厉行节约，不该接待坚决不接待。</w:t>
      </w:r>
      <w:bookmarkEnd w:id="7"/>
      <w:r>
        <w:rPr>
          <w:rFonts w:hint="default" w:ascii="Times New Roman" w:hAnsi="Times New Roman" w:eastAsia="方正仿宋_GBK"/>
          <w:sz w:val="32"/>
          <w:szCs w:val="32"/>
        </w:rPr>
        <w:t>较上年支出数减少0.03万元，下降1.19%，主要原因是单位严格遵守各项制度，规范公务接待。</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公务车运行维护费0.00万元。费用支出较年初预算数无增减，主要原因是年初预算未安排且本年未发生公务车运行维护费用。较上年支出数无增减，主要原因是上年和本年均未发生公务车运行维护费用。</w:t>
      </w:r>
      <w:r>
        <w:rPr>
          <w:rFonts w:hint="default" w:ascii="Times New Roman" w:hAnsi="Times New Roman" w:eastAsia="方正仿宋_GBK"/>
          <w:sz w:val="32"/>
          <w:szCs w:val="32"/>
        </w:rPr>
        <w:t> </w:t>
      </w:r>
    </w:p>
    <w:p>
      <w:pPr>
        <w:pStyle w:val="6"/>
        <w:widowControl w:val="0"/>
        <w:kinsoku w:val="0"/>
        <w:overflowPunct w:val="0"/>
        <w:autoSpaceDE w:val="0"/>
        <w:autoSpaceDN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公务接待费2.49万元，主要用于接待</w:t>
      </w:r>
      <w:bookmarkStart w:id="8" w:name="OLE_LINK33"/>
      <w:r>
        <w:rPr>
          <w:rFonts w:hint="default" w:ascii="Times New Roman" w:hAnsi="Times New Roman" w:eastAsia="方正仿宋_GBK"/>
          <w:sz w:val="32"/>
          <w:szCs w:val="32"/>
        </w:rPr>
        <w:t>市社来垫检查指导业务工作、其他区县来垫考察、招商引资接待费用。</w:t>
      </w:r>
      <w:bookmarkEnd w:id="8"/>
      <w:r>
        <w:rPr>
          <w:rFonts w:hint="default" w:ascii="Times New Roman" w:hAnsi="Times New Roman" w:eastAsia="方正仿宋_GBK"/>
          <w:sz w:val="32"/>
          <w:szCs w:val="32"/>
        </w:rPr>
        <w:t>费用支出较年初预算数减少1.51万元，下降37.75%，主要原因</w:t>
      </w:r>
      <w:bookmarkStart w:id="9" w:name="OLE_LINK34"/>
      <w:r>
        <w:rPr>
          <w:rFonts w:hint="default" w:ascii="Times New Roman" w:hAnsi="Times New Roman" w:eastAsia="方正仿宋_GBK"/>
          <w:sz w:val="32"/>
          <w:szCs w:val="32"/>
        </w:rPr>
        <w:t>一是本单位完善内控制度、公务接待制度等，并严格执行；二是</w:t>
      </w:r>
      <w:bookmarkStart w:id="10" w:name="OLE_LINK11"/>
      <w:r>
        <w:rPr>
          <w:rFonts w:hint="default" w:ascii="Times New Roman" w:hAnsi="Times New Roman" w:eastAsia="方正仿宋_GBK"/>
          <w:sz w:val="32"/>
          <w:szCs w:val="32"/>
        </w:rPr>
        <w:t>严格按照中央八项规定、厉行节约，不该接待坚决不接待</w:t>
      </w:r>
      <w:bookmarkEnd w:id="10"/>
      <w:r>
        <w:rPr>
          <w:rFonts w:hint="default" w:ascii="Times New Roman" w:hAnsi="Times New Roman" w:eastAsia="方正仿宋_GBK"/>
          <w:sz w:val="32"/>
          <w:szCs w:val="32"/>
        </w:rPr>
        <w:t>。</w:t>
      </w:r>
      <w:bookmarkEnd w:id="9"/>
      <w:r>
        <w:rPr>
          <w:rFonts w:hint="default" w:ascii="Times New Roman" w:hAnsi="Times New Roman" w:eastAsia="方正仿宋_GBK"/>
          <w:sz w:val="32"/>
          <w:szCs w:val="32"/>
        </w:rPr>
        <w:t>较上年支出数减少0.03万元，下降1.19%，主要原因是严格执行各项规章制度，控制接待范围和接待标准。</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因公出国（境）共计0个团组，0人；公务用车购置0辆，公务车保有量为0辆；国内公务接待45批次290人，其中：国内外事接待0批次，0人；国（境）外公务接待0批次，0人。2024年本单位人均接待费85.76元，车均购置费0万元，车均维护费0万元。</w:t>
      </w:r>
    </w:p>
    <w:p>
      <w:pPr>
        <w:pStyle w:val="6"/>
        <w:shd w:val="clear" w:color="auto" w:fill="FFFFFF"/>
        <w:spacing w:line="60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pPr>
        <w:pStyle w:val="11"/>
        <w:autoSpaceDE w:val="0"/>
        <w:spacing w:line="600" w:lineRule="exact"/>
        <w:ind w:firstLine="640"/>
        <w:rPr>
          <w:rFonts w:ascii="Times New Roman" w:hAnsi="Times New Roman" w:eastAsia="方正仿宋_GBK"/>
          <w:sz w:val="32"/>
          <w:szCs w:val="32"/>
        </w:rPr>
      </w:pPr>
      <w:r>
        <w:rPr>
          <w:rFonts w:ascii="Times New Roman" w:hAnsi="Times New Roman" w:eastAsia="方正仿宋_GBK"/>
          <w:sz w:val="32"/>
          <w:szCs w:val="32"/>
        </w:rPr>
        <w:t>本年度会议费支出2.00万元，与2023年度相比，减少2.00万元，下降50.00%，主要原因是按照上级文件要求精简会议，组织召开会议严格控制费用标准，节约开支。本年度培训费支出3.63万元，与2023年度相比，减少2.75万元，下降43.10%，主要原因一是根据上级文件要求，精简会议培训等，业务培训尽量采取线上培训，减少培训次数及费用，二是严格控制培训各项开支，节约费用。</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bookmarkStart w:id="13" w:name="_GoBack"/>
      <w:bookmarkEnd w:id="13"/>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2024年度本单位机关运行经费支出69.11万元，机关运行经费主要用于开支</w:t>
      </w:r>
      <w:bookmarkStart w:id="11" w:name="OLE_LINK37"/>
      <w:r>
        <w:rPr>
          <w:rFonts w:hint="default" w:ascii="Times New Roman" w:hAnsi="Times New Roman" w:eastAsia="方正仿宋_GBK"/>
          <w:sz w:val="32"/>
          <w:szCs w:val="32"/>
        </w:rPr>
        <w:t>办公费2.98万元、印刷费0.53万元、手续费0.39万元、水费0.79万元、电费1.44万元、邮电费7.62万元、差旅费10.52万元、维修（护）费0.06万元、会议费2.00万元、培训费1.13万元、公务接待费2.49万元、劳务费1.09万元、工会经费5.59万元、福利费2.64万元、其他交通费用15.34万元、其他商品服务支出14.52万元。</w:t>
      </w:r>
      <w:bookmarkEnd w:id="11"/>
      <w:r>
        <w:rPr>
          <w:rFonts w:hint="default" w:ascii="Times New Roman" w:hAnsi="Times New Roman" w:eastAsia="方正仿宋_GBK"/>
          <w:sz w:val="32"/>
          <w:szCs w:val="32"/>
        </w:rPr>
        <w:t>机关运行经费较上年支出数减少4.16万元，下降5.68%，主要原因是</w:t>
      </w:r>
      <w:r>
        <w:rPr>
          <w:rFonts w:ascii="Times New Roman" w:hAnsi="Times New Roman" w:eastAsia="方正仿宋_GBK"/>
          <w:sz w:val="32"/>
          <w:szCs w:val="32"/>
        </w:rPr>
        <w:t>单位</w:t>
      </w:r>
      <w:r>
        <w:rPr>
          <w:rFonts w:hint="default" w:ascii="Times New Roman" w:hAnsi="Times New Roman" w:eastAsia="方正仿宋_GBK"/>
          <w:sz w:val="32"/>
          <w:szCs w:val="32"/>
        </w:rPr>
        <w:t>严格制度，规范管理，节约各项开支。</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6"/>
        <w:shd w:val="clear" w:color="auto" w:fill="FFFFFF"/>
        <w:spacing w:line="600"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11"/>
        <w:autoSpaceDE w:val="0"/>
        <w:spacing w:line="600"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（一）单位自评情况</w:t>
      </w:r>
    </w:p>
    <w:p>
      <w:pPr>
        <w:pStyle w:val="6"/>
        <w:snapToGrid w:val="0"/>
        <w:spacing w:before="0" w:beforeAutospacing="0" w:after="0" w:afterAutospacing="0" w:line="600" w:lineRule="exact"/>
        <w:ind w:firstLine="640"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方正仿宋_GBK"/>
          <w:sz w:val="32"/>
          <w:szCs w:val="32"/>
        </w:rPr>
        <w:t>根据预算绩效管理要求，我单位对13个二级项目开展了绩效自评，涉及财政拨款项目支出资金876.90万元。</w:t>
      </w:r>
    </w:p>
    <w:p>
      <w:pPr>
        <w:pStyle w:val="11"/>
        <w:autoSpaceDE w:val="0"/>
        <w:ind w:firstLine="643"/>
        <w:rPr>
          <w:rFonts w:ascii="楷体" w:hAnsi="楷体" w:eastAsia="楷体" w:cs="楷体"/>
          <w:b/>
          <w:bCs/>
          <w:sz w:val="32"/>
          <w:szCs w:val="32"/>
          <w:shd w:val="clear" w:color="auto" w:fill="FFFFFF"/>
        </w:rPr>
      </w:pPr>
    </w:p>
    <w:p>
      <w:pPr>
        <w:pStyle w:val="11"/>
        <w:autoSpaceDE w:val="0"/>
        <w:ind w:firstLine="480"/>
        <w:rPr>
          <w:rFonts w:ascii="楷体" w:hAnsi="楷体" w:eastAsia="楷体" w:cs="楷体"/>
          <w:b/>
          <w:bCs/>
          <w:sz w:val="32"/>
          <w:szCs w:val="32"/>
          <w:shd w:val="clear" w:color="auto" w:fill="FFFFFF"/>
        </w:rPr>
      </w:pPr>
      <w:r>
        <w:drawing>
          <wp:inline distT="0" distB="0" distL="0" distR="0">
            <wp:extent cx="5280025" cy="3756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80025" cy="3756025"/>
                    </a:xfrm>
                    <a:prstGeom prst="rect">
                      <a:avLst/>
                    </a:prstGeom>
                  </pic:spPr>
                </pic:pic>
              </a:graphicData>
            </a:graphic>
          </wp:inline>
        </w:drawing>
      </w:r>
    </w:p>
    <w:p>
      <w:pPr>
        <w:pStyle w:val="11"/>
        <w:autoSpaceDE w:val="0"/>
        <w:ind w:firstLine="480"/>
        <w:rPr>
          <w:rFonts w:hint="eastAsia" w:ascii="楷体" w:hAnsi="楷体" w:eastAsia="楷体" w:cs="楷体"/>
          <w:b/>
          <w:bCs/>
          <w:sz w:val="32"/>
          <w:szCs w:val="32"/>
          <w:shd w:val="clear" w:color="auto" w:fill="FFFFFF"/>
        </w:rPr>
      </w:pPr>
      <w:r>
        <w:drawing>
          <wp:inline distT="0" distB="0" distL="0" distR="0">
            <wp:extent cx="5280025" cy="6226810"/>
            <wp:effectExtent l="0" t="0" r="158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80025" cy="6226810"/>
                    </a:xfrm>
                    <a:prstGeom prst="rect">
                      <a:avLst/>
                    </a:prstGeom>
                  </pic:spPr>
                </pic:pic>
              </a:graphicData>
            </a:graphic>
          </wp:inline>
        </w:drawing>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w:t>
      </w:r>
      <w:r>
        <w:rPr>
          <w:rStyle w:val="10"/>
          <w:rFonts w:hint="eastAsia" w:ascii="楷体" w:hAnsi="楷体" w:eastAsia="楷体" w:cs="楷体"/>
          <w:sz w:val="32"/>
          <w:szCs w:val="32"/>
          <w:shd w:val="clear" w:color="auto" w:fill="FFFFFF"/>
          <w:lang w:eastAsia="zh-CN"/>
        </w:rPr>
        <w:t>三公</w:t>
      </w:r>
      <w:r>
        <w:rPr>
          <w:rStyle w:val="10"/>
          <w:rFonts w:ascii="楷体" w:hAnsi="楷体" w:eastAsia="楷体" w:cs="楷体"/>
          <w:sz w:val="32"/>
          <w:szCs w:val="32"/>
          <w:shd w:val="clear" w:color="auto" w:fill="FFFFFF"/>
        </w:rPr>
        <w:t>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12"/>
        <w:widowControl w:val="0"/>
        <w:shd w:val="clear" w:color="auto" w:fill="FFFFFF"/>
        <w:kinsoku w:val="0"/>
        <w:overflowPunct w:val="0"/>
        <w:autoSpaceDE w:val="0"/>
        <w:autoSpaceDN w:val="0"/>
        <w:adjustRightInd w:val="0"/>
        <w:snapToGrid w:val="0"/>
        <w:spacing w:before="0" w:beforeAutospacing="0" w:after="0" w:afterAutospacing="0"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bookmarkStart w:id="12" w:name="OLE_LINK40"/>
    </w:p>
    <w:p>
      <w:pPr>
        <w:pStyle w:val="12"/>
        <w:widowControl w:val="0"/>
        <w:shd w:val="clear" w:color="auto" w:fill="FFFFFF"/>
        <w:kinsoku w:val="0"/>
        <w:overflowPunct w:val="0"/>
        <w:autoSpaceDE w:val="0"/>
        <w:autoSpaceDN w:val="0"/>
        <w:adjustRightInd w:val="0"/>
        <w:snapToGrid w:val="0"/>
        <w:spacing w:before="0" w:beforeAutospacing="0" w:after="0" w:afterAutospacing="0" w:line="600"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李兴琼   023-7451</w:t>
      </w:r>
      <w:r>
        <w:rPr>
          <w:rFonts w:hint="eastAsia" w:ascii="Times New Roman" w:hAnsi="Times New Roman" w:eastAsia="方正仿宋_GBK"/>
          <w:sz w:val="32"/>
          <w:szCs w:val="32"/>
          <w:shd w:val="clear" w:color="auto" w:fill="FFFFFF"/>
        </w:rPr>
        <w:t>2581</w:t>
      </w:r>
    </w:p>
    <w:bookmarkEnd w:id="12"/>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垫江县供销合作社联合社（本级）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1,337.37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1,393.30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531.29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1,924.59</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1,924.59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垫江县供销合作社联合社（本级）</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1,393.30</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1,393.30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215.54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302.01</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302.01</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垫江县供销合作社联合社（本级）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1,424.59</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547.69</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876.90</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216.75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198.67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18.08</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垫江县供销合作社联合社（本级）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1,337.37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1,393.30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1,424.59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1,368.66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1,924.59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1,868.66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55.93</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垫江县供销合作社联合社（本级）</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1,368.66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547.69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820.97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198.67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151.21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98.91</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114.03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114.03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628.30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303.79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303.79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垫江县供销合作社联合社（本级）</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332.21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91.87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478.58</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垫江县供销合作社联合社（本级）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55.93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55.93</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55.93</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垫江县供销合作社联合社（本级）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垫江县供销合作社联合社（本级）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69.11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1D3BB7"/>
    <w:rsid w:val="002B254B"/>
    <w:rsid w:val="002C3FD9"/>
    <w:rsid w:val="00466C9B"/>
    <w:rsid w:val="00550ABE"/>
    <w:rsid w:val="006A472C"/>
    <w:rsid w:val="00770383"/>
    <w:rsid w:val="007819D4"/>
    <w:rsid w:val="007B419D"/>
    <w:rsid w:val="007B7C4B"/>
    <w:rsid w:val="007D3D39"/>
    <w:rsid w:val="00994AF7"/>
    <w:rsid w:val="009A4ED1"/>
    <w:rsid w:val="009B67B8"/>
    <w:rsid w:val="009D2B67"/>
    <w:rsid w:val="00A566F9"/>
    <w:rsid w:val="00AF2751"/>
    <w:rsid w:val="00B021A9"/>
    <w:rsid w:val="00B03CCD"/>
    <w:rsid w:val="00B93A4E"/>
    <w:rsid w:val="00B9446F"/>
    <w:rsid w:val="00BE2B89"/>
    <w:rsid w:val="00C10E9E"/>
    <w:rsid w:val="00C20C3E"/>
    <w:rsid w:val="00CA7620"/>
    <w:rsid w:val="00CF2ACF"/>
    <w:rsid w:val="00F04A2F"/>
    <w:rsid w:val="00F73F90"/>
    <w:rsid w:val="00FB4B3B"/>
    <w:rsid w:val="01474EBF"/>
    <w:rsid w:val="015461DB"/>
    <w:rsid w:val="018B3A45"/>
    <w:rsid w:val="019D0730"/>
    <w:rsid w:val="01F3521E"/>
    <w:rsid w:val="02274EC8"/>
    <w:rsid w:val="027D4C50"/>
    <w:rsid w:val="029C58B6"/>
    <w:rsid w:val="03B87EA0"/>
    <w:rsid w:val="03E3214F"/>
    <w:rsid w:val="04155920"/>
    <w:rsid w:val="044C50BA"/>
    <w:rsid w:val="05A43768"/>
    <w:rsid w:val="05BC6D49"/>
    <w:rsid w:val="06194FF1"/>
    <w:rsid w:val="06A2550B"/>
    <w:rsid w:val="06F80EE2"/>
    <w:rsid w:val="07001CCA"/>
    <w:rsid w:val="075678DB"/>
    <w:rsid w:val="076F17EB"/>
    <w:rsid w:val="079D7CC7"/>
    <w:rsid w:val="08051BCA"/>
    <w:rsid w:val="086C12F4"/>
    <w:rsid w:val="08705944"/>
    <w:rsid w:val="08BA052C"/>
    <w:rsid w:val="08DB07BA"/>
    <w:rsid w:val="096802A0"/>
    <w:rsid w:val="0969353F"/>
    <w:rsid w:val="098305D0"/>
    <w:rsid w:val="0A3317EA"/>
    <w:rsid w:val="0A5C4B69"/>
    <w:rsid w:val="0A86124A"/>
    <w:rsid w:val="0AB54CC0"/>
    <w:rsid w:val="0B156E0E"/>
    <w:rsid w:val="0B9335CE"/>
    <w:rsid w:val="0BCB4B16"/>
    <w:rsid w:val="0BDB744F"/>
    <w:rsid w:val="0BF2311A"/>
    <w:rsid w:val="0C2A5909"/>
    <w:rsid w:val="0C7927C4"/>
    <w:rsid w:val="0C9B098C"/>
    <w:rsid w:val="0CE56294"/>
    <w:rsid w:val="0CFF50CF"/>
    <w:rsid w:val="0D673E11"/>
    <w:rsid w:val="0D6D057B"/>
    <w:rsid w:val="0D961154"/>
    <w:rsid w:val="0DDA54E4"/>
    <w:rsid w:val="0E3A5F83"/>
    <w:rsid w:val="0F836721"/>
    <w:rsid w:val="0FA25D96"/>
    <w:rsid w:val="0FE13FF9"/>
    <w:rsid w:val="105D7981"/>
    <w:rsid w:val="107B59E5"/>
    <w:rsid w:val="10EC0126"/>
    <w:rsid w:val="10F70B9A"/>
    <w:rsid w:val="111445C7"/>
    <w:rsid w:val="114278C6"/>
    <w:rsid w:val="1158083A"/>
    <w:rsid w:val="11643A4B"/>
    <w:rsid w:val="11ED0F98"/>
    <w:rsid w:val="11F03528"/>
    <w:rsid w:val="12527D3F"/>
    <w:rsid w:val="12C921C4"/>
    <w:rsid w:val="13871C70"/>
    <w:rsid w:val="13A71CB4"/>
    <w:rsid w:val="13AF1D43"/>
    <w:rsid w:val="13CE1647"/>
    <w:rsid w:val="13FD55AB"/>
    <w:rsid w:val="14200702"/>
    <w:rsid w:val="15D8560A"/>
    <w:rsid w:val="163A6CEE"/>
    <w:rsid w:val="164976AB"/>
    <w:rsid w:val="171001C9"/>
    <w:rsid w:val="173708E3"/>
    <w:rsid w:val="17C374FC"/>
    <w:rsid w:val="17CF598E"/>
    <w:rsid w:val="182E4AB6"/>
    <w:rsid w:val="189079DC"/>
    <w:rsid w:val="189B0D0B"/>
    <w:rsid w:val="18B43F7C"/>
    <w:rsid w:val="19322678"/>
    <w:rsid w:val="194A1770"/>
    <w:rsid w:val="19B906A4"/>
    <w:rsid w:val="19FB0CBC"/>
    <w:rsid w:val="1A045741"/>
    <w:rsid w:val="1B6F15B6"/>
    <w:rsid w:val="1BAA2EDC"/>
    <w:rsid w:val="1BC11A92"/>
    <w:rsid w:val="1BE20386"/>
    <w:rsid w:val="1CA55E64"/>
    <w:rsid w:val="1D014A01"/>
    <w:rsid w:val="1D022362"/>
    <w:rsid w:val="1D145AD7"/>
    <w:rsid w:val="1D1B04B0"/>
    <w:rsid w:val="1DA52501"/>
    <w:rsid w:val="1DBD6767"/>
    <w:rsid w:val="1DC52125"/>
    <w:rsid w:val="1DD26311"/>
    <w:rsid w:val="1DF3687A"/>
    <w:rsid w:val="1E374ACB"/>
    <w:rsid w:val="1E831280"/>
    <w:rsid w:val="1ECF0A66"/>
    <w:rsid w:val="1EF67CA4"/>
    <w:rsid w:val="1F020D3A"/>
    <w:rsid w:val="1F2C5189"/>
    <w:rsid w:val="1F4B0B02"/>
    <w:rsid w:val="1FBB35CD"/>
    <w:rsid w:val="1FCD26AF"/>
    <w:rsid w:val="20642787"/>
    <w:rsid w:val="21556F04"/>
    <w:rsid w:val="221637FA"/>
    <w:rsid w:val="22403BD3"/>
    <w:rsid w:val="22A31AC1"/>
    <w:rsid w:val="22E9024C"/>
    <w:rsid w:val="24AE3000"/>
    <w:rsid w:val="24B92327"/>
    <w:rsid w:val="24C14514"/>
    <w:rsid w:val="25010B70"/>
    <w:rsid w:val="2533755C"/>
    <w:rsid w:val="25791755"/>
    <w:rsid w:val="25F767DC"/>
    <w:rsid w:val="26396DF4"/>
    <w:rsid w:val="26541E80"/>
    <w:rsid w:val="26A1499A"/>
    <w:rsid w:val="26F31699"/>
    <w:rsid w:val="27167136"/>
    <w:rsid w:val="271B442C"/>
    <w:rsid w:val="271D04C4"/>
    <w:rsid w:val="272923D1"/>
    <w:rsid w:val="27B23302"/>
    <w:rsid w:val="28BA7F95"/>
    <w:rsid w:val="28E03E9F"/>
    <w:rsid w:val="29310A5F"/>
    <w:rsid w:val="294D2BB7"/>
    <w:rsid w:val="29C37A35"/>
    <w:rsid w:val="29E4176D"/>
    <w:rsid w:val="2A076083"/>
    <w:rsid w:val="2A73162E"/>
    <w:rsid w:val="2B167953"/>
    <w:rsid w:val="2B200583"/>
    <w:rsid w:val="2B8209DE"/>
    <w:rsid w:val="2BE57FA2"/>
    <w:rsid w:val="2C1520B2"/>
    <w:rsid w:val="2C1F4CDE"/>
    <w:rsid w:val="2C636760"/>
    <w:rsid w:val="2C6762A3"/>
    <w:rsid w:val="2CCE2260"/>
    <w:rsid w:val="2DB85C8C"/>
    <w:rsid w:val="2E5B100B"/>
    <w:rsid w:val="2FCA4B37"/>
    <w:rsid w:val="2FE029D7"/>
    <w:rsid w:val="2FF06E00"/>
    <w:rsid w:val="30586FEC"/>
    <w:rsid w:val="315F0B22"/>
    <w:rsid w:val="31921AAF"/>
    <w:rsid w:val="31BE4652"/>
    <w:rsid w:val="31D84415"/>
    <w:rsid w:val="32285F6F"/>
    <w:rsid w:val="326819D9"/>
    <w:rsid w:val="32770556"/>
    <w:rsid w:val="329C0913"/>
    <w:rsid w:val="32AA0460"/>
    <w:rsid w:val="32F40DE3"/>
    <w:rsid w:val="3337290D"/>
    <w:rsid w:val="333D3C9C"/>
    <w:rsid w:val="33E31118"/>
    <w:rsid w:val="33EF7674"/>
    <w:rsid w:val="342D7BC6"/>
    <w:rsid w:val="352930DB"/>
    <w:rsid w:val="35513F11"/>
    <w:rsid w:val="35573069"/>
    <w:rsid w:val="355F6038"/>
    <w:rsid w:val="358C217E"/>
    <w:rsid w:val="36525CB0"/>
    <w:rsid w:val="36AD2EE7"/>
    <w:rsid w:val="36B6623F"/>
    <w:rsid w:val="36C9128A"/>
    <w:rsid w:val="370E607B"/>
    <w:rsid w:val="373E1707"/>
    <w:rsid w:val="3747333B"/>
    <w:rsid w:val="37841E99"/>
    <w:rsid w:val="37BF1123"/>
    <w:rsid w:val="38333D70"/>
    <w:rsid w:val="383C3F15"/>
    <w:rsid w:val="38BE4696"/>
    <w:rsid w:val="3939115E"/>
    <w:rsid w:val="39B82A39"/>
    <w:rsid w:val="39C42CA8"/>
    <w:rsid w:val="39DC4FD6"/>
    <w:rsid w:val="39F03D7A"/>
    <w:rsid w:val="39F33306"/>
    <w:rsid w:val="3A2C1C67"/>
    <w:rsid w:val="3ADD7F09"/>
    <w:rsid w:val="3B1705E5"/>
    <w:rsid w:val="3B18334B"/>
    <w:rsid w:val="3B36794F"/>
    <w:rsid w:val="3B6F6EE0"/>
    <w:rsid w:val="3C3209A1"/>
    <w:rsid w:val="3C333E8E"/>
    <w:rsid w:val="3C566AD6"/>
    <w:rsid w:val="3C594871"/>
    <w:rsid w:val="3C6A5B02"/>
    <w:rsid w:val="3CBB45AF"/>
    <w:rsid w:val="3D2757A1"/>
    <w:rsid w:val="3D3D4FC4"/>
    <w:rsid w:val="3D98669F"/>
    <w:rsid w:val="3DDF3AB1"/>
    <w:rsid w:val="3DE47B36"/>
    <w:rsid w:val="3E1D0952"/>
    <w:rsid w:val="3E23620E"/>
    <w:rsid w:val="3E42660A"/>
    <w:rsid w:val="3E7555B1"/>
    <w:rsid w:val="3E787ED9"/>
    <w:rsid w:val="3F032E93"/>
    <w:rsid w:val="3F0527E5"/>
    <w:rsid w:val="3F694D83"/>
    <w:rsid w:val="3F7B1DD4"/>
    <w:rsid w:val="3F885DCC"/>
    <w:rsid w:val="3F980BD8"/>
    <w:rsid w:val="3FCD675E"/>
    <w:rsid w:val="4004000C"/>
    <w:rsid w:val="406B1E48"/>
    <w:rsid w:val="40BD5482"/>
    <w:rsid w:val="411B6CE5"/>
    <w:rsid w:val="412070D7"/>
    <w:rsid w:val="41314E40"/>
    <w:rsid w:val="41E0734B"/>
    <w:rsid w:val="426C1EA8"/>
    <w:rsid w:val="42736402"/>
    <w:rsid w:val="42E86A87"/>
    <w:rsid w:val="43307B09"/>
    <w:rsid w:val="434B5F61"/>
    <w:rsid w:val="439A3EB9"/>
    <w:rsid w:val="43BB152F"/>
    <w:rsid w:val="44C37687"/>
    <w:rsid w:val="45CB699A"/>
    <w:rsid w:val="45E2495B"/>
    <w:rsid w:val="465B470D"/>
    <w:rsid w:val="469D6AD4"/>
    <w:rsid w:val="46C93D6D"/>
    <w:rsid w:val="46DB2457"/>
    <w:rsid w:val="471548BC"/>
    <w:rsid w:val="471E6C84"/>
    <w:rsid w:val="47264D1B"/>
    <w:rsid w:val="4729480B"/>
    <w:rsid w:val="4748792B"/>
    <w:rsid w:val="47555600"/>
    <w:rsid w:val="475D719D"/>
    <w:rsid w:val="47674801"/>
    <w:rsid w:val="48225EF7"/>
    <w:rsid w:val="488F422B"/>
    <w:rsid w:val="48E36915"/>
    <w:rsid w:val="48EB6572"/>
    <w:rsid w:val="4955259A"/>
    <w:rsid w:val="495C4A24"/>
    <w:rsid w:val="497135DF"/>
    <w:rsid w:val="4A263DF2"/>
    <w:rsid w:val="4A477482"/>
    <w:rsid w:val="4A6F6675"/>
    <w:rsid w:val="4AEE3DA2"/>
    <w:rsid w:val="4B135857"/>
    <w:rsid w:val="4B3317B5"/>
    <w:rsid w:val="4B7951CB"/>
    <w:rsid w:val="4B7C315C"/>
    <w:rsid w:val="4C0D45E4"/>
    <w:rsid w:val="4C687B84"/>
    <w:rsid w:val="4CF82CB6"/>
    <w:rsid w:val="4DAC4ACA"/>
    <w:rsid w:val="4DBE01D2"/>
    <w:rsid w:val="4E3E0B9C"/>
    <w:rsid w:val="4F0C6BA3"/>
    <w:rsid w:val="4F186D58"/>
    <w:rsid w:val="4F9D72CF"/>
    <w:rsid w:val="500D4CCA"/>
    <w:rsid w:val="50615465"/>
    <w:rsid w:val="50F06B6E"/>
    <w:rsid w:val="515A3F3F"/>
    <w:rsid w:val="516E1A1B"/>
    <w:rsid w:val="51D21804"/>
    <w:rsid w:val="52234D33"/>
    <w:rsid w:val="522F6E0C"/>
    <w:rsid w:val="52463BA1"/>
    <w:rsid w:val="529E7E5B"/>
    <w:rsid w:val="52CC2C1B"/>
    <w:rsid w:val="52CD0741"/>
    <w:rsid w:val="52E84EAB"/>
    <w:rsid w:val="52F163D4"/>
    <w:rsid w:val="531A2DB4"/>
    <w:rsid w:val="53506828"/>
    <w:rsid w:val="53AC47FA"/>
    <w:rsid w:val="53C0244D"/>
    <w:rsid w:val="53DD4D4E"/>
    <w:rsid w:val="53E578CE"/>
    <w:rsid w:val="541330F0"/>
    <w:rsid w:val="54272666"/>
    <w:rsid w:val="543B029D"/>
    <w:rsid w:val="546450D5"/>
    <w:rsid w:val="54861779"/>
    <w:rsid w:val="552256E1"/>
    <w:rsid w:val="554E5773"/>
    <w:rsid w:val="555829E0"/>
    <w:rsid w:val="555A3CBC"/>
    <w:rsid w:val="5582012B"/>
    <w:rsid w:val="55894DF3"/>
    <w:rsid w:val="558E4E05"/>
    <w:rsid w:val="55BE2E85"/>
    <w:rsid w:val="56530F5D"/>
    <w:rsid w:val="567700D3"/>
    <w:rsid w:val="568455BA"/>
    <w:rsid w:val="56ED13B1"/>
    <w:rsid w:val="56FF7E9E"/>
    <w:rsid w:val="578867FC"/>
    <w:rsid w:val="57A37CC2"/>
    <w:rsid w:val="58283A54"/>
    <w:rsid w:val="5842572D"/>
    <w:rsid w:val="58443253"/>
    <w:rsid w:val="59605E6B"/>
    <w:rsid w:val="5A3B59D6"/>
    <w:rsid w:val="5AC3658A"/>
    <w:rsid w:val="5AD05272"/>
    <w:rsid w:val="5AD134D8"/>
    <w:rsid w:val="5AE34FA5"/>
    <w:rsid w:val="5B9A01F8"/>
    <w:rsid w:val="5C263CE4"/>
    <w:rsid w:val="5C5D2777"/>
    <w:rsid w:val="5CE2303B"/>
    <w:rsid w:val="5CF66BF3"/>
    <w:rsid w:val="5D290C69"/>
    <w:rsid w:val="5E745F14"/>
    <w:rsid w:val="5E916AC6"/>
    <w:rsid w:val="5EB313EB"/>
    <w:rsid w:val="5EC92F53"/>
    <w:rsid w:val="5F2D4A41"/>
    <w:rsid w:val="5F8E1258"/>
    <w:rsid w:val="5F9C5723"/>
    <w:rsid w:val="60C74F6C"/>
    <w:rsid w:val="60CE4002"/>
    <w:rsid w:val="61025A59"/>
    <w:rsid w:val="613D5BBC"/>
    <w:rsid w:val="61536C39"/>
    <w:rsid w:val="620F042E"/>
    <w:rsid w:val="62944DD7"/>
    <w:rsid w:val="630119E4"/>
    <w:rsid w:val="6319381F"/>
    <w:rsid w:val="6332455D"/>
    <w:rsid w:val="63C25DC5"/>
    <w:rsid w:val="63C62057"/>
    <w:rsid w:val="63D25A4E"/>
    <w:rsid w:val="64153CF6"/>
    <w:rsid w:val="64571EF5"/>
    <w:rsid w:val="64F8789F"/>
    <w:rsid w:val="64FB113D"/>
    <w:rsid w:val="65566374"/>
    <w:rsid w:val="656152C6"/>
    <w:rsid w:val="65752C9E"/>
    <w:rsid w:val="657809E0"/>
    <w:rsid w:val="657C227E"/>
    <w:rsid w:val="6587477F"/>
    <w:rsid w:val="658C3A08"/>
    <w:rsid w:val="65C031CA"/>
    <w:rsid w:val="65CE6852"/>
    <w:rsid w:val="66267C04"/>
    <w:rsid w:val="663F505A"/>
    <w:rsid w:val="66EE5541"/>
    <w:rsid w:val="66F9345B"/>
    <w:rsid w:val="672D5683"/>
    <w:rsid w:val="67924660"/>
    <w:rsid w:val="68407834"/>
    <w:rsid w:val="6883293E"/>
    <w:rsid w:val="688412AD"/>
    <w:rsid w:val="68EB1B71"/>
    <w:rsid w:val="69CE6E20"/>
    <w:rsid w:val="6A6C7940"/>
    <w:rsid w:val="6AAD2300"/>
    <w:rsid w:val="6B474EF5"/>
    <w:rsid w:val="6B527C45"/>
    <w:rsid w:val="6BDD77EF"/>
    <w:rsid w:val="6C0A5AC5"/>
    <w:rsid w:val="6C560CAE"/>
    <w:rsid w:val="6C576495"/>
    <w:rsid w:val="6CFC1EF7"/>
    <w:rsid w:val="6D4F64CA"/>
    <w:rsid w:val="6D903FF5"/>
    <w:rsid w:val="6DA955B8"/>
    <w:rsid w:val="6DE346AB"/>
    <w:rsid w:val="6DE5391A"/>
    <w:rsid w:val="6E423939"/>
    <w:rsid w:val="6E641B01"/>
    <w:rsid w:val="6EFD1324"/>
    <w:rsid w:val="6F1E7F02"/>
    <w:rsid w:val="6F5A53AC"/>
    <w:rsid w:val="6F675D4D"/>
    <w:rsid w:val="6F877C9E"/>
    <w:rsid w:val="6FAC003D"/>
    <w:rsid w:val="6FC565D0"/>
    <w:rsid w:val="6FE54EC4"/>
    <w:rsid w:val="6FE55E12"/>
    <w:rsid w:val="6FFB2E76"/>
    <w:rsid w:val="70001CFE"/>
    <w:rsid w:val="708F6F7F"/>
    <w:rsid w:val="70C26FB3"/>
    <w:rsid w:val="70D94BD3"/>
    <w:rsid w:val="710F044A"/>
    <w:rsid w:val="7150636D"/>
    <w:rsid w:val="716B6FD5"/>
    <w:rsid w:val="71B42342"/>
    <w:rsid w:val="71C34D91"/>
    <w:rsid w:val="72DB435C"/>
    <w:rsid w:val="72E2613A"/>
    <w:rsid w:val="72F771F4"/>
    <w:rsid w:val="73934AD2"/>
    <w:rsid w:val="740775BE"/>
    <w:rsid w:val="74477EFB"/>
    <w:rsid w:val="750837F0"/>
    <w:rsid w:val="75091655"/>
    <w:rsid w:val="751853F4"/>
    <w:rsid w:val="754758CF"/>
    <w:rsid w:val="76171B4F"/>
    <w:rsid w:val="764F62AB"/>
    <w:rsid w:val="765C45EC"/>
    <w:rsid w:val="768A7619"/>
    <w:rsid w:val="769D02A6"/>
    <w:rsid w:val="76BB072D"/>
    <w:rsid w:val="772E1EBA"/>
    <w:rsid w:val="775070C7"/>
    <w:rsid w:val="781926BC"/>
    <w:rsid w:val="78DE0702"/>
    <w:rsid w:val="78FA211C"/>
    <w:rsid w:val="796D60A4"/>
    <w:rsid w:val="797846B3"/>
    <w:rsid w:val="798750A7"/>
    <w:rsid w:val="79A031D5"/>
    <w:rsid w:val="79A952F7"/>
    <w:rsid w:val="79C142AC"/>
    <w:rsid w:val="79F747D4"/>
    <w:rsid w:val="7A1525F7"/>
    <w:rsid w:val="7A293BFF"/>
    <w:rsid w:val="7A5769BE"/>
    <w:rsid w:val="7A617495"/>
    <w:rsid w:val="7B420052"/>
    <w:rsid w:val="7B564EC8"/>
    <w:rsid w:val="7BD06A28"/>
    <w:rsid w:val="7BE73D72"/>
    <w:rsid w:val="7C3A7C0B"/>
    <w:rsid w:val="7C5248E4"/>
    <w:rsid w:val="7C566698"/>
    <w:rsid w:val="7C5866A3"/>
    <w:rsid w:val="7C831CEC"/>
    <w:rsid w:val="7D7406BB"/>
    <w:rsid w:val="7DAC5273"/>
    <w:rsid w:val="7DE94331"/>
    <w:rsid w:val="7F446A19"/>
    <w:rsid w:val="7F7452B9"/>
    <w:rsid w:val="7F8E2E82"/>
    <w:rsid w:val="7FA50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11132</Words>
  <Characters>15374</Characters>
  <Lines>135</Lines>
  <Paragraphs>38</Paragraphs>
  <TotalTime>0</TotalTime>
  <ScaleCrop>false</ScaleCrop>
  <LinksUpToDate>false</LinksUpToDate>
  <CharactersWithSpaces>16732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2025-09-17T02:34:13Z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C8C17CCB263C4A8F827B554950B9BA4E_13</vt:lpwstr>
  </property>
  <property fmtid="{D5CDD505-2E9C-101B-9397-08002B2CF9AE}" pid="4" name="KSOTemplateDocerSaveRecord">
    <vt:lpwstr>eyJoZGlkIjoiMDk5NzFiY2I4MjQwYzQwMjA1YzBjZDI3YzA0Zjg1YmYiLCJ1c2VySWQiOiIzMjAxODE2NjYifQ==</vt:lpwstr>
  </property>
</Properties>
</file>