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ind w:firstLine="720" w:firstLineChars="200"/>
        <w:jc w:val="center"/>
        <w:rPr>
          <w:rFonts w:hint="default" w:ascii="方正小标宋_GBK" w:hAnsi="方正小标宋_GBK" w:eastAsia="方正小标宋_GBK" w:cs="方正小标宋_GBK"/>
          <w:color w:val="000000" w:themeColor="text1"/>
          <w:sz w:val="36"/>
          <w:szCs w:val="36"/>
        </w:rPr>
      </w:pPr>
    </w:p>
    <w:p>
      <w:pPr>
        <w:pStyle w:val="6"/>
        <w:spacing w:before="0" w:beforeAutospacing="0" w:after="0" w:afterAutospacing="0" w:line="596" w:lineRule="exact"/>
        <w:jc w:val="center"/>
        <w:rPr>
          <w:rFonts w:hint="default" w:ascii="方正小标宋_GBK" w:hAnsi="方正小标宋_GBK" w:eastAsia="方正小标宋_GBK" w:cs="方正小标宋_GBK"/>
          <w:color w:val="000000" w:themeColor="text1"/>
          <w:sz w:val="44"/>
          <w:szCs w:val="44"/>
        </w:rPr>
      </w:pPr>
      <w:r>
        <w:rPr>
          <w:rFonts w:ascii="方正小标宋_GBK" w:hAnsi="方正小标宋_GBK" w:eastAsia="方正小标宋_GBK" w:cs="方正小标宋_GBK"/>
          <w:color w:val="000000" w:themeColor="text1"/>
          <w:sz w:val="44"/>
          <w:szCs w:val="44"/>
        </w:rPr>
        <w:t>垫江县妇女联合会</w:t>
      </w:r>
    </w:p>
    <w:p>
      <w:pPr>
        <w:pStyle w:val="6"/>
        <w:spacing w:before="0" w:beforeAutospacing="0" w:after="0" w:afterAutospacing="0" w:line="596" w:lineRule="exact"/>
        <w:jc w:val="center"/>
        <w:rPr>
          <w:rFonts w:hint="default" w:ascii="方正小标宋_GBK" w:hAnsi="方正小标宋_GBK" w:eastAsia="方正小标宋_GBK" w:cs="方正小标宋_GBK"/>
          <w:color w:val="000000" w:themeColor="text1"/>
          <w:sz w:val="44"/>
          <w:szCs w:val="44"/>
          <w:shd w:val="clear" w:color="auto" w:fill="FFFFFF"/>
        </w:rPr>
      </w:pPr>
      <w:r>
        <w:rPr>
          <w:rFonts w:hint="default" w:ascii="Times New Roman" w:hAnsi="Times New Roman" w:eastAsia="方正小标宋_GBK"/>
          <w:color w:val="000000" w:themeColor="text1"/>
          <w:sz w:val="44"/>
          <w:szCs w:val="44"/>
          <w:shd w:val="clear" w:color="auto" w:fill="FFFFFF"/>
        </w:rPr>
        <w:t>2024</w:t>
      </w:r>
      <w:r>
        <w:rPr>
          <w:rFonts w:ascii="方正小标宋_GBK" w:hAnsi="方正小标宋_GBK" w:eastAsia="方正小标宋_GBK" w:cs="方正小标宋_GBK"/>
          <w:color w:val="000000" w:themeColor="text1"/>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000000" w:themeColor="text1"/>
          <w:sz w:val="32"/>
          <w:szCs w:val="32"/>
          <w:shd w:val="clear" w:color="auto" w:fill="FFFFFF"/>
        </w:rPr>
      </w:pPr>
      <w:r>
        <w:rPr>
          <w:rStyle w:val="10"/>
          <w:rFonts w:ascii="黑体" w:hAnsi="黑体" w:eastAsia="黑体" w:cs="黑体"/>
          <w:color w:val="000000" w:themeColor="text1"/>
          <w:sz w:val="32"/>
          <w:szCs w:val="32"/>
          <w:shd w:val="clear" w:color="auto" w:fill="FFFFFF"/>
        </w:rPr>
        <w:t>一、部门基本情况</w:t>
      </w:r>
    </w:p>
    <w:p>
      <w:pPr>
        <w:pStyle w:val="6"/>
        <w:shd w:val="clear" w:color="auto" w:fill="FFFFFF"/>
        <w:ind w:firstLine="420"/>
        <w:rPr>
          <w:rFonts w:hint="default" w:ascii="方正仿宋_GBK" w:hAnsi="方正仿宋_GBK" w:eastAsia="方正仿宋_GBK" w:cs="方正仿宋_GBK"/>
          <w:color w:val="000000" w:themeColor="text1"/>
          <w:sz w:val="32"/>
          <w:szCs w:val="32"/>
        </w:rPr>
      </w:pPr>
      <w:r>
        <w:rPr>
          <w:rStyle w:val="10"/>
          <w:rFonts w:ascii="楷体" w:hAnsi="楷体" w:eastAsia="楷体" w:cs="楷体"/>
          <w:color w:val="000000" w:themeColor="text1"/>
          <w:sz w:val="32"/>
          <w:szCs w:val="32"/>
          <w:shd w:val="clear" w:color="auto" w:fill="FFFFFF"/>
        </w:rPr>
        <w:t>（一）职能职责</w:t>
      </w:r>
    </w:p>
    <w:p>
      <w:pPr>
        <w:pStyle w:val="6"/>
        <w:shd w:val="clear" w:color="auto" w:fill="FFFFFF"/>
        <w:ind w:firstLine="42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一是坚持党的领导。坚决</w:t>
      </w:r>
      <w:r>
        <w:rPr>
          <w:rFonts w:hint="eastAsia" w:ascii="方正仿宋_GBK" w:hAnsi="方正仿宋_GBK" w:eastAsia="方正仿宋_GBK" w:cs="方正仿宋_GBK"/>
          <w:color w:val="000000" w:themeColor="text1"/>
          <w:sz w:val="32"/>
          <w:szCs w:val="32"/>
          <w:shd w:val="clear" w:color="auto" w:fill="FFFFFF"/>
          <w:lang w:eastAsia="zh-CN"/>
        </w:rPr>
        <w:t>贯彻</w:t>
      </w:r>
      <w:r>
        <w:rPr>
          <w:rFonts w:ascii="方正仿宋_GBK" w:hAnsi="方正仿宋_GBK" w:eastAsia="方正仿宋_GBK" w:cs="方正仿宋_GBK"/>
          <w:color w:val="000000" w:themeColor="text1"/>
          <w:sz w:val="32"/>
          <w:szCs w:val="32"/>
          <w:shd w:val="clear" w:color="auto" w:fill="FFFFFF"/>
        </w:rPr>
        <w:t>党的意志和主张，坚定不移走中国特色社会主义妇联发展道路，切实增强妇联工作的政治性和妇联组织的先进性群众性，汇聚全县广大妇女群众推进社会主义现代化建设的强大动力。二是加强对广大妇女群众的政治引领和思想引导。切实承担引导广大妇女群众听党话、跟党走的政治任务，把妇女群众最广泛最紧密地团结在党的周围，引导广大妇女弘扬中华民族传统美德和自尊自信自立自强精神，培育良好家风。三是依法依章程独立自主开展工作。按照县委、全国妇联和市妇联的要求，指导全县各级妇联按照《中华全国妇女联合会章程》和妇女代表大会的决议，开展妇女儿童工作。四是团结动员广大妇女群众干事创业。组织动员广大妇女群众围绕中心、服务大局。积极主动参与党委、政府各项工作，把妇女半边天作用转化为促进经济社会发展的强大力量。五是突出妇联代表和维护妇女合法权益、促进男女平等职责，服务妇女发展、提升妇女素质。代表广大妇女群众参与相关法律法规和政策的制定，帮助妇女群众通过合法渠道、正常途径，合理伸张利益诉求，促进社会公平正义。六是拓展妇联职责覆盖和工作覆盖。适应人口流动、新兴群体发展等新情况，以社区、农村、家庭为主阵地，加强对乡镇(街道)、村(社区)等妇女群众集中区域的组织覆盖，在留守妇女儿童相对较多的镇街加强妇联基层组织建设。积极探索开展网上妇联工作，创新活动开展和工作评价机制。巩固和扩大妇女统战工作。联系团体会员。七是积极参与社会管理。切实发挥妇联参与社会管理事务管理服务作用，按照法定程序承担转移的社会管理服务职能，打造妇联工作服务品牌，发挥维护社会和谐稳定的作用，动员和组织妇女群众主动参与社会治安综合治理、矛盾纠纷化解等。发挥民主参与和社会监督作用，积极代表和组织妇女群众参与协商民主，有序参与基层民主自治和企事业单位民主管理。 八是研究指导妇联自身改革和建设。加强理论政策研究，调查、研究全县城乡妇女儿童状况、问题，及时为县委、县政府研究决策提出建议。加强宣传，营造有利于妇女全面发展的社会氛围。表彰、宣传先进妇女，培养推荐女性人才，开展妇女干部培训，协助管理下一级妇联组织领导干部。</w:t>
      </w:r>
    </w:p>
    <w:p>
      <w:pPr>
        <w:pStyle w:val="6"/>
        <w:shd w:val="clear" w:color="auto" w:fill="FFFFFF"/>
        <w:ind w:firstLine="420"/>
        <w:rPr>
          <w:rFonts w:hint="default" w:ascii="楷体" w:hAnsi="楷体" w:eastAsia="楷体" w:cs="楷体"/>
          <w:color w:val="000000" w:themeColor="text1"/>
          <w:sz w:val="32"/>
          <w:szCs w:val="32"/>
        </w:rPr>
      </w:pPr>
      <w:r>
        <w:rPr>
          <w:rStyle w:val="10"/>
          <w:rFonts w:ascii="楷体" w:hAnsi="楷体" w:eastAsia="楷体" w:cs="楷体"/>
          <w:color w:val="000000" w:themeColor="text1"/>
          <w:sz w:val="32"/>
          <w:szCs w:val="32"/>
          <w:shd w:val="clear" w:color="auto" w:fill="FFFFFF"/>
        </w:rPr>
        <w:t>（二）机构设置</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垫江县妇女联合会现有内设科室2个:办公室、维权部。下属事业单位1个:垫江县妇女儿童服务中心。</w:t>
      </w:r>
    </w:p>
    <w:p>
      <w:pPr>
        <w:pStyle w:val="6"/>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县妇联人员构成情况:机关行政编制4名(实有4人)，其中主席1名，副主席2名，科员1名，下属单位事业编制4名(实有4人)。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000000" w:themeColor="text1"/>
          <w:sz w:val="32"/>
          <w:szCs w:val="32"/>
          <w:shd w:val="clear" w:color="auto" w:fill="FFFFFF"/>
        </w:rPr>
      </w:pPr>
      <w:r>
        <w:rPr>
          <w:rStyle w:val="10"/>
          <w:rFonts w:ascii="黑体" w:hAnsi="黑体" w:eastAsia="黑体" w:cs="黑体"/>
          <w:color w:val="000000" w:themeColor="text1"/>
          <w:sz w:val="32"/>
          <w:szCs w:val="32"/>
          <w:shd w:val="clear" w:color="auto" w:fill="FFFFFF"/>
        </w:rPr>
        <w:t>二、部门决算收支情况说明</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color w:val="000000" w:themeColor="text1"/>
          <w:sz w:val="32"/>
          <w:szCs w:val="32"/>
        </w:rPr>
      </w:pPr>
      <w:r>
        <w:rPr>
          <w:rStyle w:val="10"/>
          <w:rFonts w:ascii="方正仿宋_GBK" w:hAnsi="方正仿宋_GBK" w:eastAsia="方正仿宋_GBK" w:cs="方正仿宋_GBK"/>
          <w:color w:val="000000" w:themeColor="text1"/>
          <w:sz w:val="32"/>
          <w:szCs w:val="32"/>
          <w:shd w:val="clear" w:color="auto" w:fill="FFFFFF"/>
        </w:rPr>
        <w:t>1.总体情况。</w:t>
      </w:r>
      <w:r>
        <w:rPr>
          <w:rFonts w:ascii="方正仿宋_GBK" w:hAnsi="方正仿宋_GBK" w:eastAsia="方正仿宋_GBK" w:cs="方正仿宋_GBK"/>
          <w:color w:val="000000" w:themeColor="text1"/>
          <w:sz w:val="32"/>
          <w:szCs w:val="32"/>
          <w:shd w:val="clear" w:color="auto" w:fill="FFFFFF"/>
        </w:rPr>
        <w:t>2024年度收入总计278.32万元，支出总计</w:t>
      </w:r>
      <w:r>
        <w:rPr>
          <w:rFonts w:ascii="方正仿宋_GBK" w:hAnsi="方正仿宋_GBK" w:eastAsia="方正仿宋_GBK" w:cs="方正仿宋_GBK"/>
          <w:color w:val="000000" w:themeColor="text1"/>
          <w:sz w:val="32"/>
          <w:szCs w:val="32"/>
        </w:rPr>
        <w:t>278.32</w:t>
      </w:r>
      <w:r>
        <w:rPr>
          <w:rFonts w:ascii="方正仿宋_GBK" w:hAnsi="方正仿宋_GBK" w:eastAsia="方正仿宋_GBK" w:cs="方正仿宋_GBK"/>
          <w:color w:val="000000" w:themeColor="text1"/>
          <w:sz w:val="32"/>
          <w:szCs w:val="32"/>
          <w:shd w:val="clear" w:color="auto" w:fill="FFFFFF"/>
        </w:rPr>
        <w:t>万元。收、支与2023年度相比，增加15.48万元，增长5.9%，主要原因是新增家庭教育项目，新招录公务员。</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0"/>
          <w:rFonts w:ascii="方正仿宋_GBK" w:hAnsi="方正仿宋_GBK" w:eastAsia="方正仿宋_GBK" w:cs="方正仿宋_GBK"/>
          <w:color w:val="000000" w:themeColor="text1"/>
          <w:sz w:val="32"/>
          <w:szCs w:val="32"/>
          <w:shd w:val="clear" w:color="auto" w:fill="FFFFFF"/>
        </w:rPr>
        <w:t>2.收入情况。</w:t>
      </w:r>
      <w:r>
        <w:rPr>
          <w:rFonts w:ascii="方正仿宋_GBK" w:hAnsi="方正仿宋_GBK" w:eastAsia="方正仿宋_GBK" w:cs="方正仿宋_GBK"/>
          <w:color w:val="000000" w:themeColor="text1"/>
          <w:sz w:val="32"/>
          <w:szCs w:val="32"/>
          <w:shd w:val="clear" w:color="auto" w:fill="FFFFFF"/>
        </w:rPr>
        <w:t>2024年度收入合计278.32万元，与2023年度相比，增加35.37万元，增长14.6%，主要原因是新增家庭教育项目，新招录公务员。</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278.32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shd w:val="clear" w:color="auto" w:fill="FFFFFF"/>
        </w:rPr>
      </w:pPr>
      <w:r>
        <w:rPr>
          <w:rStyle w:val="10"/>
          <w:rFonts w:ascii="方正仿宋_GBK" w:hAnsi="方正仿宋_GBK" w:eastAsia="方正仿宋_GBK" w:cs="方正仿宋_GBK"/>
          <w:color w:val="000000" w:themeColor="text1"/>
          <w:sz w:val="32"/>
          <w:szCs w:val="32"/>
          <w:shd w:val="clear" w:color="auto" w:fill="FFFFFF"/>
        </w:rPr>
        <w:t>3.支出情况。</w:t>
      </w:r>
      <w:r>
        <w:rPr>
          <w:rFonts w:ascii="方正仿宋_GBK" w:hAnsi="方正仿宋_GBK" w:eastAsia="方正仿宋_GBK" w:cs="方正仿宋_GBK"/>
          <w:color w:val="000000" w:themeColor="text1"/>
          <w:sz w:val="32"/>
          <w:szCs w:val="32"/>
          <w:shd w:val="clear" w:color="auto" w:fill="FFFFFF"/>
        </w:rPr>
        <w:t>2024年度支出合计</w:t>
      </w:r>
      <w:r>
        <w:rPr>
          <w:rFonts w:ascii="方正仿宋_GBK" w:hAnsi="方正仿宋_GBK" w:eastAsia="方正仿宋_GBK" w:cs="方正仿宋_GBK"/>
          <w:color w:val="000000" w:themeColor="text1"/>
          <w:sz w:val="32"/>
          <w:szCs w:val="32"/>
        </w:rPr>
        <w:t>278.32</w:t>
      </w:r>
      <w:r>
        <w:rPr>
          <w:rFonts w:ascii="方正仿宋_GBK" w:hAnsi="方正仿宋_GBK" w:eastAsia="方正仿宋_GBK" w:cs="方正仿宋_GBK"/>
          <w:color w:val="000000" w:themeColor="text1"/>
          <w:sz w:val="32"/>
          <w:szCs w:val="32"/>
          <w:shd w:val="clear" w:color="auto" w:fill="FFFFFF"/>
        </w:rPr>
        <w:t>万元，与2023年度相比，增加15.48万元，增长5.9%，主要原因是新增家庭教育项目，新招录公务员。</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196.92</w:t>
      </w:r>
      <w:r>
        <w:rPr>
          <w:rFonts w:ascii="方正仿宋_GBK" w:hAnsi="方正仿宋_GBK" w:eastAsia="方正仿宋_GBK" w:cs="方正仿宋_GBK"/>
          <w:sz w:val="32"/>
          <w:szCs w:val="32"/>
          <w:shd w:val="clear" w:color="auto" w:fill="FFFFFF"/>
        </w:rPr>
        <w:t>万元，占70.8%；项目支出</w:t>
      </w:r>
      <w:r>
        <w:rPr>
          <w:rFonts w:ascii="方正仿宋_GBK" w:hAnsi="方正仿宋_GBK" w:eastAsia="方正仿宋_GBK" w:cs="方正仿宋_GBK"/>
          <w:sz w:val="32"/>
          <w:szCs w:val="32"/>
        </w:rPr>
        <w:t>81.40</w:t>
      </w:r>
      <w:r>
        <w:rPr>
          <w:rFonts w:ascii="方正仿宋_GBK" w:hAnsi="方正仿宋_GBK" w:eastAsia="方正仿宋_GBK" w:cs="方正仿宋_GBK"/>
          <w:sz w:val="32"/>
          <w:szCs w:val="32"/>
          <w:shd w:val="clear" w:color="auto" w:fill="FFFFFF"/>
        </w:rPr>
        <w:t>万元，占29.3%；经营支出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rPr>
      </w:pPr>
      <w:r>
        <w:rPr>
          <w:rStyle w:val="10"/>
          <w:rFonts w:ascii="方正仿宋_GBK" w:hAnsi="方正仿宋_GBK" w:eastAsia="方正仿宋_GBK" w:cs="方正仿宋_GBK"/>
          <w:color w:val="000000" w:themeColor="text1"/>
          <w:sz w:val="32"/>
          <w:szCs w:val="32"/>
          <w:shd w:val="clear" w:color="auto" w:fill="FFFFFF"/>
        </w:rPr>
        <w:t>4.结转结余情况。</w:t>
      </w:r>
      <w:r>
        <w:rPr>
          <w:rFonts w:ascii="方正仿宋_GBK" w:hAnsi="方正仿宋_GBK" w:eastAsia="方正仿宋_GBK" w:cs="方正仿宋_GBK"/>
          <w:color w:val="000000" w:themeColor="text1"/>
          <w:sz w:val="32"/>
          <w:szCs w:val="32"/>
          <w:shd w:val="clear" w:color="auto" w:fill="FFFFFF"/>
        </w:rPr>
        <w:t>2024年度年末结转和结余</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万元，与2023年度相比，无增减，主要原因是</w:t>
      </w:r>
      <w:r>
        <w:rPr>
          <w:rFonts w:hint="default" w:eastAsia="方正仿宋_GBK"/>
          <w:color w:val="000000" w:themeColor="text1"/>
          <w:sz w:val="32"/>
          <w:szCs w:val="32"/>
        </w:rPr>
        <w:t>本年度与上年度均无结转结余</w:t>
      </w:r>
      <w:r>
        <w:rPr>
          <w:rFonts w:ascii="方正仿宋_GBK" w:hAnsi="方正仿宋_GBK" w:eastAsia="方正仿宋_GBK" w:cs="方正仿宋_GBK"/>
          <w:color w:val="000000" w:themeColor="text1"/>
          <w:sz w:val="32"/>
          <w:szCs w:val="32"/>
          <w:shd w:val="clear" w:color="auto" w:fill="FFFFFF"/>
        </w:rPr>
        <w:t>。</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2024年度财政拨款收、支总计278.32万元。与2023年相比，财政拨款收、支总计各增加15.48万元，增长5.9%。主要原因是新增家庭教育项目，新招录公务员。</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rPr>
      </w:pPr>
      <w:r>
        <w:rPr>
          <w:rStyle w:val="10"/>
          <w:rFonts w:ascii="方正仿宋_GBK" w:hAnsi="方正仿宋_GBK" w:eastAsia="方正仿宋_GBK" w:cs="方正仿宋_GBK"/>
          <w:color w:val="000000" w:themeColor="text1"/>
          <w:sz w:val="32"/>
          <w:szCs w:val="32"/>
          <w:shd w:val="clear" w:color="auto" w:fill="FFFFFF"/>
        </w:rPr>
        <w:t>1.收入情况。</w:t>
      </w:r>
      <w:r>
        <w:rPr>
          <w:rFonts w:ascii="方正仿宋_GBK" w:hAnsi="方正仿宋_GBK" w:eastAsia="方正仿宋_GBK" w:cs="方正仿宋_GBK"/>
          <w:color w:val="000000" w:themeColor="text1"/>
          <w:sz w:val="32"/>
          <w:szCs w:val="32"/>
          <w:shd w:val="clear" w:color="auto" w:fill="FFFFFF"/>
        </w:rPr>
        <w:t>2024年度一般公共预算财政拨款收入</w:t>
      </w:r>
      <w:r>
        <w:rPr>
          <w:rFonts w:ascii="方正仿宋_GBK" w:hAnsi="方正仿宋_GBK" w:eastAsia="方正仿宋_GBK" w:cs="方正仿宋_GBK"/>
          <w:color w:val="000000" w:themeColor="text1"/>
          <w:sz w:val="32"/>
          <w:szCs w:val="32"/>
        </w:rPr>
        <w:t>278.32</w:t>
      </w:r>
      <w:r>
        <w:rPr>
          <w:rFonts w:ascii="方正仿宋_GBK" w:hAnsi="方正仿宋_GBK" w:eastAsia="方正仿宋_GBK" w:cs="方正仿宋_GBK"/>
          <w:color w:val="000000" w:themeColor="text1"/>
          <w:sz w:val="32"/>
          <w:szCs w:val="32"/>
          <w:shd w:val="clear" w:color="auto" w:fill="FFFFFF"/>
        </w:rPr>
        <w:t>万元，与2023年度相比，增加35.37万元，增长14.6%。主要原因是新增家庭教育项目，新招录公务员。较年初预算数减少4.63万元，下降1.6%。主要原因是项目资金减少，人员工资调整等。此外，年初财政拨款结转和结余</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rPr>
      </w:pPr>
      <w:r>
        <w:rPr>
          <w:rStyle w:val="10"/>
          <w:rFonts w:ascii="方正仿宋_GBK" w:hAnsi="方正仿宋_GBK" w:eastAsia="方正仿宋_GBK" w:cs="方正仿宋_GBK"/>
          <w:color w:val="000000" w:themeColor="text1"/>
          <w:sz w:val="32"/>
          <w:szCs w:val="32"/>
          <w:shd w:val="clear" w:color="auto" w:fill="FFFFFF"/>
        </w:rPr>
        <w:t>2.支出情况。</w:t>
      </w:r>
      <w:r>
        <w:rPr>
          <w:rFonts w:ascii="方正仿宋_GBK" w:hAnsi="方正仿宋_GBK" w:eastAsia="方正仿宋_GBK" w:cs="方正仿宋_GBK"/>
          <w:color w:val="000000" w:themeColor="text1"/>
          <w:sz w:val="32"/>
          <w:szCs w:val="32"/>
          <w:shd w:val="clear" w:color="auto" w:fill="FFFFFF"/>
        </w:rPr>
        <w:t>2024年度一般公共预算财政拨款支出</w:t>
      </w:r>
      <w:r>
        <w:rPr>
          <w:rFonts w:ascii="方正仿宋_GBK" w:hAnsi="方正仿宋_GBK" w:eastAsia="方正仿宋_GBK" w:cs="方正仿宋_GBK"/>
          <w:color w:val="000000" w:themeColor="text1"/>
          <w:sz w:val="32"/>
          <w:szCs w:val="32"/>
        </w:rPr>
        <w:t>278.32</w:t>
      </w:r>
      <w:r>
        <w:rPr>
          <w:rFonts w:ascii="方正仿宋_GBK" w:hAnsi="方正仿宋_GBK" w:eastAsia="方正仿宋_GBK" w:cs="方正仿宋_GBK"/>
          <w:color w:val="000000" w:themeColor="text1"/>
          <w:sz w:val="32"/>
          <w:szCs w:val="32"/>
          <w:shd w:val="clear" w:color="auto" w:fill="FFFFFF"/>
        </w:rPr>
        <w:t>万元，与2023年度相比，增加15.48万元，增长5.9%。主要原因是新增家庭教育项目，新招录公务员。较年初预算数减少4.63万元，下降1.6%。主要原因是项目资金减少，人员工资调整等。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rPr>
      </w:pPr>
      <w:r>
        <w:rPr>
          <w:rStyle w:val="10"/>
          <w:rFonts w:ascii="方正仿宋_GBK" w:hAnsi="方正仿宋_GBK" w:eastAsia="方正仿宋_GBK" w:cs="方正仿宋_GBK"/>
          <w:color w:val="000000" w:themeColor="text1"/>
          <w:sz w:val="32"/>
          <w:szCs w:val="32"/>
          <w:shd w:val="clear" w:color="auto" w:fill="FFFFFF"/>
        </w:rPr>
        <w:t>3.结转结余情况。</w:t>
      </w:r>
      <w:r>
        <w:rPr>
          <w:rFonts w:ascii="方正仿宋_GBK" w:hAnsi="方正仿宋_GBK" w:eastAsia="方正仿宋_GBK" w:cs="方正仿宋_GBK"/>
          <w:color w:val="000000" w:themeColor="text1"/>
          <w:sz w:val="32"/>
          <w:szCs w:val="32"/>
          <w:shd w:val="clear" w:color="auto" w:fill="FFFFFF"/>
        </w:rPr>
        <w:t>2024年度年末一般公共预算财政拨款结转和结余</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万元，与2023年度相比，无增减，主要原因是</w:t>
      </w:r>
      <w:r>
        <w:rPr>
          <w:rFonts w:hint="default" w:eastAsia="方正仿宋_GBK"/>
          <w:color w:val="000000" w:themeColor="text1"/>
          <w:sz w:val="32"/>
          <w:szCs w:val="32"/>
        </w:rPr>
        <w:t>本年度与上年度均无结转结余</w:t>
      </w:r>
      <w:r>
        <w:rPr>
          <w:rFonts w:ascii="方正仿宋_GBK" w:hAnsi="方正仿宋_GBK" w:eastAsia="方正仿宋_GBK" w:cs="方正仿宋_GBK"/>
          <w:color w:val="000000" w:themeColor="text1"/>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highlight w:val="cyan"/>
          <w:shd w:val="clear" w:color="auto" w:fill="FFFFFF"/>
        </w:rPr>
      </w:pPr>
      <w:r>
        <w:rPr>
          <w:rStyle w:val="10"/>
          <w:rFonts w:ascii="方正仿宋_GBK" w:hAnsi="方正仿宋_GBK" w:eastAsia="方正仿宋_GBK" w:cs="方正仿宋_GBK"/>
          <w:color w:val="000000" w:themeColor="text1"/>
          <w:sz w:val="32"/>
          <w:szCs w:val="32"/>
          <w:shd w:val="clear" w:color="auto" w:fill="FFFFFF"/>
        </w:rPr>
        <w:t xml:space="preserve"> 4.比较情况。</w:t>
      </w:r>
      <w:r>
        <w:rPr>
          <w:rFonts w:ascii="方正仿宋_GBK" w:hAnsi="方正仿宋_GBK" w:eastAsia="方正仿宋_GBK" w:cs="方正仿宋_GBK"/>
          <w:color w:val="000000" w:themeColor="text1"/>
          <w:sz w:val="32"/>
          <w:szCs w:val="32"/>
          <w:shd w:val="clear" w:color="auto" w:fill="FFFFFF"/>
        </w:rPr>
        <w:t>本部门2024年度一般公共预算财政拨款支出主要用于以下几个方面：</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ascii="方正仿宋_GBK" w:hAnsi="方正仿宋_GBK" w:eastAsia="方正仿宋_GBK" w:cs="方正仿宋_GBK"/>
          <w:sz w:val="32"/>
          <w:szCs w:val="32"/>
        </w:rPr>
        <w:t>212.46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76.3%</w:t>
      </w:r>
      <w:r>
        <w:rPr>
          <w:rFonts w:ascii="方正仿宋_GBK" w:hAnsi="方正仿宋_GBK" w:eastAsia="方正仿宋_GBK" w:cs="方正仿宋_GBK"/>
          <w:sz w:val="32"/>
          <w:szCs w:val="32"/>
          <w:shd w:val="clear" w:color="auto" w:fill="FFFFFF"/>
        </w:rPr>
        <w:t>，较年初预算数减少22.78万元，下降9.7%，</w:t>
      </w:r>
      <w:r>
        <w:rPr>
          <w:rFonts w:hint="eastAsia" w:ascii="方正仿宋_GBK" w:hAnsi="方正仿宋_GBK" w:eastAsia="方正仿宋_GBK" w:cs="方正仿宋_GBK"/>
          <w:color w:val="000000" w:themeColor="text1"/>
          <w:sz w:val="32"/>
          <w:szCs w:val="32"/>
          <w:shd w:val="clear" w:color="auto" w:fill="FFFFFF"/>
        </w:rPr>
        <w:t>主要原因是调整用于弥补人员经费，补交养老保险和职业年金等。</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，较年初预算数减少0.51万元，下降100.0%，</w:t>
      </w:r>
      <w:r>
        <w:rPr>
          <w:rFonts w:hint="eastAsia" w:ascii="方正仿宋_GBK" w:hAnsi="方正仿宋_GBK" w:eastAsia="方正仿宋_GBK" w:cs="方正仿宋_GBK"/>
          <w:color w:val="000000" w:themeColor="text1"/>
          <w:sz w:val="32"/>
          <w:szCs w:val="32"/>
          <w:shd w:val="clear" w:color="auto" w:fill="FFFFFF"/>
        </w:rPr>
        <w:t>主要原因本年度未开展培训。</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43.55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15.7%</w:t>
      </w:r>
      <w:r>
        <w:rPr>
          <w:rFonts w:ascii="方正仿宋_GBK" w:hAnsi="方正仿宋_GBK" w:eastAsia="方正仿宋_GBK" w:cs="方正仿宋_GBK"/>
          <w:sz w:val="32"/>
          <w:szCs w:val="32"/>
          <w:shd w:val="clear" w:color="auto" w:fill="FFFFFF"/>
        </w:rPr>
        <w:t>，较年初预算数增加15.20万元，增长53.6%，</w:t>
      </w:r>
      <w:r>
        <w:rPr>
          <w:rFonts w:hint="eastAsia" w:ascii="方正仿宋_GBK" w:hAnsi="方正仿宋_GBK" w:eastAsia="方正仿宋_GBK" w:cs="方正仿宋_GBK"/>
          <w:color w:val="000000" w:themeColor="text1"/>
          <w:sz w:val="32"/>
          <w:szCs w:val="32"/>
          <w:shd w:val="clear" w:color="auto" w:fill="FFFFFF"/>
        </w:rPr>
        <w:t>主要原因是补交养老保险和职业年金等。</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8.38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w:t>
      </w:r>
      <w:r>
        <w:rPr>
          <w:rFonts w:ascii="方正仿宋_GBK" w:hAnsi="方正仿宋_GBK" w:eastAsia="方正仿宋_GBK" w:cs="方正仿宋_GBK"/>
          <w:sz w:val="32"/>
          <w:szCs w:val="32"/>
          <w:shd w:val="clear" w:color="auto" w:fill="FFFFFF"/>
        </w:rPr>
        <w:t>，较年初预算数增加0.14万元，增长1.7%，</w:t>
      </w:r>
      <w:r>
        <w:rPr>
          <w:rFonts w:hint="eastAsia" w:ascii="方正仿宋_GBK" w:hAnsi="方正仿宋_GBK" w:eastAsia="方正仿宋_GBK" w:cs="方正仿宋_GBK"/>
          <w:color w:val="000000" w:themeColor="text1"/>
          <w:sz w:val="32"/>
          <w:szCs w:val="32"/>
          <w:shd w:val="clear" w:color="auto" w:fill="FFFFFF"/>
        </w:rPr>
        <w:t>主要原因是年中基数调整。</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（5）</w:t>
      </w:r>
      <w:r>
        <w:rPr>
          <w:rFonts w:ascii="方正仿宋_GBK" w:hAnsi="方正仿宋_GBK" w:eastAsia="方正仿宋_GBK" w:cs="方正仿宋_GBK"/>
          <w:sz w:val="32"/>
          <w:szCs w:val="32"/>
        </w:rPr>
        <w:t>住房保障支出13.93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5.0%</w:t>
      </w:r>
      <w:r>
        <w:rPr>
          <w:rFonts w:ascii="方正仿宋_GBK" w:hAnsi="方正仿宋_GBK" w:eastAsia="方正仿宋_GBK" w:cs="方正仿宋_GBK"/>
          <w:sz w:val="32"/>
          <w:szCs w:val="32"/>
          <w:shd w:val="clear" w:color="auto" w:fill="FFFFFF"/>
        </w:rPr>
        <w:t>，较年初预算数增加3.32万元，增长31.3%，</w:t>
      </w:r>
      <w:r>
        <w:rPr>
          <w:rFonts w:hint="eastAsia" w:ascii="方正仿宋_GBK" w:hAnsi="方正仿宋_GBK" w:eastAsia="方正仿宋_GBK" w:cs="方正仿宋_GBK"/>
          <w:color w:val="000000" w:themeColor="text1"/>
          <w:sz w:val="32"/>
          <w:szCs w:val="32"/>
          <w:shd w:val="clear" w:color="auto" w:fill="FFFFFF"/>
        </w:rPr>
        <w:t>主要原因是精算补交住房公积金，缴费基数调整。</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 2024年度一般公共财政拨款基本支出</w:t>
      </w:r>
      <w:r>
        <w:rPr>
          <w:rFonts w:ascii="方正仿宋_GBK" w:hAnsi="方正仿宋_GBK" w:eastAsia="方正仿宋_GBK" w:cs="方正仿宋_GBK"/>
          <w:color w:val="000000" w:themeColor="text1"/>
          <w:sz w:val="32"/>
          <w:szCs w:val="32"/>
        </w:rPr>
        <w:t>196.92</w:t>
      </w:r>
      <w:r>
        <w:rPr>
          <w:rFonts w:ascii="方正仿宋_GBK" w:hAnsi="方正仿宋_GBK" w:eastAsia="方正仿宋_GBK" w:cs="方正仿宋_GBK"/>
          <w:color w:val="000000" w:themeColor="text1"/>
          <w:sz w:val="32"/>
          <w:szCs w:val="32"/>
          <w:shd w:val="clear" w:color="auto" w:fill="FFFFFF"/>
        </w:rPr>
        <w:t>万元。其中：人员经费</w:t>
      </w:r>
      <w:r>
        <w:rPr>
          <w:rFonts w:ascii="方正仿宋_GBK" w:hAnsi="方正仿宋_GBK" w:eastAsia="方正仿宋_GBK" w:cs="方正仿宋_GBK"/>
          <w:color w:val="000000" w:themeColor="text1"/>
          <w:sz w:val="32"/>
          <w:szCs w:val="32"/>
        </w:rPr>
        <w:t>181.67</w:t>
      </w:r>
      <w:r>
        <w:rPr>
          <w:rFonts w:ascii="方正仿宋_GBK" w:hAnsi="方正仿宋_GBK" w:eastAsia="方正仿宋_GBK" w:cs="方正仿宋_GBK"/>
          <w:color w:val="000000" w:themeColor="text1"/>
          <w:sz w:val="32"/>
          <w:szCs w:val="32"/>
          <w:shd w:val="clear" w:color="auto" w:fill="FFFFFF"/>
        </w:rPr>
        <w:t>万元，与2023年度相比，增加14.52万元，增长8.7%，主要原因是</w:t>
      </w:r>
      <w:r>
        <w:rPr>
          <w:rFonts w:eastAsia="方正仿宋_GBK"/>
          <w:color w:val="000000" w:themeColor="text1"/>
          <w:sz w:val="32"/>
          <w:szCs w:val="32"/>
        </w:rPr>
        <w:t>新招录公务员</w:t>
      </w:r>
      <w:r>
        <w:rPr>
          <w:rFonts w:ascii="方正仿宋_GBK" w:hAnsi="方正仿宋_GBK" w:eastAsia="方正仿宋_GBK" w:cs="方正仿宋_GBK"/>
          <w:color w:val="000000" w:themeColor="text1"/>
          <w:sz w:val="32"/>
          <w:szCs w:val="32"/>
          <w:shd w:val="clear" w:color="auto" w:fill="FFFFFF"/>
        </w:rPr>
        <w:t>。人员经费用途主要包括</w:t>
      </w:r>
      <w:r>
        <w:rPr>
          <w:rFonts w:eastAsia="方正仿宋_GBK"/>
          <w:color w:val="000000" w:themeColor="text1"/>
          <w:sz w:val="32"/>
          <w:szCs w:val="32"/>
        </w:rPr>
        <w:t>基本工资、津贴补贴、奖金、社会保障缴费等</w:t>
      </w:r>
      <w:r>
        <w:rPr>
          <w:rFonts w:ascii="方正仿宋_GBK" w:hAnsi="方正仿宋_GBK" w:eastAsia="方正仿宋_GBK" w:cs="方正仿宋_GBK"/>
          <w:color w:val="000000" w:themeColor="text1"/>
          <w:sz w:val="32"/>
          <w:szCs w:val="32"/>
          <w:shd w:val="clear" w:color="auto" w:fill="FFFFFF"/>
        </w:rPr>
        <w:t>。公用经费</w:t>
      </w:r>
      <w:r>
        <w:rPr>
          <w:rFonts w:ascii="方正仿宋_GBK" w:hAnsi="方正仿宋_GBK" w:eastAsia="方正仿宋_GBK" w:cs="方正仿宋_GBK"/>
          <w:color w:val="000000" w:themeColor="text1"/>
          <w:sz w:val="32"/>
          <w:szCs w:val="32"/>
        </w:rPr>
        <w:t>15.25</w:t>
      </w:r>
      <w:r>
        <w:rPr>
          <w:rFonts w:ascii="方正仿宋_GBK" w:hAnsi="方正仿宋_GBK" w:eastAsia="方正仿宋_GBK" w:cs="方正仿宋_GBK"/>
          <w:color w:val="000000" w:themeColor="text1"/>
          <w:sz w:val="32"/>
          <w:szCs w:val="32"/>
          <w:shd w:val="clear" w:color="auto" w:fill="FFFFFF"/>
        </w:rPr>
        <w:t>万元，与2023年度相比，减少5.98万元，下降28.2%，主要原因是</w:t>
      </w:r>
      <w:r>
        <w:rPr>
          <w:rFonts w:eastAsia="方正仿宋_GBK"/>
          <w:color w:val="000000" w:themeColor="text1"/>
          <w:sz w:val="32"/>
          <w:szCs w:val="32"/>
        </w:rPr>
        <w:t>严格执行财经纪律，节约开支，业务、办公经费减少等。</w:t>
      </w:r>
      <w:r>
        <w:rPr>
          <w:rFonts w:ascii="方正仿宋_GBK" w:hAnsi="方正仿宋_GBK" w:eastAsia="方正仿宋_GBK" w:cs="方正仿宋_GBK"/>
          <w:color w:val="000000" w:themeColor="text1"/>
          <w:sz w:val="32"/>
          <w:szCs w:val="32"/>
          <w:shd w:val="clear" w:color="auto" w:fill="FFFFFF"/>
        </w:rPr>
        <w:t>公用经费用途主要包括</w:t>
      </w:r>
      <w:r>
        <w:rPr>
          <w:rFonts w:eastAsia="方正仿宋_GBK"/>
          <w:color w:val="000000" w:themeColor="text1"/>
          <w:sz w:val="32"/>
          <w:szCs w:val="32"/>
        </w:rPr>
        <w:t>办公费、印刷费、电费、邮电费、培训费、维修（护）费、公务接待费、劳务费、公务用车运行维护费、办公设备购置等</w:t>
      </w:r>
      <w:r>
        <w:rPr>
          <w:rFonts w:ascii="方正仿宋_GBK" w:hAnsi="方正仿宋_GBK" w:eastAsia="方正仿宋_GBK" w:cs="方正仿宋_GBK"/>
          <w:color w:val="000000" w:themeColor="text1"/>
          <w:sz w:val="32"/>
          <w:szCs w:val="32"/>
          <w:shd w:val="clear" w:color="auto" w:fill="FFFFFF"/>
        </w:rPr>
        <w:t>。</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eastAsia="方正仿宋_GBK"/>
          <w:color w:val="000000" w:themeColor="text1"/>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本年度无政府性基金预算财政拨款支出。本部门2024年度无政府性基金预算财政拨款收支。</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 </w:t>
      </w: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color w:val="000000" w:themeColor="text1"/>
          <w:sz w:val="32"/>
          <w:szCs w:val="32"/>
          <w:shd w:val="clear" w:color="auto" w:fill="FFFFFF"/>
        </w:rPr>
      </w:pPr>
      <w:r>
        <w:rPr>
          <w:rStyle w:val="10"/>
          <w:rFonts w:ascii="黑体" w:hAnsi="黑体" w:eastAsia="黑体" w:cs="黑体"/>
          <w:color w:val="000000" w:themeColor="text1"/>
          <w:sz w:val="32"/>
          <w:szCs w:val="32"/>
          <w:shd w:val="clear" w:color="auto" w:fill="FFFFFF"/>
        </w:rPr>
        <w:t>三、财政拨款</w:t>
      </w:r>
      <w:r>
        <w:rPr>
          <w:rStyle w:val="10"/>
          <w:rFonts w:hint="eastAsia" w:ascii="黑体" w:hAnsi="黑体" w:eastAsia="黑体" w:cs="黑体"/>
          <w:color w:val="000000" w:themeColor="text1"/>
          <w:sz w:val="32"/>
          <w:szCs w:val="32"/>
          <w:shd w:val="clear" w:color="auto" w:fill="FFFFFF"/>
          <w:lang w:eastAsia="zh-CN"/>
        </w:rPr>
        <w:t>三公</w:t>
      </w:r>
      <w:r>
        <w:rPr>
          <w:rStyle w:val="10"/>
          <w:rFonts w:ascii="黑体" w:hAnsi="黑体" w:eastAsia="黑体" w:cs="黑体"/>
          <w:color w:val="000000" w:themeColor="text1"/>
          <w:sz w:val="32"/>
          <w:szCs w:val="32"/>
          <w:shd w:val="clear" w:color="auto" w:fill="FFFFFF"/>
        </w:rPr>
        <w:t>经费情况说明</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 xml:space="preserve"> （一）</w:t>
      </w:r>
      <w:r>
        <w:rPr>
          <w:rFonts w:hint="eastAsia" w:ascii="楷体" w:hAnsi="楷体" w:eastAsia="楷体" w:cs="楷体"/>
          <w:b/>
          <w:bCs/>
          <w:color w:val="000000" w:themeColor="text1"/>
          <w:sz w:val="32"/>
          <w:szCs w:val="32"/>
          <w:shd w:val="clear" w:color="auto" w:fill="FFFFFF"/>
          <w:lang w:eastAsia="zh-CN"/>
        </w:rPr>
        <w:t>三公</w:t>
      </w:r>
      <w:r>
        <w:rPr>
          <w:rFonts w:hint="eastAsia" w:ascii="楷体" w:hAnsi="楷体" w:eastAsia="楷体" w:cs="楷体"/>
          <w:b/>
          <w:bCs/>
          <w:color w:val="000000" w:themeColor="text1"/>
          <w:sz w:val="32"/>
          <w:szCs w:val="32"/>
          <w:shd w:val="clear" w:color="auto" w:fill="FFFFFF"/>
        </w:rPr>
        <w:t>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w:t>
      </w:r>
      <w:r>
        <w:rPr>
          <w:rFonts w:hint="eastAsia" w:ascii="方正仿宋_GBK" w:hAnsi="方正仿宋_GBK" w:eastAsia="方正仿宋_GBK" w:cs="方正仿宋_GBK"/>
          <w:color w:val="000000" w:themeColor="text1"/>
          <w:sz w:val="32"/>
          <w:szCs w:val="32"/>
          <w:shd w:val="clear" w:color="auto" w:fill="FFFFFF"/>
          <w:lang w:eastAsia="zh-CN"/>
        </w:rPr>
        <w:t>三公</w:t>
      </w:r>
      <w:r>
        <w:rPr>
          <w:rFonts w:ascii="方正仿宋_GBK" w:hAnsi="方正仿宋_GBK" w:eastAsia="方正仿宋_GBK" w:cs="方正仿宋_GBK"/>
          <w:color w:val="000000" w:themeColor="text1"/>
          <w:sz w:val="32"/>
          <w:szCs w:val="32"/>
          <w:shd w:val="clear" w:color="auto" w:fill="FFFFFF"/>
        </w:rPr>
        <w:t>经费支出共计</w:t>
      </w:r>
      <w:r>
        <w:rPr>
          <w:rFonts w:ascii="方正仿宋_GBK" w:hAnsi="方正仿宋_GBK" w:eastAsia="方正仿宋_GBK" w:cs="方正仿宋_GBK"/>
          <w:color w:val="000000" w:themeColor="text1"/>
          <w:sz w:val="32"/>
          <w:szCs w:val="32"/>
        </w:rPr>
        <w:t>0.53</w:t>
      </w:r>
      <w:r>
        <w:rPr>
          <w:rFonts w:ascii="方正仿宋_GBK" w:hAnsi="方正仿宋_GBK" w:eastAsia="方正仿宋_GBK" w:cs="方正仿宋_GBK"/>
          <w:color w:val="000000" w:themeColor="text1"/>
          <w:sz w:val="32"/>
          <w:szCs w:val="32"/>
          <w:shd w:val="clear" w:color="auto" w:fill="FFFFFF"/>
        </w:rPr>
        <w:t>万元，较年初预算数减少0.07万元，下降11.7%，主要原因是主要原因是认真贯彻落实中央八项规定精神和厉行节约要求，从严控制</w:t>
      </w:r>
      <w:r>
        <w:rPr>
          <w:rFonts w:hint="eastAsia" w:ascii="方正仿宋_GBK" w:hAnsi="方正仿宋_GBK" w:eastAsia="方正仿宋_GBK" w:cs="方正仿宋_GBK"/>
          <w:color w:val="000000" w:themeColor="text1"/>
          <w:sz w:val="32"/>
          <w:szCs w:val="32"/>
          <w:shd w:val="clear" w:color="auto" w:fill="FFFFFF"/>
          <w:lang w:eastAsia="zh-CN"/>
        </w:rPr>
        <w:t>三公</w:t>
      </w:r>
      <w:r>
        <w:rPr>
          <w:rFonts w:ascii="方正仿宋_GBK" w:hAnsi="方正仿宋_GBK" w:eastAsia="方正仿宋_GBK" w:cs="方正仿宋_GBK"/>
          <w:color w:val="000000" w:themeColor="text1"/>
          <w:sz w:val="32"/>
          <w:szCs w:val="32"/>
          <w:shd w:val="clear" w:color="auto" w:fill="FFFFFF"/>
        </w:rPr>
        <w:t>经费。较上年支出数减少0.01万元，下降1.9%，主要原因是一是认真贯彻落实中央八项规定精神和厉行节约要求，从严控制</w:t>
      </w:r>
      <w:r>
        <w:rPr>
          <w:rFonts w:hint="eastAsia" w:ascii="方正仿宋_GBK" w:hAnsi="方正仿宋_GBK" w:eastAsia="方正仿宋_GBK" w:cs="方正仿宋_GBK"/>
          <w:color w:val="000000" w:themeColor="text1"/>
          <w:sz w:val="32"/>
          <w:szCs w:val="32"/>
          <w:shd w:val="clear" w:color="auto" w:fill="FFFFFF"/>
          <w:lang w:eastAsia="zh-CN"/>
        </w:rPr>
        <w:t>三公</w:t>
      </w:r>
      <w:r>
        <w:rPr>
          <w:rFonts w:ascii="方正仿宋_GBK" w:hAnsi="方正仿宋_GBK" w:eastAsia="方正仿宋_GBK" w:cs="方正仿宋_GBK"/>
          <w:color w:val="000000" w:themeColor="text1"/>
          <w:sz w:val="32"/>
          <w:szCs w:val="32"/>
          <w:shd w:val="clear" w:color="auto" w:fill="FFFFFF"/>
        </w:rPr>
        <w:t>经费，全年实际支出较预算和决算均有所下降。二是强化公务接待支出管理，严格遵守公务接待开支范围和开支标准，严格控制陪餐人数，对应由接待对象承担的费用一律由接待对象自行支付，公务接待费大幅下降。三是进一步规范因公出国(境)活动，今年未安排单位人员出国出访。</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w:t>
      </w:r>
      <w:r>
        <w:rPr>
          <w:rFonts w:hint="eastAsia" w:ascii="楷体" w:hAnsi="楷体" w:eastAsia="楷体" w:cs="楷体"/>
          <w:b/>
          <w:bCs/>
          <w:color w:val="000000" w:themeColor="text1"/>
          <w:sz w:val="32"/>
          <w:szCs w:val="32"/>
          <w:shd w:val="clear" w:color="auto" w:fill="FFFFFF"/>
          <w:lang w:eastAsia="zh-CN"/>
        </w:rPr>
        <w:t>三公</w:t>
      </w:r>
      <w:r>
        <w:rPr>
          <w:rFonts w:hint="eastAsia" w:ascii="楷体" w:hAnsi="楷体" w:eastAsia="楷体" w:cs="楷体"/>
          <w:b/>
          <w:bCs/>
          <w:color w:val="000000" w:themeColor="text1"/>
          <w:sz w:val="32"/>
          <w:szCs w:val="32"/>
          <w:shd w:val="clear" w:color="auto" w:fill="FFFFFF"/>
        </w:rPr>
        <w:t>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2024年度本部门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hint="default" w:ascii="Cambria" w:hAnsi="Cambria" w:eastAsia="方正仿宋_GBK" w:cs="Cambria"/>
          <w:color w:val="000000" w:themeColor="text1"/>
          <w:sz w:val="32"/>
          <w:szCs w:val="32"/>
          <w:shd w:val="clear" w:color="auto" w:fill="FFFFFF"/>
        </w:rPr>
        <w:t> </w:t>
      </w:r>
      <w:r>
        <w:rPr>
          <w:rFonts w:ascii="方正仿宋_GBK" w:hAnsi="方正仿宋_GBK" w:eastAsia="方正仿宋_GBK" w:cs="方正仿宋_GBK"/>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hint="default" w:ascii="Cambria" w:hAnsi="Cambria" w:eastAsia="方正仿宋_GBK" w:cs="Cambria"/>
          <w:color w:val="000000" w:themeColor="text1"/>
          <w:sz w:val="32"/>
          <w:szCs w:val="32"/>
          <w:shd w:val="clear" w:color="auto" w:fill="FFFFFF"/>
        </w:rPr>
        <w:t> </w:t>
      </w:r>
      <w:r>
        <w:rPr>
          <w:rFonts w:ascii="方正仿宋_GBK" w:hAnsi="方正仿宋_GBK" w:eastAsia="方正仿宋_GBK" w:cs="方正仿宋_GBK"/>
          <w:color w:val="000000" w:themeColor="text1"/>
          <w:sz w:val="32"/>
          <w:szCs w:val="32"/>
          <w:shd w:val="clear" w:color="auto" w:fill="FFFFFF"/>
        </w:rPr>
        <w:t>公务接待费</w:t>
      </w:r>
      <w:r>
        <w:rPr>
          <w:rFonts w:ascii="方正仿宋_GBK" w:hAnsi="方正仿宋_GBK" w:eastAsia="方正仿宋_GBK" w:cs="方正仿宋_GBK"/>
          <w:color w:val="000000" w:themeColor="text1"/>
          <w:sz w:val="32"/>
          <w:szCs w:val="32"/>
        </w:rPr>
        <w:t>0.53</w:t>
      </w:r>
      <w:r>
        <w:rPr>
          <w:rFonts w:ascii="方正仿宋_GBK" w:hAnsi="方正仿宋_GBK" w:eastAsia="方正仿宋_GBK" w:cs="方正仿宋_GBK"/>
          <w:color w:val="000000" w:themeColor="text1"/>
          <w:sz w:val="32"/>
          <w:szCs w:val="32"/>
          <w:shd w:val="clear" w:color="auto" w:fill="FFFFFF"/>
        </w:rPr>
        <w:t>万元，主要用</w:t>
      </w:r>
      <w:r>
        <w:rPr>
          <w:rFonts w:ascii="方正仿宋_GBK" w:hAnsi="方正仿宋_GBK" w:eastAsia="方正仿宋_GBK" w:cs="方正仿宋_GBK"/>
          <w:color w:val="000000" w:themeColor="text1"/>
          <w:sz w:val="32"/>
          <w:szCs w:val="32"/>
        </w:rPr>
        <w:t>于接待友邻区县交流学习及市级部门检查工作等</w:t>
      </w:r>
      <w:r>
        <w:rPr>
          <w:rFonts w:ascii="方正仿宋_GBK" w:hAnsi="方正仿宋_GBK" w:eastAsia="方正仿宋_GBK" w:cs="方正仿宋_GBK"/>
          <w:color w:val="000000" w:themeColor="text1"/>
          <w:sz w:val="32"/>
          <w:szCs w:val="32"/>
          <w:shd w:val="clear" w:color="auto" w:fill="FFFFFF"/>
        </w:rPr>
        <w:t>。费用支出较年初预算数减少0.07万元，下降11.7%，</w:t>
      </w:r>
      <w:r>
        <w:rPr>
          <w:rFonts w:ascii="方正仿宋_GBK" w:hAnsi="方正仿宋_GBK" w:eastAsia="方正仿宋_GBK" w:cs="方正仿宋_GBK"/>
          <w:color w:val="000000" w:themeColor="text1"/>
          <w:sz w:val="32"/>
          <w:szCs w:val="32"/>
        </w:rPr>
        <w:t>主要原因是认真贯彻落实中央八项规定精神和厉行节约要求，从严控制</w:t>
      </w:r>
      <w:r>
        <w:rPr>
          <w:rFonts w:hint="eastAsia" w:ascii="方正仿宋_GBK" w:hAnsi="方正仿宋_GBK" w:eastAsia="方正仿宋_GBK" w:cs="方正仿宋_GBK"/>
          <w:color w:val="000000" w:themeColor="text1"/>
          <w:sz w:val="32"/>
          <w:szCs w:val="32"/>
          <w:lang w:eastAsia="zh-CN"/>
        </w:rPr>
        <w:t>三公</w:t>
      </w:r>
      <w:r>
        <w:rPr>
          <w:rFonts w:ascii="方正仿宋_GBK" w:hAnsi="方正仿宋_GBK" w:eastAsia="方正仿宋_GBK" w:cs="方正仿宋_GBK"/>
          <w:color w:val="000000" w:themeColor="text1"/>
          <w:sz w:val="32"/>
          <w:szCs w:val="32"/>
        </w:rPr>
        <w:t>经费</w:t>
      </w:r>
      <w:r>
        <w:rPr>
          <w:rFonts w:ascii="方正仿宋_GBK" w:hAnsi="方正仿宋_GBK" w:eastAsia="方正仿宋_GBK" w:cs="方正仿宋_GBK"/>
          <w:color w:val="000000" w:themeColor="text1"/>
          <w:sz w:val="32"/>
          <w:szCs w:val="32"/>
          <w:shd w:val="clear" w:color="auto" w:fill="FFFFFF"/>
        </w:rPr>
        <w:t>。较上年支出数减少0.01万元，下降1.9%，主要原因是</w:t>
      </w:r>
      <w:r>
        <w:rPr>
          <w:rFonts w:ascii="方正仿宋_GBK" w:hAnsi="方正仿宋_GBK" w:eastAsia="方正仿宋_GBK" w:cs="方正仿宋_GBK"/>
          <w:color w:val="000000" w:themeColor="text1"/>
          <w:sz w:val="32"/>
          <w:szCs w:val="32"/>
        </w:rPr>
        <w:t>控制</w:t>
      </w:r>
      <w:r>
        <w:rPr>
          <w:rFonts w:hint="eastAsia" w:ascii="方正仿宋_GBK" w:hAnsi="方正仿宋_GBK" w:eastAsia="方正仿宋_GBK" w:cs="方正仿宋_GBK"/>
          <w:color w:val="000000" w:themeColor="text1"/>
          <w:sz w:val="32"/>
          <w:szCs w:val="32"/>
          <w:lang w:eastAsia="zh-CN"/>
        </w:rPr>
        <w:t>接待</w:t>
      </w:r>
      <w:bookmarkStart w:id="0" w:name="_GoBack"/>
      <w:bookmarkEnd w:id="0"/>
      <w:r>
        <w:rPr>
          <w:rFonts w:ascii="方正仿宋_GBK" w:hAnsi="方正仿宋_GBK" w:eastAsia="方正仿宋_GBK" w:cs="方正仿宋_GBK"/>
          <w:color w:val="000000" w:themeColor="text1"/>
          <w:sz w:val="32"/>
          <w:szCs w:val="32"/>
        </w:rPr>
        <w:t>标准、减少接待陪餐人员等</w:t>
      </w:r>
      <w:r>
        <w:rPr>
          <w:rFonts w:ascii="方正仿宋_GBK" w:hAnsi="方正仿宋_GBK" w:eastAsia="方正仿宋_GBK" w:cs="方正仿宋_GBK"/>
          <w:color w:val="000000" w:themeColor="text1"/>
          <w:sz w:val="32"/>
          <w:szCs w:val="32"/>
          <w:shd w:val="clear" w:color="auto" w:fill="FFFFFF"/>
        </w:rPr>
        <w:t>。</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w:t>
      </w:r>
      <w:r>
        <w:rPr>
          <w:rFonts w:hint="eastAsia" w:ascii="楷体" w:hAnsi="楷体" w:eastAsia="楷体" w:cs="楷体"/>
          <w:b/>
          <w:bCs/>
          <w:color w:val="000000" w:themeColor="text1"/>
          <w:sz w:val="32"/>
          <w:szCs w:val="32"/>
          <w:shd w:val="clear" w:color="auto" w:fill="FFFFFF"/>
          <w:lang w:eastAsia="zh-CN"/>
        </w:rPr>
        <w:t>三公</w:t>
      </w:r>
      <w:r>
        <w:rPr>
          <w:rFonts w:hint="eastAsia" w:ascii="楷体" w:hAnsi="楷体" w:eastAsia="楷体" w:cs="楷体"/>
          <w:b/>
          <w:bCs/>
          <w:color w:val="000000" w:themeColor="text1"/>
          <w:sz w:val="32"/>
          <w:szCs w:val="32"/>
          <w:shd w:val="clear" w:color="auto" w:fill="FFFFFF"/>
        </w:rPr>
        <w:t>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  2024年度本部门因公出国（境）共计</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个团组，</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人；公务用车购置</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辆，公务车保有量为</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辆；国内公务接待</w:t>
      </w:r>
      <w:r>
        <w:rPr>
          <w:rFonts w:ascii="方正仿宋_GBK" w:hAnsi="方正仿宋_GBK" w:eastAsia="方正仿宋_GBK" w:cs="方正仿宋_GBK"/>
          <w:color w:val="000000" w:themeColor="text1"/>
          <w:sz w:val="32"/>
          <w:szCs w:val="32"/>
        </w:rPr>
        <w:t>14</w:t>
      </w:r>
      <w:r>
        <w:rPr>
          <w:rFonts w:ascii="方正仿宋_GBK" w:hAnsi="方正仿宋_GBK" w:eastAsia="方正仿宋_GBK" w:cs="方正仿宋_GBK"/>
          <w:color w:val="000000" w:themeColor="text1"/>
          <w:sz w:val="32"/>
          <w:szCs w:val="32"/>
          <w:shd w:val="clear" w:color="auto" w:fill="FFFFFF"/>
        </w:rPr>
        <w:t>批次</w:t>
      </w:r>
      <w:r>
        <w:rPr>
          <w:rFonts w:ascii="方正仿宋_GBK" w:hAnsi="方正仿宋_GBK" w:eastAsia="方正仿宋_GBK" w:cs="方正仿宋_GBK"/>
          <w:color w:val="000000" w:themeColor="text1"/>
          <w:sz w:val="32"/>
          <w:szCs w:val="32"/>
        </w:rPr>
        <w:t>39</w:t>
      </w:r>
      <w:r>
        <w:rPr>
          <w:rFonts w:ascii="方正仿宋_GBK" w:hAnsi="方正仿宋_GBK" w:eastAsia="方正仿宋_GBK" w:cs="方正仿宋_GBK"/>
          <w:color w:val="000000" w:themeColor="text1"/>
          <w:sz w:val="32"/>
          <w:szCs w:val="32"/>
          <w:shd w:val="clear" w:color="auto" w:fill="FFFFFF"/>
        </w:rPr>
        <w:t>人，其中：国内外事接待</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批次，</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人；国（境）外公务接待</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批次，</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人。2024年本部门人均接待费</w:t>
      </w:r>
      <w:r>
        <w:rPr>
          <w:rFonts w:ascii="方正仿宋_GBK" w:hAnsi="方正仿宋_GBK" w:eastAsia="方正仿宋_GBK" w:cs="方正仿宋_GBK"/>
          <w:color w:val="000000" w:themeColor="text1"/>
          <w:sz w:val="32"/>
          <w:szCs w:val="32"/>
        </w:rPr>
        <w:t>136.64</w:t>
      </w:r>
      <w:r>
        <w:rPr>
          <w:rFonts w:ascii="方正仿宋_GBK" w:hAnsi="方正仿宋_GBK" w:eastAsia="方正仿宋_GBK" w:cs="方正仿宋_GBK"/>
          <w:color w:val="000000" w:themeColor="text1"/>
          <w:sz w:val="32"/>
          <w:szCs w:val="32"/>
          <w:shd w:val="clear" w:color="auto" w:fill="FFFFFF"/>
        </w:rPr>
        <w:t>元，车均购置费</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万元，车均维护费</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万元。</w:t>
      </w:r>
    </w:p>
    <w:p>
      <w:pPr>
        <w:pStyle w:val="6"/>
        <w:shd w:val="clear" w:color="auto" w:fill="FFFFFF"/>
        <w:ind w:firstLine="643" w:firstLineChars="200"/>
        <w:rPr>
          <w:rStyle w:val="10"/>
          <w:rFonts w:hint="default" w:ascii="黑体" w:hAnsi="黑体" w:eastAsia="黑体" w:cs="黑体"/>
          <w:color w:val="000000" w:themeColor="text1"/>
          <w:sz w:val="32"/>
          <w:szCs w:val="32"/>
          <w:shd w:val="clear" w:color="auto" w:fill="FFFFFF"/>
        </w:rPr>
      </w:pPr>
      <w:r>
        <w:rPr>
          <w:rStyle w:val="10"/>
          <w:rFonts w:ascii="黑体" w:hAnsi="黑体" w:eastAsia="黑体" w:cs="黑体"/>
          <w:color w:val="000000" w:themeColor="text1"/>
          <w:sz w:val="32"/>
          <w:szCs w:val="32"/>
          <w:shd w:val="clear" w:color="auto" w:fill="FFFFFF"/>
        </w:rPr>
        <w:t>四、其他需要说明的事项</w:t>
      </w:r>
    </w:p>
    <w:p>
      <w:pPr>
        <w:pStyle w:val="11"/>
        <w:autoSpaceDE w:val="0"/>
        <w:ind w:firstLine="418" w:firstLineChars="130"/>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本年度会议费支出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万元，与2023年度相比，减少1.35万元，下降100.0%，主要原因是2024年度未召开大型会议。本年度培训费支出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万元，与2023年度相比，无增减，主要原因是本年度未开展</w:t>
      </w:r>
      <w:r>
        <w:rPr>
          <w:rFonts w:hint="default" w:ascii="方正仿宋_GBK" w:hAnsi="方正仿宋_GBK" w:eastAsia="方正仿宋_GBK" w:cs="方正仿宋_GBK"/>
          <w:color w:val="000000" w:themeColor="text1"/>
          <w:sz w:val="32"/>
          <w:szCs w:val="32"/>
          <w:shd w:val="clear" w:color="auto" w:fill="FFFFFF"/>
        </w:rPr>
        <w:t>培训</w:t>
      </w:r>
      <w:r>
        <w:rPr>
          <w:rFonts w:ascii="方正仿宋_GBK" w:hAnsi="方正仿宋_GBK" w:eastAsia="方正仿宋_GBK" w:cs="方正仿宋_GBK"/>
          <w:color w:val="000000" w:themeColor="text1"/>
          <w:sz w:val="32"/>
          <w:szCs w:val="32"/>
          <w:shd w:val="clear" w:color="auto" w:fill="FFFFFF"/>
        </w:rPr>
        <w:t>。</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2024年度本部门机关运行经费支出</w:t>
      </w:r>
      <w:r>
        <w:rPr>
          <w:rFonts w:ascii="方正仿宋_GBK" w:hAnsi="方正仿宋_GBK" w:eastAsia="方正仿宋_GBK" w:cs="方正仿宋_GBK"/>
          <w:color w:val="000000" w:themeColor="text1"/>
          <w:sz w:val="32"/>
          <w:szCs w:val="32"/>
        </w:rPr>
        <w:t>11.89</w:t>
      </w:r>
      <w:r>
        <w:rPr>
          <w:rFonts w:ascii="方正仿宋_GBK" w:hAnsi="方正仿宋_GBK" w:eastAsia="方正仿宋_GBK" w:cs="方正仿宋_GBK"/>
          <w:color w:val="000000" w:themeColor="text1"/>
          <w:sz w:val="32"/>
          <w:szCs w:val="32"/>
          <w:shd w:val="clear" w:color="auto" w:fill="FFFFFF"/>
        </w:rPr>
        <w:t>万元，机关运行经费主要用于开支办公费、邮电费、委托业务费等。机关运行经费较上年支出数减少0.96万元，下降7.5%，主要原因是严格执行过紧日子，减少开支。</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截至2024年12月31日，本部门共有车辆</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辆，其中，副部（省）级及以上领导用车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辆、主要负责人用车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辆、机要通信用车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辆、应急保障用车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辆、执法执勤用车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辆，特种专业技术用车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辆，离退休干部用车</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辆。单价100万元（含）以上专用设备</w:t>
      </w:r>
      <w:r>
        <w:rPr>
          <w:rFonts w:ascii="方正仿宋_GBK" w:hAnsi="方正仿宋_GBK" w:eastAsia="方正仿宋_GBK" w:cs="方正仿宋_GBK"/>
          <w:color w:val="000000" w:themeColor="text1"/>
          <w:sz w:val="32"/>
          <w:szCs w:val="32"/>
        </w:rPr>
        <w:t>0</w:t>
      </w:r>
      <w:r>
        <w:rPr>
          <w:rFonts w:ascii="方正仿宋_GBK" w:hAnsi="方正仿宋_GBK" w:eastAsia="方正仿宋_GBK" w:cs="方正仿宋_GBK"/>
          <w:color w:val="000000" w:themeColor="text1"/>
          <w:sz w:val="32"/>
          <w:szCs w:val="32"/>
          <w:shd w:val="clear" w:color="auto" w:fill="FFFFFF"/>
        </w:rPr>
        <w:t>台（套）。</w:t>
      </w:r>
    </w:p>
    <w:p>
      <w:pPr>
        <w:pStyle w:val="11"/>
        <w:autoSpaceDE w:val="0"/>
        <w:ind w:firstLine="643"/>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（四）政府采购支出情况说明</w:t>
      </w:r>
    </w:p>
    <w:p>
      <w:pPr>
        <w:pStyle w:val="6"/>
        <w:snapToGrid w:val="0"/>
        <w:spacing w:before="0" w:beforeAutospacing="0" w:after="0" w:afterAutospacing="0" w:line="600" w:lineRule="exact"/>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 xml:space="preserve">   </w:t>
      </w:r>
      <w:r>
        <w:rPr>
          <w:rFonts w:hint="default" w:ascii="方正仿宋_GBK" w:hAnsi="方正仿宋_GBK" w:eastAsia="方正仿宋_GBK" w:cs="方正仿宋_GBK"/>
          <w:color w:val="000000" w:themeColor="text1"/>
          <w:sz w:val="32"/>
          <w:szCs w:val="32"/>
          <w:shd w:val="clear" w:color="auto" w:fill="FFFFFF"/>
        </w:rPr>
        <w:t xml:space="preserve">  </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年度我部门未发生政府采购事项，无相关经费支出。</w:t>
      </w:r>
    </w:p>
    <w:p>
      <w:pPr>
        <w:pStyle w:val="12"/>
        <w:spacing w:before="0" w:beforeAutospacing="0" w:after="0" w:afterAutospacing="0" w:line="596" w:lineRule="exact"/>
        <w:ind w:firstLine="643" w:firstLineChars="200"/>
        <w:rPr>
          <w:rStyle w:val="10"/>
          <w:rFonts w:ascii="黑体" w:hAnsi="黑体" w:eastAsia="黑体" w:cs="黑体"/>
          <w:color w:val="000000" w:themeColor="text1"/>
          <w:sz w:val="32"/>
          <w:szCs w:val="32"/>
          <w:shd w:val="clear" w:color="auto" w:fill="FFFFFF"/>
        </w:rPr>
      </w:pPr>
      <w:r>
        <w:rPr>
          <w:rStyle w:val="10"/>
          <w:rFonts w:hint="eastAsia" w:ascii="黑体" w:hAnsi="黑体" w:eastAsia="黑体" w:cs="黑体"/>
          <w:color w:val="000000" w:themeColor="text1"/>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（一）部门自评情况</w:t>
      </w:r>
    </w:p>
    <w:p>
      <w:pPr>
        <w:pStyle w:val="12"/>
        <w:spacing w:before="0" w:beforeAutospacing="0" w:after="0" w:afterAutospacing="0" w:line="596" w:lineRule="exact"/>
        <w:ind w:firstLine="640" w:firstLineChars="200"/>
        <w:rPr>
          <w:rFonts w:ascii="方正仿宋_GBK" w:hAnsi="方正仿宋_GBK" w:eastAsia="方正仿宋_GBK" w:cs="方正仿宋_GBK"/>
          <w:color w:val="000000" w:themeColor="text1"/>
          <w:sz w:val="32"/>
          <w:szCs w:val="32"/>
          <w:shd w:val="clear" w:color="auto" w:fill="FFFFFF"/>
          <w:lang w:bidi="ar"/>
        </w:rPr>
      </w:pPr>
      <w:r>
        <w:rPr>
          <w:rFonts w:hint="eastAsia" w:ascii="方正仿宋_GBK" w:hAnsi="方正仿宋_GBK" w:eastAsia="方正仿宋_GBK" w:cs="方正仿宋_GBK"/>
          <w:color w:val="000000" w:themeColor="text1"/>
          <w:sz w:val="32"/>
          <w:szCs w:val="32"/>
          <w:shd w:val="clear" w:color="auto" w:fill="FFFFFF"/>
          <w:lang w:bidi="ar"/>
        </w:rPr>
        <w:t>根据预算绩效管理要求，我部门对1个整体项目绩效、7个二级项目开展了绩效自评，涉及财政拨款项目支出81.4万元</w:t>
      </w:r>
    </w:p>
    <w:p>
      <w:pPr>
        <w:pStyle w:val="12"/>
        <w:spacing w:before="0" w:beforeAutospacing="0" w:after="0" w:afterAutospacing="0" w:line="596" w:lineRule="exact"/>
        <w:ind w:firstLine="643" w:firstLineChars="200"/>
        <w:rPr>
          <w:rFonts w:ascii="方正仿宋_GBK" w:hAnsi="方正仿宋_GBK" w:eastAsia="方正仿宋_GBK" w:cs="方正仿宋_GBK"/>
          <w:b/>
          <w:bCs/>
          <w:color w:val="000000" w:themeColor="text1"/>
          <w:sz w:val="32"/>
          <w:szCs w:val="32"/>
          <w:shd w:val="clear" w:color="auto" w:fill="FFFFFF"/>
        </w:rPr>
      </w:pPr>
      <w:r>
        <w:rPr>
          <w:rFonts w:hint="eastAsia" w:ascii="方正仿宋_GBK" w:hAnsi="方正仿宋_GBK" w:eastAsia="方正仿宋_GBK" w:cs="方正仿宋_GBK"/>
          <w:b/>
          <w:bCs/>
          <w:color w:val="000000" w:themeColor="text1"/>
          <w:sz w:val="32"/>
          <w:szCs w:val="32"/>
          <w:shd w:val="clear" w:color="auto" w:fill="FFFFFF"/>
        </w:rPr>
        <w:t>部门整体绩效自评表</w:t>
      </w:r>
    </w:p>
    <w:p>
      <w:pPr>
        <w:pStyle w:val="12"/>
        <w:spacing w:before="0" w:beforeAutospacing="0" w:after="0" w:afterAutospacing="0" w:line="596" w:lineRule="exact"/>
        <w:rPr>
          <w:rFonts w:ascii="方正仿宋_GBK" w:hAnsi="方正仿宋_GBK" w:eastAsia="方正仿宋_GBK" w:cs="方正仿宋_GBK"/>
          <w:b/>
          <w:bCs/>
          <w:color w:val="000000" w:themeColor="text1"/>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color w:val="000000" w:themeColor="text1"/>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color w:val="000000" w:themeColor="text1"/>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color w:val="000000" w:themeColor="text1"/>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color w:val="000000" w:themeColor="text1"/>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color w:val="000000" w:themeColor="text1"/>
          <w:sz w:val="32"/>
          <w:szCs w:val="32"/>
          <w:shd w:val="clear" w:color="auto" w:fill="FFFFFF"/>
        </w:rPr>
      </w:pPr>
    </w:p>
    <w:p>
      <w:pPr>
        <w:pStyle w:val="12"/>
        <w:spacing w:before="0" w:beforeAutospacing="0" w:after="0" w:afterAutospacing="0"/>
        <w:rPr>
          <w:rFonts w:ascii="方正仿宋_GBK" w:hAnsi="方正仿宋_GBK" w:eastAsia="方正仿宋_GBK" w:cs="方正仿宋_GBK"/>
          <w:b/>
          <w:bCs/>
          <w:color w:val="000000" w:themeColor="text1"/>
          <w:sz w:val="32"/>
          <w:szCs w:val="32"/>
          <w:shd w:val="clear" w:color="auto" w:fill="FFFFFF"/>
        </w:rPr>
      </w:pPr>
      <w:r>
        <w:rPr>
          <w:color w:val="000000" w:themeColor="text1"/>
        </w:rPr>
        <w:drawing>
          <wp:inline distT="0" distB="0" distL="114300" distR="114300">
            <wp:extent cx="5279390" cy="4787265"/>
            <wp:effectExtent l="0" t="0" r="16510" b="133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9390" cy="4787265"/>
                    </a:xfrm>
                    <a:prstGeom prst="rect">
                      <a:avLst/>
                    </a:prstGeom>
                    <a:noFill/>
                    <a:ln>
                      <a:noFill/>
                    </a:ln>
                  </pic:spPr>
                </pic:pic>
              </a:graphicData>
            </a:graphic>
          </wp:inline>
        </w:drawing>
      </w:r>
    </w:p>
    <w:p>
      <w:pPr>
        <w:pStyle w:val="12"/>
        <w:spacing w:before="0" w:beforeAutospacing="0" w:after="0" w:afterAutospacing="0" w:line="596" w:lineRule="exact"/>
        <w:rPr>
          <w:rFonts w:ascii="方正仿宋_GBK" w:hAnsi="方正仿宋_GBK" w:eastAsia="方正仿宋_GBK" w:cs="方正仿宋_GBK"/>
          <w:b/>
          <w:bCs/>
          <w:color w:val="000000" w:themeColor="text1"/>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color w:val="000000" w:themeColor="text1"/>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color w:val="000000" w:themeColor="text1"/>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color w:val="000000" w:themeColor="text1"/>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color w:val="000000" w:themeColor="text1"/>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color w:val="000000" w:themeColor="text1"/>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color w:val="000000" w:themeColor="text1"/>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color w:val="000000" w:themeColor="text1"/>
          <w:sz w:val="32"/>
          <w:szCs w:val="32"/>
          <w:shd w:val="clear" w:color="auto" w:fill="FFFFFF"/>
        </w:rPr>
      </w:pPr>
    </w:p>
    <w:p>
      <w:pPr>
        <w:pStyle w:val="12"/>
        <w:spacing w:before="0" w:beforeAutospacing="0" w:after="0" w:afterAutospacing="0" w:line="596" w:lineRule="exact"/>
        <w:rPr>
          <w:rFonts w:ascii="方正仿宋_GBK" w:hAnsi="方正仿宋_GBK" w:eastAsia="方正仿宋_GBK" w:cs="方正仿宋_GBK"/>
          <w:b/>
          <w:bCs/>
          <w:color w:val="000000" w:themeColor="text1"/>
          <w:sz w:val="32"/>
          <w:szCs w:val="32"/>
          <w:shd w:val="clear" w:color="auto" w:fill="FFFFFF"/>
        </w:rPr>
      </w:pPr>
    </w:p>
    <w:p>
      <w:pPr>
        <w:pStyle w:val="12"/>
        <w:spacing w:before="0" w:beforeAutospacing="0" w:after="0" w:afterAutospacing="0" w:line="596" w:lineRule="exact"/>
        <w:ind w:firstLine="643" w:firstLineChars="200"/>
        <w:rPr>
          <w:rFonts w:ascii="方正仿宋_GBK" w:hAnsi="方正仿宋_GBK" w:eastAsia="方正仿宋_GBK" w:cs="方正仿宋_GBK"/>
          <w:b/>
          <w:bCs/>
          <w:color w:val="000000" w:themeColor="text1"/>
          <w:sz w:val="32"/>
          <w:szCs w:val="32"/>
          <w:shd w:val="clear" w:color="auto" w:fill="FFFFFF"/>
        </w:rPr>
      </w:pPr>
      <w:r>
        <w:rPr>
          <w:rFonts w:hint="eastAsia" w:ascii="方正仿宋_GBK" w:hAnsi="方正仿宋_GBK" w:eastAsia="方正仿宋_GBK" w:cs="方正仿宋_GBK"/>
          <w:b/>
          <w:bCs/>
          <w:color w:val="000000" w:themeColor="text1"/>
          <w:sz w:val="32"/>
          <w:szCs w:val="32"/>
          <w:shd w:val="clear" w:color="auto" w:fill="FFFFFF"/>
        </w:rPr>
        <w:t>项目支出绩效自评表</w:t>
      </w:r>
    </w:p>
    <w:p>
      <w:pPr>
        <w:pStyle w:val="12"/>
        <w:autoSpaceDE w:val="0"/>
        <w:spacing w:before="0" w:beforeAutospacing="0" w:after="0" w:afterAutospacing="0" w:line="596" w:lineRule="exact"/>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color w:val="000000" w:themeColor="text1"/>
          <w:sz w:val="32"/>
          <w:szCs w:val="32"/>
          <w:shd w:val="clear" w:color="auto" w:fill="FFFFFF"/>
        </w:rPr>
      </w:pPr>
      <w:r>
        <w:rPr>
          <w:color w:val="000000" w:themeColor="text1"/>
        </w:rPr>
        <w:drawing>
          <wp:anchor distT="0" distB="0" distL="114300" distR="114300" simplePos="0" relativeHeight="251659264" behindDoc="0" locked="0" layoutInCell="1" allowOverlap="1">
            <wp:simplePos x="0" y="0"/>
            <wp:positionH relativeFrom="column">
              <wp:posOffset>116840</wp:posOffset>
            </wp:positionH>
            <wp:positionV relativeFrom="page">
              <wp:posOffset>1809750</wp:posOffset>
            </wp:positionV>
            <wp:extent cx="5277485" cy="4256405"/>
            <wp:effectExtent l="0" t="0" r="18415"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77485" cy="4256405"/>
                    </a:xfrm>
                    <a:prstGeom prst="rect">
                      <a:avLst/>
                    </a:prstGeom>
                    <a:noFill/>
                    <a:ln>
                      <a:noFill/>
                    </a:ln>
                  </pic:spPr>
                </pic:pic>
              </a:graphicData>
            </a:graphic>
          </wp:anchor>
        </w:drawing>
      </w:r>
    </w:p>
    <w:p>
      <w:pPr>
        <w:pStyle w:val="12"/>
        <w:autoSpaceDE w:val="0"/>
        <w:spacing w:before="0" w:beforeAutospacing="0" w:after="0" w:afterAutospacing="0" w:line="596" w:lineRule="exact"/>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rPr>
          <w:rFonts w:ascii="楷体" w:hAnsi="楷体" w:eastAsia="楷体" w:cs="楷体"/>
          <w:b/>
          <w:bCs/>
          <w:color w:val="000000" w:themeColor="text1"/>
          <w:sz w:val="32"/>
          <w:szCs w:val="32"/>
          <w:shd w:val="clear" w:color="auto" w:fill="FFFFFF"/>
        </w:rPr>
      </w:pPr>
      <w:r>
        <w:rPr>
          <w:color w:val="000000" w:themeColor="text1"/>
        </w:rPr>
        <w:drawing>
          <wp:anchor distT="0" distB="0" distL="114300" distR="114300" simplePos="0" relativeHeight="251660288" behindDoc="0" locked="0" layoutInCell="1" allowOverlap="1">
            <wp:simplePos x="0" y="0"/>
            <wp:positionH relativeFrom="column">
              <wp:posOffset>31750</wp:posOffset>
            </wp:positionH>
            <wp:positionV relativeFrom="page">
              <wp:posOffset>1047750</wp:posOffset>
            </wp:positionV>
            <wp:extent cx="5276850" cy="3927475"/>
            <wp:effectExtent l="0" t="0" r="0" b="15875"/>
            <wp:wrapTopAndBottom/>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5276850" cy="3927475"/>
                    </a:xfrm>
                    <a:prstGeom prst="rect">
                      <a:avLst/>
                    </a:prstGeom>
                    <a:noFill/>
                    <a:ln>
                      <a:noFill/>
                    </a:ln>
                  </pic:spPr>
                </pic:pic>
              </a:graphicData>
            </a:graphic>
          </wp:anchor>
        </w:drawing>
      </w:r>
    </w:p>
    <w:p>
      <w:pPr>
        <w:pStyle w:val="12"/>
        <w:autoSpaceDE w:val="0"/>
        <w:spacing w:before="0" w:beforeAutospacing="0" w:after="0" w:afterAutospacing="0" w:line="596" w:lineRule="exact"/>
        <w:rPr>
          <w:rFonts w:ascii="楷体" w:hAnsi="楷体" w:eastAsia="楷体" w:cs="楷体"/>
          <w:b/>
          <w:bCs/>
          <w:color w:val="000000" w:themeColor="text1"/>
          <w:sz w:val="32"/>
          <w:szCs w:val="32"/>
          <w:shd w:val="clear" w:color="auto" w:fill="FFFFFF"/>
        </w:rPr>
      </w:pPr>
      <w:r>
        <w:rPr>
          <w:color w:val="000000" w:themeColor="text1"/>
        </w:rPr>
        <w:drawing>
          <wp:anchor distT="0" distB="0" distL="114300" distR="114300" simplePos="0" relativeHeight="251662336" behindDoc="0" locked="0" layoutInCell="1" allowOverlap="1">
            <wp:simplePos x="0" y="0"/>
            <wp:positionH relativeFrom="column">
              <wp:posOffset>156845</wp:posOffset>
            </wp:positionH>
            <wp:positionV relativeFrom="page">
              <wp:posOffset>5432425</wp:posOffset>
            </wp:positionV>
            <wp:extent cx="5277485" cy="3234690"/>
            <wp:effectExtent l="0" t="0" r="18415" b="3810"/>
            <wp:wrapTopAndBottom/>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5277485" cy="3234690"/>
                    </a:xfrm>
                    <a:prstGeom prst="rect">
                      <a:avLst/>
                    </a:prstGeom>
                    <a:noFill/>
                    <a:ln>
                      <a:noFill/>
                    </a:ln>
                  </pic:spPr>
                </pic:pic>
              </a:graphicData>
            </a:graphic>
          </wp:anchor>
        </w:drawing>
      </w:r>
    </w:p>
    <w:p>
      <w:pPr>
        <w:pStyle w:val="12"/>
        <w:autoSpaceDE w:val="0"/>
        <w:spacing w:before="0" w:beforeAutospacing="0" w:after="0" w:afterAutospacing="0" w:line="596" w:lineRule="exact"/>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p>
    <w:p>
      <w:pPr>
        <w:pStyle w:val="12"/>
        <w:autoSpaceDE w:val="0"/>
        <w:spacing w:before="0" w:beforeAutospacing="0" w:after="0" w:afterAutospacing="0" w:line="596" w:lineRule="exact"/>
        <w:ind w:firstLine="643" w:firstLineChars="200"/>
        <w:rPr>
          <w:rFonts w:ascii="楷体" w:hAnsi="楷体" w:eastAsia="楷体" w:cs="楷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（二）部门绩效评价情况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我部门未组织开展绩效评价。</w:t>
      </w:r>
    </w:p>
    <w:p>
      <w:pPr>
        <w:pStyle w:val="16"/>
        <w:autoSpaceDE w:val="0"/>
        <w:spacing w:line="596" w:lineRule="exact"/>
        <w:ind w:firstLine="643"/>
        <w:rPr>
          <w:rFonts w:hint="default" w:ascii="方正仿宋_GBK" w:hAnsi="方正仿宋_GBK" w:eastAsia="方正仿宋_GBK" w:cs="方正仿宋_GBK"/>
          <w:color w:val="000000" w:themeColor="text1"/>
          <w:sz w:val="32"/>
          <w:szCs w:val="32"/>
          <w:shd w:val="clear" w:color="auto" w:fill="FFFFFF"/>
        </w:rPr>
      </w:pPr>
      <w:r>
        <w:rPr>
          <w:rFonts w:ascii="楷体" w:hAnsi="楷体" w:eastAsia="楷体" w:cs="楷体"/>
          <w:b/>
          <w:bCs/>
          <w:color w:val="000000" w:themeColor="text1"/>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县财政局未委托第三方对我部门开展绩效评价</w:t>
      </w:r>
    </w:p>
    <w:p>
      <w:pPr>
        <w:pStyle w:val="12"/>
        <w:autoSpaceDE w:val="0"/>
        <w:spacing w:before="0" w:beforeAutospacing="0" w:after="0" w:afterAutospacing="0" w:line="596" w:lineRule="exact"/>
        <w:rPr>
          <w:rFonts w:ascii="方正仿宋_GBK" w:hAnsi="方正仿宋_GBK" w:eastAsia="方正仿宋_GBK" w:cs="方正仿宋_GBK"/>
          <w:color w:val="000000" w:themeColor="text1"/>
          <w:sz w:val="32"/>
          <w:szCs w:val="32"/>
        </w:rPr>
      </w:pPr>
      <w:r>
        <w:rPr>
          <w:rStyle w:val="13"/>
          <w:rFonts w:hint="eastAsia" w:ascii="方正仿宋_GBK" w:hAnsi="方正仿宋_GBK" w:eastAsia="方正仿宋_GBK" w:cs="方正仿宋_GBK"/>
          <w:color w:val="000000" w:themeColor="text1"/>
          <w:sz w:val="32"/>
          <w:szCs w:val="32"/>
          <w:shd w:val="clear" w:color="auto" w:fill="FFFFFF"/>
        </w:rPr>
        <w:t xml:space="preserve">   </w:t>
      </w:r>
      <w:r>
        <w:rPr>
          <w:rStyle w:val="10"/>
          <w:rFonts w:hint="eastAsia" w:ascii="黑体" w:hAnsi="黑体" w:eastAsia="黑体" w:cs="黑体"/>
          <w:color w:val="000000" w:themeColor="text1"/>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（一）财政拨款收入：</w:t>
      </w:r>
      <w:r>
        <w:rPr>
          <w:rFonts w:hint="eastAsia" w:ascii="方正仿宋_GBK" w:hAnsi="方正仿宋_GBK" w:eastAsia="方正仿宋_GBK" w:cs="方正仿宋_GBK"/>
          <w:color w:val="000000" w:themeColor="text1"/>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（二）事业收入：</w:t>
      </w:r>
      <w:r>
        <w:rPr>
          <w:rFonts w:hint="eastAsia" w:ascii="方正仿宋_GBK" w:hAnsi="方正仿宋_GBK" w:eastAsia="方正仿宋_GBK" w:cs="方正仿宋_GBK"/>
          <w:color w:val="000000" w:themeColor="text1"/>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（三）经营收入：</w:t>
      </w:r>
      <w:r>
        <w:rPr>
          <w:rFonts w:hint="eastAsia" w:ascii="方正仿宋_GBK" w:hAnsi="方正仿宋_GBK" w:eastAsia="方正仿宋_GBK" w:cs="方正仿宋_GBK"/>
          <w:color w:val="000000" w:themeColor="text1"/>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（四）其他收入：</w:t>
      </w:r>
      <w:r>
        <w:rPr>
          <w:rFonts w:hint="eastAsia" w:ascii="方正仿宋_GBK" w:hAnsi="方正仿宋_GBK" w:eastAsia="方正仿宋_GBK" w:cs="方正仿宋_GBK"/>
          <w:color w:val="000000" w:themeColor="text1"/>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（五）使用非财政拨款结余：</w:t>
      </w:r>
      <w:r>
        <w:rPr>
          <w:rFonts w:hint="eastAsia" w:ascii="方正仿宋_GBK" w:hAnsi="方正仿宋_GBK" w:eastAsia="方正仿宋_GBK" w:cs="方正仿宋_GBK"/>
          <w:color w:val="000000" w:themeColor="text1"/>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（六）年初结转和结余：</w:t>
      </w:r>
      <w:r>
        <w:rPr>
          <w:rFonts w:hint="eastAsia" w:ascii="方正仿宋_GBK" w:hAnsi="方正仿宋_GBK" w:eastAsia="方正仿宋_GBK" w:cs="方正仿宋_GBK"/>
          <w:color w:val="000000" w:themeColor="text1"/>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（七）结余分配：</w:t>
      </w:r>
      <w:r>
        <w:rPr>
          <w:rFonts w:hint="eastAsia" w:ascii="方正仿宋_GBK" w:hAnsi="方正仿宋_GBK" w:eastAsia="方正仿宋_GBK" w:cs="方正仿宋_GBK"/>
          <w:color w:val="000000" w:themeColor="text1"/>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（八）年末结转和结余：</w:t>
      </w:r>
      <w:r>
        <w:rPr>
          <w:rFonts w:hint="eastAsia" w:ascii="方正仿宋_GBK" w:hAnsi="方正仿宋_GBK" w:eastAsia="方正仿宋_GBK" w:cs="方正仿宋_GBK"/>
          <w:color w:val="000000" w:themeColor="text1"/>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（九）基本支出：</w:t>
      </w:r>
      <w:r>
        <w:rPr>
          <w:rFonts w:hint="eastAsia" w:ascii="方正仿宋_GBK" w:hAnsi="方正仿宋_GBK" w:eastAsia="方正仿宋_GBK" w:cs="方正仿宋_GBK"/>
          <w:color w:val="000000" w:themeColor="text1"/>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（十）项目支出：</w:t>
      </w:r>
      <w:r>
        <w:rPr>
          <w:rFonts w:hint="eastAsia" w:ascii="方正仿宋_GBK" w:hAnsi="方正仿宋_GBK" w:eastAsia="方正仿宋_GBK" w:cs="方正仿宋_GBK"/>
          <w:color w:val="000000" w:themeColor="text1"/>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（十一）经营支出：</w:t>
      </w:r>
      <w:r>
        <w:rPr>
          <w:rFonts w:hint="eastAsia" w:ascii="方正仿宋_GBK" w:hAnsi="方正仿宋_GBK" w:eastAsia="方正仿宋_GBK" w:cs="方正仿宋_GBK"/>
          <w:color w:val="000000" w:themeColor="text1"/>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（十二）</w:t>
      </w:r>
      <w:r>
        <w:rPr>
          <w:rStyle w:val="10"/>
          <w:rFonts w:hint="eastAsia" w:ascii="楷体" w:hAnsi="楷体" w:eastAsia="楷体" w:cs="楷体"/>
          <w:color w:val="000000" w:themeColor="text1"/>
          <w:sz w:val="32"/>
          <w:szCs w:val="32"/>
          <w:shd w:val="clear" w:color="auto" w:fill="FFFFFF"/>
          <w:lang w:eastAsia="zh-CN"/>
        </w:rPr>
        <w:t>三公</w:t>
      </w:r>
      <w:r>
        <w:rPr>
          <w:rStyle w:val="10"/>
          <w:rFonts w:hint="eastAsia" w:ascii="楷体" w:hAnsi="楷体" w:eastAsia="楷体" w:cs="楷体"/>
          <w:color w:val="000000" w:themeColor="text1"/>
          <w:sz w:val="32"/>
          <w:szCs w:val="32"/>
          <w:shd w:val="clear" w:color="auto" w:fill="FFFFFF"/>
        </w:rPr>
        <w:t>经费：</w:t>
      </w:r>
      <w:r>
        <w:rPr>
          <w:rFonts w:hint="eastAsia" w:ascii="方正仿宋_GBK" w:hAnsi="方正仿宋_GBK" w:eastAsia="方正仿宋_GBK" w:cs="方正仿宋_GBK"/>
          <w:color w:val="000000" w:themeColor="text1"/>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（十三）机关运行经费：</w:t>
      </w:r>
      <w:r>
        <w:rPr>
          <w:rFonts w:hint="eastAsia" w:ascii="方正仿宋_GBK" w:hAnsi="方正仿宋_GBK" w:eastAsia="方正仿宋_GBK" w:cs="方正仿宋_GBK"/>
          <w:color w:val="000000" w:themeColor="text1"/>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（十四）工资福利支出（支出经济分类科目类级）：</w:t>
      </w:r>
      <w:r>
        <w:rPr>
          <w:rFonts w:hint="eastAsia" w:ascii="方正仿宋_GBK" w:hAnsi="方正仿宋_GBK" w:eastAsia="方正仿宋_GBK" w:cs="方正仿宋_GBK"/>
          <w:color w:val="000000" w:themeColor="text1"/>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（十五）商品和服务支出（支出经济分类科目类级）：</w:t>
      </w:r>
      <w:r>
        <w:rPr>
          <w:rFonts w:hint="eastAsia" w:ascii="方正仿宋_GBK" w:hAnsi="方正仿宋_GBK" w:eastAsia="方正仿宋_GBK" w:cs="方正仿宋_GBK"/>
          <w:color w:val="000000" w:themeColor="text1"/>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（十六）对个人和家庭的补助（支出经济分类科目类级）：</w:t>
      </w:r>
      <w:r>
        <w:rPr>
          <w:rFonts w:hint="eastAsia" w:ascii="方正仿宋_GBK" w:hAnsi="方正仿宋_GBK" w:eastAsia="方正仿宋_GBK" w:cs="方正仿宋_GBK"/>
          <w:color w:val="000000" w:themeColor="text1"/>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楷体" w:hAnsi="楷体" w:eastAsia="楷体" w:cs="楷体"/>
          <w:color w:val="000000" w:themeColor="text1"/>
          <w:sz w:val="32"/>
          <w:szCs w:val="32"/>
          <w:shd w:val="clear" w:color="auto" w:fill="FFFFFF"/>
        </w:rPr>
        <w:t>（十七）其他资本性支出（支出经济分类科目类级）：</w:t>
      </w:r>
      <w:r>
        <w:rPr>
          <w:rFonts w:hint="eastAsia" w:ascii="方正仿宋_GBK" w:hAnsi="方正仿宋_GBK" w:eastAsia="方正仿宋_GBK" w:cs="方正仿宋_GBK"/>
          <w:color w:val="000000" w:themeColor="text1"/>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color w:val="000000" w:themeColor="text1"/>
          <w:sz w:val="32"/>
          <w:szCs w:val="32"/>
        </w:rPr>
      </w:pPr>
      <w:r>
        <w:rPr>
          <w:rStyle w:val="10"/>
          <w:rFonts w:hint="eastAsia" w:ascii="黑体" w:hAnsi="黑体" w:eastAsia="黑体" w:cs="黑体"/>
          <w:color w:val="000000" w:themeColor="text1"/>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shd w:val="clear" w:color="auto" w:fill="FFFFFF"/>
        </w:rPr>
        <w:t>本单位决算公开信息反馈和联系方式：</w:t>
      </w:r>
    </w:p>
    <w:p>
      <w:pPr>
        <w:pStyle w:val="11"/>
        <w:autoSpaceDE w:val="0"/>
        <w:ind w:firstLine="640"/>
        <w:rPr>
          <w:rFonts w:ascii="方正仿宋_GBK" w:hAnsi="方正仿宋_GBK" w:eastAsia="方正仿宋_GBK" w:cs="方正仿宋_GBK"/>
          <w:color w:val="000000" w:themeColor="text1"/>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color w:val="000000" w:themeColor="text1"/>
          <w:sz w:val="32"/>
          <w:szCs w:val="32"/>
          <w:shd w:val="clear" w:color="auto" w:fill="FFFFFF"/>
        </w:rPr>
        <w:t>黄老师，</w:t>
      </w:r>
      <w:r>
        <w:rPr>
          <w:rFonts w:hint="eastAsia" w:ascii="方正仿宋_GBK" w:hAnsi="方正仿宋_GBK" w:eastAsia="方正仿宋_GBK" w:cs="方正仿宋_GBK"/>
          <w:color w:val="000000" w:themeColor="text1"/>
          <w:sz w:val="32"/>
          <w:szCs w:val="32"/>
          <w:shd w:val="clear" w:color="auto" w:fill="FFFFFF"/>
        </w:rPr>
        <w:t>023-74512512</w:t>
      </w:r>
    </w:p>
    <w:p>
      <w:pPr>
        <w:pStyle w:val="12"/>
        <w:spacing w:before="0" w:beforeAutospacing="0" w:after="0" w:afterAutospacing="0" w:line="596" w:lineRule="exact"/>
        <w:rPr>
          <w:rFonts w:hint="eastAsia" w:ascii="方正仿宋_GBK" w:hAnsi="方正仿宋_GBK" w:eastAsia="方正仿宋_GBK" w:cs="方正仿宋_GBK"/>
          <w:color w:val="000000" w:themeColor="text1"/>
          <w:sz w:val="32"/>
          <w:szCs w:val="32"/>
          <w:shd w:val="clear" w:color="auto" w:fill="FFFFFF"/>
        </w:r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themeColor="text1"/>
                <w:sz w:val="32"/>
                <w:szCs w:val="32"/>
              </w:rPr>
            </w:pPr>
            <w:r>
              <w:rPr>
                <w:rFonts w:cs="宋体"/>
                <w:b/>
                <w:color w:val="000000" w:themeColor="text1"/>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themeColor="text1"/>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themeColor="text1"/>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themeColor="text1"/>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themeColor="text1"/>
                <w:sz w:val="20"/>
                <w:szCs w:val="20"/>
              </w:rPr>
            </w:pPr>
            <w:r>
              <w:rPr>
                <w:rFonts w:cs="宋体"/>
                <w:color w:val="000000" w:themeColor="text1"/>
                <w:sz w:val="20"/>
                <w:szCs w:val="20"/>
              </w:rPr>
              <w:t>公开</w:t>
            </w:r>
            <w:r>
              <w:rPr>
                <w:rFonts w:hint="default" w:ascii="Times New Roman" w:hAnsi="Times New Roman"/>
                <w:color w:val="000000" w:themeColor="text1"/>
                <w:sz w:val="20"/>
                <w:szCs w:val="20"/>
              </w:rPr>
              <w:t>01</w:t>
            </w:r>
            <w:r>
              <w:rPr>
                <w:rFonts w:cs="宋体"/>
                <w:color w:val="000000" w:themeColor="text1"/>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color w:val="000000" w:themeColor="text1"/>
                <w:sz w:val="22"/>
                <w:szCs w:val="22"/>
              </w:rPr>
            </w:pPr>
            <w:r>
              <w:rPr>
                <w:rFonts w:cs="宋体"/>
                <w:color w:val="000000" w:themeColor="text1"/>
                <w:sz w:val="20"/>
                <w:szCs w:val="20"/>
              </w:rPr>
              <w:t>部门：</w:t>
            </w:r>
            <w:r>
              <w:rPr>
                <w:color w:val="000000" w:themeColor="text1"/>
                <w:sz w:val="20"/>
              </w:rPr>
              <w:t>垫江县妇女联合会</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themeColor="text1"/>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themeColor="text1"/>
                <w:sz w:val="20"/>
                <w:szCs w:val="20"/>
              </w:rPr>
            </w:pPr>
            <w:r>
              <w:rPr>
                <w:rFonts w:cs="宋体"/>
                <w:color w:val="000000" w:themeColor="text1"/>
                <w:sz w:val="20"/>
                <w:szCs w:val="20"/>
              </w:rPr>
              <w:t>单位：万元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themeColor="text1"/>
                <w:sz w:val="20"/>
                <w:szCs w:val="20"/>
              </w:rPr>
            </w:pPr>
            <w:r>
              <w:rPr>
                <w:rFonts w:cs="宋体"/>
                <w:b/>
                <w:color w:val="000000" w:themeColor="text1"/>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themeColor="text1"/>
                <w:sz w:val="20"/>
                <w:szCs w:val="20"/>
              </w:rPr>
            </w:pPr>
            <w:r>
              <w:rPr>
                <w:rFonts w:cs="宋体"/>
                <w:b/>
                <w:color w:val="000000" w:themeColor="text1"/>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themeColor="text1"/>
                <w:sz w:val="20"/>
                <w:szCs w:val="20"/>
              </w:rPr>
            </w:pPr>
            <w:r>
              <w:rPr>
                <w:rFonts w:cs="宋体"/>
                <w:b/>
                <w:color w:val="000000" w:themeColor="text1"/>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themeColor="text1"/>
                <w:sz w:val="20"/>
                <w:szCs w:val="20"/>
              </w:rPr>
            </w:pPr>
            <w:r>
              <w:rPr>
                <w:rFonts w:cs="宋体"/>
                <w:b/>
                <w:color w:val="000000" w:themeColor="text1"/>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themeColor="text1"/>
                <w:sz w:val="20"/>
                <w:szCs w:val="20"/>
              </w:rPr>
            </w:pPr>
            <w:r>
              <w:rPr>
                <w:rFonts w:cs="宋体"/>
                <w:b/>
                <w:color w:val="000000" w:themeColor="text1"/>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themeColor="text1"/>
                <w:sz w:val="20"/>
                <w:szCs w:val="20"/>
              </w:rPr>
            </w:pPr>
            <w:r>
              <w:rPr>
                <w:rFonts w:cs="宋体"/>
                <w:b/>
                <w:color w:val="000000" w:themeColor="text1"/>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278.32</w:t>
            </w:r>
            <w:r>
              <w:rPr>
                <w:rFonts w:ascii="Times New Roman" w:hAnsi="Times New Roman"/>
                <w:color w:val="000000" w:themeColor="text1"/>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212.46</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43.55</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8.38</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13.93</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themeColor="text1"/>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themeColor="text1"/>
                <w:sz w:val="20"/>
                <w:szCs w:val="20"/>
              </w:rPr>
            </w:pPr>
            <w:r>
              <w:rPr>
                <w:rFonts w:cs="宋体"/>
                <w:b/>
                <w:bCs/>
                <w:color w:val="000000" w:themeColor="text1"/>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278.32</w:t>
            </w:r>
            <w:r>
              <w:rPr>
                <w:rFonts w:ascii="Times New Roman" w:hAnsi="Times New Roman"/>
                <w:color w:val="000000" w:themeColor="text1"/>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themeColor="text1"/>
                <w:sz w:val="20"/>
                <w:szCs w:val="20"/>
              </w:rPr>
            </w:pPr>
            <w:r>
              <w:rPr>
                <w:rFonts w:cs="宋体"/>
                <w:b/>
                <w:bCs/>
                <w:color w:val="000000" w:themeColor="text1"/>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278.32</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themeColor="text1"/>
                <w:sz w:val="20"/>
                <w:szCs w:val="20"/>
              </w:rPr>
            </w:pPr>
            <w:r>
              <w:rPr>
                <w:rFonts w:cs="宋体"/>
                <w:b/>
                <w:bCs/>
                <w:color w:val="000000" w:themeColor="text1"/>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themeColor="text1"/>
                <w:sz w:val="20"/>
                <w:szCs w:val="20"/>
              </w:rPr>
            </w:pPr>
            <w:r>
              <w:rPr>
                <w:rFonts w:cs="宋体"/>
                <w:b/>
                <w:color w:val="000000" w:themeColor="text1"/>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278.32</w:t>
            </w:r>
            <w:r>
              <w:rPr>
                <w:rFonts w:ascii="Times New Roman" w:hAnsi="Times New Roman"/>
                <w:color w:val="000000" w:themeColor="text1"/>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themeColor="text1"/>
                <w:sz w:val="20"/>
                <w:szCs w:val="20"/>
              </w:rPr>
            </w:pPr>
            <w:r>
              <w:rPr>
                <w:rFonts w:cs="宋体"/>
                <w:b/>
                <w:color w:val="000000" w:themeColor="text1"/>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278.32</w:t>
            </w:r>
            <w:r>
              <w:rPr>
                <w:rFonts w:ascii="Times New Roman" w:hAnsi="Times New Roman"/>
                <w:color w:val="000000" w:themeColor="text1"/>
                <w:sz w:val="20"/>
              </w:rPr>
              <w:t xml:space="preserve"> </w:t>
            </w:r>
          </w:p>
        </w:tc>
      </w:tr>
    </w:tbl>
    <w:p>
      <w:pPr>
        <w:rPr>
          <w:rFonts w:hint="default" w:cs="宋体"/>
          <w:color w:val="000000" w:themeColor="text1"/>
          <w:sz w:val="21"/>
          <w:szCs w:val="21"/>
        </w:rPr>
      </w:pPr>
    </w:p>
    <w:p>
      <w:pPr>
        <w:spacing w:line="240" w:lineRule="exact"/>
        <w:rPr>
          <w:rFonts w:hint="default" w:cs="宋体"/>
          <w:color w:val="000000" w:themeColor="text1"/>
          <w:sz w:val="20"/>
          <w:szCs w:val="20"/>
        </w:rPr>
      </w:pPr>
      <w:r>
        <w:rPr>
          <w:rFonts w:cs="宋体"/>
          <w:color w:val="000000" w:themeColor="text1"/>
          <w:sz w:val="20"/>
          <w:szCs w:val="20"/>
        </w:rPr>
        <w:t>备注：1.本表反映部门本年度的总收支和年末结转结余情况。</w:t>
      </w:r>
      <w:r>
        <w:rPr>
          <w:rFonts w:cs="宋体"/>
          <w:color w:val="000000" w:themeColor="text1"/>
          <w:sz w:val="20"/>
          <w:szCs w:val="20"/>
        </w:rPr>
        <w:br w:type="textWrapping"/>
      </w:r>
      <w:r>
        <w:rPr>
          <w:rFonts w:cs="宋体"/>
          <w:color w:val="000000" w:themeColor="text1"/>
          <w:sz w:val="20"/>
          <w:szCs w:val="20"/>
        </w:rPr>
        <w:t xml:space="preserve">      2.本套报表金额单位转换时可能存在尾数误差。</w:t>
      </w:r>
      <w:r>
        <w:rPr>
          <w:rFonts w:cs="宋体"/>
          <w:color w:val="000000" w:themeColor="text1"/>
          <w:sz w:val="20"/>
          <w:szCs w:val="20"/>
        </w:rPr>
        <w:br w:type="textWrapping"/>
      </w:r>
      <w:r>
        <w:rPr>
          <w:rFonts w:cs="宋体"/>
          <w:color w:val="000000" w:themeColor="text1"/>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themeColor="text1"/>
                <w:sz w:val="32"/>
                <w:szCs w:val="32"/>
              </w:rPr>
            </w:pPr>
            <w:r>
              <w:rPr>
                <w:rFonts w:cs="宋体"/>
                <w:b/>
                <w:color w:val="000000" w:themeColor="text1"/>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themeColor="text1"/>
                <w:sz w:val="20"/>
                <w:szCs w:val="20"/>
              </w:rPr>
            </w:pPr>
            <w:r>
              <w:rPr>
                <w:rFonts w:cs="宋体"/>
                <w:color w:val="000000" w:themeColor="text1"/>
                <w:sz w:val="20"/>
                <w:szCs w:val="20"/>
              </w:rPr>
              <w:t>部门：</w:t>
            </w:r>
            <w:r>
              <w:rPr>
                <w:color w:val="000000" w:themeColor="text1"/>
                <w:sz w:val="20"/>
              </w:rPr>
              <w:t>垫江县妇女联合会</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themeColor="text1"/>
                <w:sz w:val="20"/>
                <w:szCs w:val="20"/>
              </w:rPr>
            </w:pPr>
            <w:r>
              <w:rPr>
                <w:rFonts w:cs="宋体"/>
                <w:color w:val="000000" w:themeColor="text1"/>
                <w:sz w:val="20"/>
                <w:szCs w:val="20"/>
              </w:rPr>
              <w:t>公开</w:t>
            </w:r>
            <w:r>
              <w:rPr>
                <w:rFonts w:hint="default" w:ascii="Times New Roman" w:hAnsi="Times New Roman"/>
                <w:color w:val="000000" w:themeColor="text1"/>
                <w:sz w:val="20"/>
                <w:szCs w:val="20"/>
              </w:rPr>
              <w:t>02</w:t>
            </w:r>
            <w:r>
              <w:rPr>
                <w:rFonts w:cs="宋体"/>
                <w:color w:val="000000" w:themeColor="text1"/>
                <w:sz w:val="20"/>
                <w:szCs w:val="20"/>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themeColor="text1"/>
                <w:sz w:val="20"/>
                <w:szCs w:val="20"/>
              </w:rPr>
            </w:pPr>
            <w:r>
              <w:rPr>
                <w:rFonts w:cs="宋体"/>
                <w:color w:val="000000" w:themeColor="text1"/>
                <w:sz w:val="20"/>
                <w:szCs w:val="20"/>
              </w:rPr>
              <w:t>单位：万元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themeColor="text1"/>
                <w:sz w:val="20"/>
                <w:szCs w:val="20"/>
              </w:rPr>
            </w:pPr>
            <w:r>
              <w:rPr>
                <w:rFonts w:cs="宋体"/>
                <w:b/>
                <w:color w:val="000000" w:themeColor="text1"/>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themeColor="text1"/>
                <w:sz w:val="20"/>
                <w:szCs w:val="20"/>
              </w:rPr>
            </w:pPr>
            <w:r>
              <w:rPr>
                <w:rFonts w:cs="宋体"/>
                <w:b/>
                <w:color w:val="000000" w:themeColor="text1"/>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278.32</w:t>
            </w:r>
            <w:r>
              <w:rPr>
                <w:rFonts w:ascii="Times New Roman" w:hAnsi="Times New Roman"/>
                <w:b/>
                <w:color w:val="000000" w:themeColor="text1"/>
                <w:sz w:val="20"/>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278.32</w:t>
            </w:r>
            <w:r>
              <w:rPr>
                <w:rFonts w:ascii="Times New Roman" w:hAnsi="Times New Roman"/>
                <w:b/>
                <w:color w:val="000000" w:themeColor="text1"/>
                <w:sz w:val="20"/>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212.46</w:t>
            </w:r>
            <w:r>
              <w:rPr>
                <w:rFonts w:ascii="Times New Roman" w:hAnsi="Times New Roman"/>
                <w:b/>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212.46</w:t>
            </w:r>
            <w:r>
              <w:rPr>
                <w:rFonts w:ascii="Times New Roman" w:hAnsi="Times New Roman"/>
                <w:b/>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20129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群众团体事务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212.46</w:t>
            </w:r>
            <w:r>
              <w:rPr>
                <w:rFonts w:ascii="Times New Roman" w:hAnsi="Times New Roman"/>
                <w:b/>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212.46</w:t>
            </w:r>
            <w:r>
              <w:rPr>
                <w:rFonts w:ascii="Times New Roman" w:hAnsi="Times New Roman"/>
                <w:b/>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2012901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76.74</w:t>
            </w:r>
            <w:r>
              <w:rPr>
                <w:rFonts w:ascii="Times New Roman" w:hAnsi="Times New Roman"/>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76.74</w:t>
            </w:r>
            <w:r>
              <w:rPr>
                <w:rFonts w:ascii="Times New Roman" w:hAnsi="Times New Roman"/>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2012902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81.38</w:t>
            </w:r>
            <w:r>
              <w:rPr>
                <w:rFonts w:ascii="Times New Roman" w:hAnsi="Times New Roman"/>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81.38</w:t>
            </w:r>
            <w:r>
              <w:rPr>
                <w:rFonts w:ascii="Times New Roman" w:hAnsi="Times New Roman"/>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2012950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54.35</w:t>
            </w:r>
            <w:r>
              <w:rPr>
                <w:rFonts w:ascii="Times New Roman" w:hAnsi="Times New Roman"/>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54.35</w:t>
            </w:r>
            <w:r>
              <w:rPr>
                <w:rFonts w:ascii="Times New Roman" w:hAnsi="Times New Roman"/>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43.55</w:t>
            </w:r>
            <w:r>
              <w:rPr>
                <w:rFonts w:ascii="Times New Roman" w:hAnsi="Times New Roman"/>
                <w:b/>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43.55</w:t>
            </w:r>
            <w:r>
              <w:rPr>
                <w:rFonts w:ascii="Times New Roman" w:hAnsi="Times New Roman"/>
                <w:b/>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0.02</w:t>
            </w:r>
            <w:r>
              <w:rPr>
                <w:rFonts w:ascii="Times New Roman" w:hAnsi="Times New Roman"/>
                <w:b/>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0.02</w:t>
            </w:r>
            <w:r>
              <w:rPr>
                <w:rFonts w:ascii="Times New Roman" w:hAnsi="Times New Roman"/>
                <w:b/>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2080102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0.02</w:t>
            </w:r>
            <w:r>
              <w:rPr>
                <w:rFonts w:ascii="Times New Roman" w:hAnsi="Times New Roman"/>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0.02</w:t>
            </w:r>
            <w:r>
              <w:rPr>
                <w:rFonts w:ascii="Times New Roman" w:hAnsi="Times New Roman"/>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43.53</w:t>
            </w:r>
            <w:r>
              <w:rPr>
                <w:rFonts w:ascii="Times New Roman" w:hAnsi="Times New Roman"/>
                <w:b/>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43.53</w:t>
            </w:r>
            <w:r>
              <w:rPr>
                <w:rFonts w:ascii="Times New Roman" w:hAnsi="Times New Roman"/>
                <w:b/>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23.16</w:t>
            </w:r>
            <w:r>
              <w:rPr>
                <w:rFonts w:ascii="Times New Roman" w:hAnsi="Times New Roman"/>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23.16</w:t>
            </w:r>
            <w:r>
              <w:rPr>
                <w:rFonts w:ascii="Times New Roman" w:hAnsi="Times New Roman"/>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11.63</w:t>
            </w:r>
            <w:r>
              <w:rPr>
                <w:rFonts w:ascii="Times New Roman" w:hAnsi="Times New Roman"/>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11.63</w:t>
            </w:r>
            <w:r>
              <w:rPr>
                <w:rFonts w:ascii="Times New Roman" w:hAnsi="Times New Roman"/>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8.74</w:t>
            </w:r>
            <w:r>
              <w:rPr>
                <w:rFonts w:ascii="Times New Roman" w:hAnsi="Times New Roman"/>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8.74</w:t>
            </w:r>
            <w:r>
              <w:rPr>
                <w:rFonts w:ascii="Times New Roman" w:hAnsi="Times New Roman"/>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8.38</w:t>
            </w:r>
            <w:r>
              <w:rPr>
                <w:rFonts w:ascii="Times New Roman" w:hAnsi="Times New Roman"/>
                <w:b/>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8.38</w:t>
            </w:r>
            <w:r>
              <w:rPr>
                <w:rFonts w:ascii="Times New Roman" w:hAnsi="Times New Roman"/>
                <w:b/>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8.38</w:t>
            </w:r>
            <w:r>
              <w:rPr>
                <w:rFonts w:ascii="Times New Roman" w:hAnsi="Times New Roman"/>
                <w:b/>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8.38</w:t>
            </w:r>
            <w:r>
              <w:rPr>
                <w:rFonts w:ascii="Times New Roman" w:hAnsi="Times New Roman"/>
                <w:b/>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5.52</w:t>
            </w:r>
            <w:r>
              <w:rPr>
                <w:rFonts w:ascii="Times New Roman" w:hAnsi="Times New Roman"/>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5.52</w:t>
            </w:r>
            <w:r>
              <w:rPr>
                <w:rFonts w:ascii="Times New Roman" w:hAnsi="Times New Roman"/>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2.86</w:t>
            </w:r>
            <w:r>
              <w:rPr>
                <w:rFonts w:ascii="Times New Roman" w:hAnsi="Times New Roman"/>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2.86</w:t>
            </w:r>
            <w:r>
              <w:rPr>
                <w:rFonts w:ascii="Times New Roman" w:hAnsi="Times New Roman"/>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13.93</w:t>
            </w:r>
            <w:r>
              <w:rPr>
                <w:rFonts w:ascii="Times New Roman" w:hAnsi="Times New Roman"/>
                <w:b/>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13.93</w:t>
            </w:r>
            <w:r>
              <w:rPr>
                <w:rFonts w:ascii="Times New Roman" w:hAnsi="Times New Roman"/>
                <w:b/>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13.93</w:t>
            </w:r>
            <w:r>
              <w:rPr>
                <w:rFonts w:ascii="Times New Roman" w:hAnsi="Times New Roman"/>
                <w:b/>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13.93</w:t>
            </w:r>
            <w:r>
              <w:rPr>
                <w:rFonts w:ascii="Times New Roman" w:hAnsi="Times New Roman"/>
                <w:b/>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13.93</w:t>
            </w:r>
            <w:r>
              <w:rPr>
                <w:rFonts w:ascii="Times New Roman" w:hAnsi="Times New Roman"/>
                <w:color w:val="000000" w:themeColor="text1"/>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13.93</w:t>
            </w:r>
            <w:r>
              <w:rPr>
                <w:rFonts w:ascii="Times New Roman" w:hAnsi="Times New Roman"/>
                <w:color w:val="000000" w:themeColor="text1"/>
                <w:sz w:val="20"/>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bl>
    <w:p>
      <w:pPr>
        <w:ind w:left="600" w:hanging="600" w:hangingChars="300"/>
        <w:rPr>
          <w:rFonts w:hint="default" w:cs="宋体"/>
          <w:color w:val="000000" w:themeColor="text1"/>
          <w:sz w:val="20"/>
          <w:szCs w:val="20"/>
        </w:rPr>
      </w:pPr>
      <w:r>
        <w:rPr>
          <w:rFonts w:cs="宋体"/>
          <w:color w:val="000000" w:themeColor="text1"/>
          <w:sz w:val="20"/>
          <w:szCs w:val="20"/>
        </w:rPr>
        <w:t>备注：1.本表反映部门本年度取得的各项收入情况。</w:t>
      </w:r>
      <w:r>
        <w:rPr>
          <w:rFonts w:cs="宋体"/>
          <w:color w:val="000000" w:themeColor="text1"/>
          <w:sz w:val="20"/>
          <w:szCs w:val="20"/>
        </w:rPr>
        <w:br w:type="textWrapping"/>
      </w:r>
      <w:r>
        <w:rPr>
          <w:rFonts w:cs="宋体"/>
          <w:color w:val="000000" w:themeColor="text1"/>
          <w:sz w:val="20"/>
          <w:szCs w:val="20"/>
        </w:rPr>
        <w:t>2.本套报表金额单位转换时可能存在尾数误差。</w:t>
      </w:r>
      <w:r>
        <w:rPr>
          <w:rFonts w:cs="宋体"/>
          <w:color w:val="000000" w:themeColor="text1"/>
          <w:sz w:val="20"/>
          <w:szCs w:val="20"/>
        </w:rPr>
        <w:br w:type="textWrapping"/>
      </w:r>
      <w:r>
        <w:rPr>
          <w:rFonts w:cs="宋体"/>
          <w:color w:val="000000" w:themeColor="text1"/>
          <w:sz w:val="20"/>
          <w:szCs w:val="20"/>
        </w:rPr>
        <w:br w:type="textWrapping"/>
      </w:r>
    </w:p>
    <w:p>
      <w:pPr>
        <w:rPr>
          <w:rFonts w:hint="default" w:cs="宋体"/>
          <w:color w:val="000000" w:themeColor="text1"/>
          <w:sz w:val="20"/>
          <w:szCs w:val="20"/>
        </w:rPr>
      </w:pPr>
      <w:r>
        <w:rPr>
          <w:rFonts w:cs="宋体"/>
          <w:color w:val="000000" w:themeColor="text1"/>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themeColor="text1"/>
                <w:sz w:val="32"/>
                <w:szCs w:val="32"/>
              </w:rPr>
            </w:pPr>
            <w:r>
              <w:rPr>
                <w:rFonts w:cs="宋体"/>
                <w:b/>
                <w:color w:val="000000" w:themeColor="text1"/>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r>
              <w:rPr>
                <w:rFonts w:cs="宋体"/>
                <w:color w:val="000000" w:themeColor="text1"/>
                <w:sz w:val="20"/>
                <w:szCs w:val="20"/>
              </w:rPr>
              <w:t>部门：</w:t>
            </w:r>
            <w:r>
              <w:rPr>
                <w:color w:val="000000" w:themeColor="text1"/>
                <w:sz w:val="20"/>
              </w:rPr>
              <w:t xml:space="preserve">垫江县妇女联合会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themeColor="text1"/>
                <w:sz w:val="20"/>
                <w:szCs w:val="20"/>
              </w:rPr>
            </w:pPr>
            <w:r>
              <w:rPr>
                <w:rFonts w:cs="宋体"/>
                <w:color w:val="000000" w:themeColor="text1"/>
                <w:sz w:val="20"/>
                <w:szCs w:val="20"/>
              </w:rPr>
              <w:t>公开</w:t>
            </w:r>
            <w:r>
              <w:rPr>
                <w:rFonts w:hint="default" w:ascii="Times New Roman" w:hAnsi="Times New Roman"/>
                <w:color w:val="000000" w:themeColor="text1"/>
                <w:sz w:val="20"/>
                <w:szCs w:val="20"/>
              </w:rPr>
              <w:t>03</w:t>
            </w:r>
            <w:r>
              <w:rPr>
                <w:rFonts w:cs="宋体"/>
                <w:color w:val="000000" w:themeColor="text1"/>
                <w:sz w:val="20"/>
                <w:szCs w:val="20"/>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themeColor="text1"/>
                <w:sz w:val="20"/>
                <w:szCs w:val="20"/>
              </w:rPr>
            </w:pPr>
            <w:r>
              <w:rPr>
                <w:rFonts w:cs="宋体"/>
                <w:color w:val="000000" w:themeColor="text1"/>
                <w:sz w:val="20"/>
                <w:szCs w:val="20"/>
              </w:rPr>
              <w:t>单位：万元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themeColor="text1"/>
                <w:sz w:val="20"/>
                <w:szCs w:val="20"/>
              </w:rPr>
            </w:pPr>
            <w:r>
              <w:rPr>
                <w:rFonts w:cs="宋体"/>
                <w:b/>
                <w:color w:val="000000" w:themeColor="text1"/>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278.32</w:t>
            </w:r>
            <w:r>
              <w:rPr>
                <w:rFonts w:ascii="Times New Roman" w:hAnsi="Times New Roman"/>
                <w:b/>
                <w:color w:val="000000" w:themeColor="text1"/>
                <w:sz w:val="20"/>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196.92</w:t>
            </w:r>
            <w:r>
              <w:rPr>
                <w:rFonts w:ascii="Times New Roman" w:hAnsi="Times New Roman"/>
                <w:b/>
                <w:color w:val="000000" w:themeColor="text1"/>
                <w:sz w:val="20"/>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81.40</w:t>
            </w:r>
            <w:r>
              <w:rPr>
                <w:rFonts w:ascii="Times New Roman" w:hAnsi="Times New Roman"/>
                <w:b/>
                <w:color w:val="000000" w:themeColor="text1"/>
                <w:sz w:val="20"/>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212.46</w:t>
            </w:r>
            <w:r>
              <w:rPr>
                <w:rFonts w:ascii="Times New Roman" w:hAnsi="Times New Roman"/>
                <w:b/>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131.08</w:t>
            </w:r>
            <w:r>
              <w:rPr>
                <w:rFonts w:ascii="Times New Roman" w:hAnsi="Times New Roman"/>
                <w:b/>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81.38</w:t>
            </w:r>
            <w:r>
              <w:rPr>
                <w:rFonts w:ascii="Times New Roman" w:hAnsi="Times New Roman"/>
                <w:b/>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20129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群众团体事务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212.46</w:t>
            </w:r>
            <w:r>
              <w:rPr>
                <w:rFonts w:ascii="Times New Roman" w:hAnsi="Times New Roman"/>
                <w:b/>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131.08</w:t>
            </w:r>
            <w:r>
              <w:rPr>
                <w:rFonts w:ascii="Times New Roman" w:hAnsi="Times New Roman"/>
                <w:b/>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81.38</w:t>
            </w:r>
            <w:r>
              <w:rPr>
                <w:rFonts w:ascii="Times New Roman" w:hAnsi="Times New Roman"/>
                <w:b/>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2012901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76.74</w:t>
            </w:r>
            <w:r>
              <w:rPr>
                <w:rFonts w:ascii="Times New Roman" w:hAnsi="Times New Roman"/>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76.74</w:t>
            </w:r>
            <w:r>
              <w:rPr>
                <w:rFonts w:ascii="Times New Roman" w:hAnsi="Times New Roman"/>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2012902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81.38</w:t>
            </w:r>
            <w:r>
              <w:rPr>
                <w:rFonts w:ascii="Times New Roman" w:hAnsi="Times New Roman"/>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81.38</w:t>
            </w:r>
            <w:r>
              <w:rPr>
                <w:rFonts w:ascii="Times New Roman" w:hAnsi="Times New Roman"/>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2012950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54.35</w:t>
            </w:r>
            <w:r>
              <w:rPr>
                <w:rFonts w:ascii="Times New Roman" w:hAnsi="Times New Roman"/>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54.35</w:t>
            </w:r>
            <w:r>
              <w:rPr>
                <w:rFonts w:ascii="Times New Roman" w:hAnsi="Times New Roman"/>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43.55</w:t>
            </w:r>
            <w:r>
              <w:rPr>
                <w:rFonts w:ascii="Times New Roman" w:hAnsi="Times New Roman"/>
                <w:b/>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43.53</w:t>
            </w:r>
            <w:r>
              <w:rPr>
                <w:rFonts w:ascii="Times New Roman" w:hAnsi="Times New Roman"/>
                <w:b/>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0.02</w:t>
            </w:r>
            <w:r>
              <w:rPr>
                <w:rFonts w:ascii="Times New Roman" w:hAnsi="Times New Roman"/>
                <w:b/>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0.02</w:t>
            </w:r>
            <w:r>
              <w:rPr>
                <w:rFonts w:ascii="Times New Roman" w:hAnsi="Times New Roman"/>
                <w:b/>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0.02</w:t>
            </w:r>
            <w:r>
              <w:rPr>
                <w:rFonts w:ascii="Times New Roman" w:hAnsi="Times New Roman"/>
                <w:b/>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2080102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0.02</w:t>
            </w:r>
            <w:r>
              <w:rPr>
                <w:rFonts w:ascii="Times New Roman" w:hAnsi="Times New Roman"/>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0.02</w:t>
            </w:r>
            <w:r>
              <w:rPr>
                <w:rFonts w:ascii="Times New Roman" w:hAnsi="Times New Roman"/>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43.53</w:t>
            </w:r>
            <w:r>
              <w:rPr>
                <w:rFonts w:ascii="Times New Roman" w:hAnsi="Times New Roman"/>
                <w:b/>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43.53</w:t>
            </w:r>
            <w:r>
              <w:rPr>
                <w:rFonts w:ascii="Times New Roman" w:hAnsi="Times New Roman"/>
                <w:b/>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23.16</w:t>
            </w:r>
            <w:r>
              <w:rPr>
                <w:rFonts w:ascii="Times New Roman" w:hAnsi="Times New Roman"/>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23.16</w:t>
            </w:r>
            <w:r>
              <w:rPr>
                <w:rFonts w:ascii="Times New Roman" w:hAnsi="Times New Roman"/>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11.63</w:t>
            </w:r>
            <w:r>
              <w:rPr>
                <w:rFonts w:ascii="Times New Roman" w:hAnsi="Times New Roman"/>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11.63</w:t>
            </w:r>
            <w:r>
              <w:rPr>
                <w:rFonts w:ascii="Times New Roman" w:hAnsi="Times New Roman"/>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8.74</w:t>
            </w:r>
            <w:r>
              <w:rPr>
                <w:rFonts w:ascii="Times New Roman" w:hAnsi="Times New Roman"/>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8.74</w:t>
            </w:r>
            <w:r>
              <w:rPr>
                <w:rFonts w:ascii="Times New Roman" w:hAnsi="Times New Roman"/>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8.38</w:t>
            </w:r>
            <w:r>
              <w:rPr>
                <w:rFonts w:ascii="Times New Roman" w:hAnsi="Times New Roman"/>
                <w:b/>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8.38</w:t>
            </w:r>
            <w:r>
              <w:rPr>
                <w:rFonts w:ascii="Times New Roman" w:hAnsi="Times New Roman"/>
                <w:b/>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8.38</w:t>
            </w:r>
            <w:r>
              <w:rPr>
                <w:rFonts w:ascii="Times New Roman" w:hAnsi="Times New Roman"/>
                <w:b/>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8.38</w:t>
            </w:r>
            <w:r>
              <w:rPr>
                <w:rFonts w:ascii="Times New Roman" w:hAnsi="Times New Roman"/>
                <w:b/>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5.52</w:t>
            </w:r>
            <w:r>
              <w:rPr>
                <w:rFonts w:ascii="Times New Roman" w:hAnsi="Times New Roman"/>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5.52</w:t>
            </w:r>
            <w:r>
              <w:rPr>
                <w:rFonts w:ascii="Times New Roman" w:hAnsi="Times New Roman"/>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2.86</w:t>
            </w:r>
            <w:r>
              <w:rPr>
                <w:rFonts w:ascii="Times New Roman" w:hAnsi="Times New Roman"/>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2.86</w:t>
            </w:r>
            <w:r>
              <w:rPr>
                <w:rFonts w:ascii="Times New Roman" w:hAnsi="Times New Roman"/>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13.93</w:t>
            </w:r>
            <w:r>
              <w:rPr>
                <w:rFonts w:ascii="Times New Roman" w:hAnsi="Times New Roman"/>
                <w:b/>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13.93</w:t>
            </w:r>
            <w:r>
              <w:rPr>
                <w:rFonts w:ascii="Times New Roman" w:hAnsi="Times New Roman"/>
                <w:b/>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13.93</w:t>
            </w:r>
            <w:r>
              <w:rPr>
                <w:rFonts w:ascii="Times New Roman" w:hAnsi="Times New Roman"/>
                <w:b/>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13.93</w:t>
            </w:r>
            <w:r>
              <w:rPr>
                <w:rFonts w:ascii="Times New Roman" w:hAnsi="Times New Roman"/>
                <w:b/>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13.93</w:t>
            </w:r>
            <w:r>
              <w:rPr>
                <w:rFonts w:ascii="Times New Roman" w:hAnsi="Times New Roman"/>
                <w:color w:val="000000" w:themeColor="text1"/>
                <w:sz w:val="20"/>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13.93</w:t>
            </w:r>
            <w:r>
              <w:rPr>
                <w:rFonts w:ascii="Times New Roman" w:hAnsi="Times New Roman"/>
                <w:color w:val="000000" w:themeColor="text1"/>
                <w:sz w:val="20"/>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bl>
    <w:p>
      <w:pPr>
        <w:rPr>
          <w:rFonts w:hint="default" w:cs="宋体"/>
          <w:color w:val="000000" w:themeColor="text1"/>
          <w:sz w:val="20"/>
          <w:szCs w:val="20"/>
        </w:rPr>
      </w:pPr>
      <w:r>
        <w:rPr>
          <w:rFonts w:cs="宋体"/>
          <w:color w:val="000000" w:themeColor="text1"/>
          <w:sz w:val="20"/>
          <w:szCs w:val="20"/>
        </w:rPr>
        <w:t>备注：1.本表反映部门本年度各项支出情况。</w:t>
      </w:r>
      <w:r>
        <w:rPr>
          <w:rFonts w:cs="宋体"/>
          <w:color w:val="000000" w:themeColor="text1"/>
          <w:sz w:val="20"/>
          <w:szCs w:val="20"/>
        </w:rPr>
        <w:br w:type="textWrapping"/>
      </w:r>
      <w:r>
        <w:rPr>
          <w:rFonts w:cs="宋体"/>
          <w:color w:val="000000" w:themeColor="text1"/>
          <w:sz w:val="20"/>
          <w:szCs w:val="20"/>
        </w:rPr>
        <w:t xml:space="preserve">      2.本套报表金额单位转换时可能存在尾数误差。</w:t>
      </w:r>
      <w:r>
        <w:rPr>
          <w:rFonts w:cs="宋体"/>
          <w:color w:val="000000" w:themeColor="text1"/>
          <w:sz w:val="20"/>
          <w:szCs w:val="20"/>
        </w:rPr>
        <w:br w:type="textWrapping"/>
      </w:r>
      <w:r>
        <w:rPr>
          <w:rFonts w:cs="宋体"/>
          <w:color w:val="000000" w:themeColor="text1"/>
          <w:sz w:val="20"/>
          <w:szCs w:val="20"/>
        </w:rPr>
        <w:br w:type="textWrapping"/>
      </w:r>
    </w:p>
    <w:p>
      <w:pPr>
        <w:rPr>
          <w:rFonts w:hint="default" w:cs="宋体"/>
          <w:color w:val="000000" w:themeColor="text1"/>
          <w:sz w:val="21"/>
          <w:szCs w:val="21"/>
        </w:rPr>
      </w:pPr>
      <w:r>
        <w:rPr>
          <w:rFonts w:cs="宋体"/>
          <w:color w:val="000000" w:themeColor="text1"/>
          <w:sz w:val="21"/>
          <w:szCs w:val="21"/>
        </w:rPr>
        <w:br w:type="page"/>
      </w:r>
    </w:p>
    <w:p>
      <w:pPr>
        <w:rPr>
          <w:rFonts w:hint="default" w:cs="宋体"/>
          <w:color w:val="000000" w:themeColor="text1"/>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themeColor="text1"/>
                <w:sz w:val="32"/>
                <w:szCs w:val="32"/>
              </w:rPr>
            </w:pPr>
            <w:r>
              <w:rPr>
                <w:rFonts w:cs="宋体"/>
                <w:b/>
                <w:color w:val="000000" w:themeColor="text1"/>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themeColor="text1"/>
                <w:sz w:val="18"/>
                <w:szCs w:val="18"/>
              </w:rPr>
            </w:pPr>
            <w:r>
              <w:rPr>
                <w:rFonts w:cs="宋体"/>
                <w:color w:val="000000" w:themeColor="text1"/>
                <w:sz w:val="20"/>
                <w:szCs w:val="20"/>
              </w:rPr>
              <w:t>部门：</w:t>
            </w:r>
            <w:r>
              <w:rPr>
                <w:color w:val="000000" w:themeColor="text1"/>
                <w:sz w:val="20"/>
              </w:rPr>
              <w:t>垫江县妇女联合会</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themeColor="text1"/>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themeColor="text1"/>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themeColor="text1"/>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themeColor="text1"/>
                <w:sz w:val="20"/>
                <w:szCs w:val="20"/>
              </w:rPr>
            </w:pPr>
            <w:r>
              <w:rPr>
                <w:rFonts w:cs="宋体"/>
                <w:color w:val="000000" w:themeColor="text1"/>
                <w:sz w:val="20"/>
                <w:szCs w:val="20"/>
              </w:rPr>
              <w:t>公开</w:t>
            </w:r>
            <w:r>
              <w:rPr>
                <w:rFonts w:hint="default" w:ascii="Times New Roman" w:hAnsi="Times New Roman"/>
                <w:color w:val="000000" w:themeColor="text1"/>
                <w:sz w:val="20"/>
                <w:szCs w:val="20"/>
              </w:rPr>
              <w:t>04</w:t>
            </w:r>
            <w:r>
              <w:rPr>
                <w:rFonts w:cs="宋体"/>
                <w:color w:val="000000" w:themeColor="text1"/>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themeColor="text1"/>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themeColor="text1"/>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themeColor="text1"/>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themeColor="text1"/>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themeColor="text1"/>
                <w:sz w:val="20"/>
                <w:szCs w:val="20"/>
              </w:rPr>
            </w:pPr>
            <w:r>
              <w:rPr>
                <w:rFonts w:cs="宋体"/>
                <w:color w:val="000000" w:themeColor="text1"/>
                <w:sz w:val="20"/>
                <w:szCs w:val="20"/>
              </w:rPr>
              <w:t>单位：万元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themeColor="text1"/>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themeColor="text1"/>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themeColor="text1"/>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278.32</w:t>
            </w:r>
            <w:r>
              <w:rPr>
                <w:rFonts w:ascii="Times New Roman" w:hAnsi="Times New Roman"/>
                <w:color w:val="000000" w:themeColor="text1"/>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212.46</w:t>
            </w: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212.46</w:t>
            </w: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43.55</w:t>
            </w: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43.55</w:t>
            </w: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8.38</w:t>
            </w: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8.38</w:t>
            </w: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13.93</w:t>
            </w: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13.93</w:t>
            </w: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themeColor="text1"/>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themeColor="text1"/>
                <w:sz w:val="18"/>
                <w:szCs w:val="18"/>
              </w:rPr>
            </w:pPr>
            <w:r>
              <w:rPr>
                <w:rFonts w:cs="宋体"/>
                <w:b/>
                <w:bCs/>
                <w:color w:val="000000" w:themeColor="text1"/>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278.32</w:t>
            </w:r>
            <w:r>
              <w:rPr>
                <w:rFonts w:ascii="Times New Roman" w:hAnsi="Times New Roman"/>
                <w:color w:val="000000" w:themeColor="text1"/>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themeColor="text1"/>
                <w:sz w:val="18"/>
                <w:szCs w:val="18"/>
              </w:rPr>
            </w:pPr>
            <w:r>
              <w:rPr>
                <w:rFonts w:cs="宋体"/>
                <w:b/>
                <w:bCs/>
                <w:color w:val="000000" w:themeColor="text1"/>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278.32</w:t>
            </w: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278.32</w:t>
            </w: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themeColor="text1"/>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themeColor="text1"/>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themeColor="text1"/>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themeColor="text1"/>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themeColor="text1"/>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themeColor="text1"/>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themeColor="text1"/>
                <w:sz w:val="18"/>
                <w:szCs w:val="18"/>
              </w:rPr>
            </w:pPr>
            <w:r>
              <w:rPr>
                <w:rFonts w:cs="宋体"/>
                <w:b/>
                <w:bCs/>
                <w:color w:val="000000" w:themeColor="text1"/>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themeColor="text1"/>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themeColor="text1"/>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278.32</w:t>
            </w:r>
            <w:r>
              <w:rPr>
                <w:rFonts w:ascii="Times New Roman" w:hAnsi="Times New Roman"/>
                <w:color w:val="000000" w:themeColor="text1"/>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278.32</w:t>
            </w: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278.32</w:t>
            </w:r>
            <w:r>
              <w:rPr>
                <w:rFonts w:ascii="Times New Roman" w:hAnsi="Times New Roman"/>
                <w:color w:val="000000" w:themeColor="text1"/>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bl>
    <w:p>
      <w:pPr>
        <w:spacing w:line="240" w:lineRule="exact"/>
        <w:rPr>
          <w:rFonts w:hint="default" w:cs="宋体"/>
          <w:color w:val="000000" w:themeColor="text1"/>
          <w:sz w:val="20"/>
          <w:szCs w:val="20"/>
        </w:rPr>
      </w:pPr>
      <w:r>
        <w:rPr>
          <w:rFonts w:cs="宋体"/>
          <w:color w:val="000000" w:themeColor="text1"/>
          <w:sz w:val="20"/>
          <w:szCs w:val="20"/>
        </w:rPr>
        <w:t>备注：1.本表反映部门本年度一般公共预算财政拨款、政府性基金预算财政拨款及国有资本经营预算财政拨款的总收支和年末结转结余情况。</w:t>
      </w:r>
      <w:r>
        <w:rPr>
          <w:rFonts w:cs="宋体"/>
          <w:color w:val="000000" w:themeColor="text1"/>
          <w:sz w:val="20"/>
          <w:szCs w:val="20"/>
        </w:rPr>
        <w:br w:type="textWrapping"/>
      </w:r>
      <w:r>
        <w:rPr>
          <w:rFonts w:cs="宋体"/>
          <w:color w:val="000000" w:themeColor="text1"/>
          <w:sz w:val="20"/>
          <w:szCs w:val="20"/>
        </w:rPr>
        <w:t xml:space="preserve">      2.本套报表金额单位转换时可能存在尾数误差。</w:t>
      </w:r>
      <w:r>
        <w:rPr>
          <w:rFonts w:cs="宋体"/>
          <w:color w:val="000000" w:themeColor="text1"/>
          <w:sz w:val="20"/>
          <w:szCs w:val="20"/>
        </w:rPr>
        <w:br w:type="textWrapping"/>
      </w:r>
      <w:r>
        <w:rPr>
          <w:rFonts w:cs="宋体"/>
          <w:color w:val="000000" w:themeColor="text1"/>
          <w:sz w:val="20"/>
          <w:szCs w:val="20"/>
        </w:rPr>
        <w:br w:type="textWrapping"/>
      </w:r>
      <w:r>
        <w:rPr>
          <w:rFonts w:cs="宋体"/>
          <w:color w:val="000000" w:themeColor="text1"/>
          <w:sz w:val="21"/>
          <w:szCs w:val="21"/>
        </w:rPr>
        <w:br w:type="page"/>
      </w:r>
    </w:p>
    <w:tbl>
      <w:tblPr>
        <w:tblStyle w:val="7"/>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themeColor="text1"/>
                <w:sz w:val="32"/>
                <w:szCs w:val="32"/>
              </w:rPr>
            </w:pPr>
            <w:r>
              <w:rPr>
                <w:rFonts w:cs="宋体"/>
                <w:b/>
                <w:color w:val="000000" w:themeColor="text1"/>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themeColor="text1"/>
                <w:sz w:val="20"/>
                <w:szCs w:val="20"/>
              </w:rPr>
            </w:pPr>
            <w:r>
              <w:rPr>
                <w:rFonts w:cs="宋体"/>
                <w:color w:val="000000" w:themeColor="text1"/>
                <w:sz w:val="20"/>
                <w:szCs w:val="20"/>
              </w:rPr>
              <w:t>部门：</w:t>
            </w:r>
            <w:r>
              <w:rPr>
                <w:color w:val="000000" w:themeColor="text1"/>
                <w:sz w:val="20"/>
              </w:rPr>
              <w:t>垫江县妇女联合会</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themeColor="text1"/>
                <w:sz w:val="20"/>
                <w:szCs w:val="20"/>
              </w:rPr>
            </w:pPr>
            <w:r>
              <w:rPr>
                <w:rFonts w:cs="宋体"/>
                <w:color w:val="000000" w:themeColor="text1"/>
                <w:sz w:val="20"/>
                <w:szCs w:val="20"/>
              </w:rPr>
              <w:t>公开</w:t>
            </w:r>
            <w:r>
              <w:rPr>
                <w:rFonts w:hint="default" w:ascii="Times New Roman" w:hAnsi="Times New Roman"/>
                <w:color w:val="000000" w:themeColor="text1"/>
                <w:sz w:val="20"/>
                <w:szCs w:val="20"/>
              </w:rPr>
              <w:t>05</w:t>
            </w:r>
            <w:r>
              <w:rPr>
                <w:rFonts w:cs="宋体"/>
                <w:color w:val="000000" w:themeColor="text1"/>
                <w:sz w:val="20"/>
                <w:szCs w:val="20"/>
              </w:rPr>
              <w:t>表</w:t>
            </w:r>
          </w:p>
        </w:tc>
      </w:tr>
      <w:tr>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themeColor="text1"/>
                <w:sz w:val="20"/>
                <w:szCs w:val="20"/>
              </w:rPr>
            </w:pPr>
            <w:r>
              <w:rPr>
                <w:rFonts w:cs="宋体"/>
                <w:color w:val="000000" w:themeColor="text1"/>
                <w:sz w:val="20"/>
                <w:szCs w:val="20"/>
              </w:rPr>
              <w:t>单位：万元</w:t>
            </w:r>
          </w:p>
        </w:tc>
      </w:tr>
      <w:tr>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本年支出</w:t>
            </w:r>
          </w:p>
        </w:tc>
      </w:tr>
      <w:tr>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项目支出</w:t>
            </w:r>
          </w:p>
        </w:tc>
      </w:tr>
      <w:tr>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r>
      <w:tr>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r>
      <w:tr>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278.32</w:t>
            </w:r>
            <w:r>
              <w:rPr>
                <w:rFonts w:ascii="Times New Roman" w:hAnsi="Times New Roman"/>
                <w:b/>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196.92</w:t>
            </w:r>
            <w:r>
              <w:rPr>
                <w:rFonts w:ascii="Times New Roman" w:hAnsi="Times New Roman"/>
                <w:b/>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81.40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一般公共服务支出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212.46</w:t>
            </w:r>
            <w:r>
              <w:rPr>
                <w:rFonts w:ascii="Times New Roman" w:hAnsi="Times New Roman"/>
                <w:b/>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131.08</w:t>
            </w:r>
            <w:r>
              <w:rPr>
                <w:rFonts w:ascii="Times New Roman" w:hAnsi="Times New Roman"/>
                <w:b/>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81.38</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20129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群众团体事务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212.46</w:t>
            </w:r>
            <w:r>
              <w:rPr>
                <w:rFonts w:ascii="Times New Roman" w:hAnsi="Times New Roman"/>
                <w:b/>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131.08</w:t>
            </w:r>
            <w:r>
              <w:rPr>
                <w:rFonts w:ascii="Times New Roman" w:hAnsi="Times New Roman"/>
                <w:b/>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81.38</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2012901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76.74</w:t>
            </w:r>
            <w:r>
              <w:rPr>
                <w:rFonts w:ascii="Times New Roman" w:hAnsi="Times New Roman"/>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76.74</w:t>
            </w:r>
            <w:r>
              <w:rPr>
                <w:rFonts w:ascii="Times New Roman" w:hAnsi="Times New Roman"/>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2012902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81.38</w:t>
            </w:r>
            <w:r>
              <w:rPr>
                <w:rFonts w:ascii="Times New Roman" w:hAnsi="Times New Roman"/>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81.38</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2012950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54.35</w:t>
            </w:r>
            <w:r>
              <w:rPr>
                <w:rFonts w:ascii="Times New Roman" w:hAnsi="Times New Roman"/>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54.35</w:t>
            </w:r>
            <w:r>
              <w:rPr>
                <w:rFonts w:ascii="Times New Roman" w:hAnsi="Times New Roman"/>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43.55</w:t>
            </w:r>
            <w:r>
              <w:rPr>
                <w:rFonts w:ascii="Times New Roman" w:hAnsi="Times New Roman"/>
                <w:b/>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43.53</w:t>
            </w:r>
            <w:r>
              <w:rPr>
                <w:rFonts w:ascii="Times New Roman" w:hAnsi="Times New Roman"/>
                <w:b/>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0.02</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20801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0.02</w:t>
            </w:r>
            <w:r>
              <w:rPr>
                <w:rFonts w:ascii="Times New Roman" w:hAnsi="Times New Roman"/>
                <w:b/>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0.02</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2080102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0.02</w:t>
            </w:r>
            <w:r>
              <w:rPr>
                <w:rFonts w:ascii="Times New Roman" w:hAnsi="Times New Roman"/>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0.02</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43.53</w:t>
            </w:r>
            <w:r>
              <w:rPr>
                <w:rFonts w:ascii="Times New Roman" w:hAnsi="Times New Roman"/>
                <w:b/>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43.53</w:t>
            </w:r>
            <w:r>
              <w:rPr>
                <w:rFonts w:ascii="Times New Roman" w:hAnsi="Times New Roman"/>
                <w:b/>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23.16</w:t>
            </w:r>
            <w:r>
              <w:rPr>
                <w:rFonts w:ascii="Times New Roman" w:hAnsi="Times New Roman"/>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23.16</w:t>
            </w:r>
            <w:r>
              <w:rPr>
                <w:rFonts w:ascii="Times New Roman" w:hAnsi="Times New Roman"/>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11.63</w:t>
            </w:r>
            <w:r>
              <w:rPr>
                <w:rFonts w:ascii="Times New Roman" w:hAnsi="Times New Roman"/>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11.63</w:t>
            </w:r>
            <w:r>
              <w:rPr>
                <w:rFonts w:ascii="Times New Roman" w:hAnsi="Times New Roman"/>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2080599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8.74</w:t>
            </w:r>
            <w:r>
              <w:rPr>
                <w:rFonts w:ascii="Times New Roman" w:hAnsi="Times New Roman"/>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8.74</w:t>
            </w:r>
            <w:r>
              <w:rPr>
                <w:rFonts w:ascii="Times New Roman" w:hAnsi="Times New Roman"/>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8.38</w:t>
            </w:r>
            <w:r>
              <w:rPr>
                <w:rFonts w:ascii="Times New Roman" w:hAnsi="Times New Roman"/>
                <w:b/>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8.38</w:t>
            </w:r>
            <w:r>
              <w:rPr>
                <w:rFonts w:ascii="Times New Roman" w:hAnsi="Times New Roman"/>
                <w:b/>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8.38</w:t>
            </w:r>
            <w:r>
              <w:rPr>
                <w:rFonts w:ascii="Times New Roman" w:hAnsi="Times New Roman"/>
                <w:b/>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8.38</w:t>
            </w:r>
            <w:r>
              <w:rPr>
                <w:rFonts w:ascii="Times New Roman" w:hAnsi="Times New Roman"/>
                <w:b/>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2101101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行政单位医疗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5.52</w:t>
            </w:r>
            <w:r>
              <w:rPr>
                <w:rFonts w:ascii="Times New Roman" w:hAnsi="Times New Roman"/>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5.52</w:t>
            </w:r>
            <w:r>
              <w:rPr>
                <w:rFonts w:ascii="Times New Roman" w:hAnsi="Times New Roman"/>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2.86</w:t>
            </w:r>
            <w:r>
              <w:rPr>
                <w:rFonts w:ascii="Times New Roman" w:hAnsi="Times New Roman"/>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2.86</w:t>
            </w:r>
            <w:r>
              <w:rPr>
                <w:rFonts w:ascii="Times New Roman" w:hAnsi="Times New Roman"/>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13.93</w:t>
            </w:r>
            <w:r>
              <w:rPr>
                <w:rFonts w:ascii="Times New Roman" w:hAnsi="Times New Roman"/>
                <w:b/>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13.93</w:t>
            </w:r>
            <w:r>
              <w:rPr>
                <w:rFonts w:ascii="Times New Roman" w:hAnsi="Times New Roman"/>
                <w:b/>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b/>
                <w:color w:val="000000" w:themeColor="text1"/>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13.93</w:t>
            </w:r>
            <w:r>
              <w:rPr>
                <w:rFonts w:ascii="Times New Roman" w:hAnsi="Times New Roman"/>
                <w:b/>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13.93</w:t>
            </w:r>
            <w:r>
              <w:rPr>
                <w:rFonts w:ascii="Times New Roman" w:hAnsi="Times New Roman"/>
                <w:b/>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r>
              <w:rPr>
                <w:rFonts w:cs="宋体"/>
                <w:color w:val="000000" w:themeColor="text1"/>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13.93</w:t>
            </w:r>
            <w:r>
              <w:rPr>
                <w:rFonts w:ascii="Times New Roman" w:hAnsi="Times New Roman"/>
                <w:color w:val="000000" w:themeColor="text1"/>
                <w:sz w:val="20"/>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13.93</w:t>
            </w:r>
            <w:r>
              <w:rPr>
                <w:rFonts w:ascii="Times New Roman" w:hAnsi="Times New Roman"/>
                <w:color w:val="000000" w:themeColor="text1"/>
                <w:sz w:val="20"/>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bl>
    <w:p>
      <w:pPr>
        <w:rPr>
          <w:rFonts w:hint="default" w:cs="宋体"/>
          <w:color w:val="000000" w:themeColor="text1"/>
          <w:sz w:val="21"/>
          <w:szCs w:val="21"/>
        </w:rPr>
      </w:pPr>
      <w:r>
        <w:rPr>
          <w:rFonts w:cs="宋体"/>
          <w:color w:val="000000" w:themeColor="text1"/>
          <w:sz w:val="20"/>
          <w:szCs w:val="20"/>
        </w:rPr>
        <w:t>备注：1.本表反映部门本年度一般公共预算财政拨款支出情况。</w:t>
      </w:r>
      <w:r>
        <w:rPr>
          <w:rFonts w:cs="宋体"/>
          <w:color w:val="000000" w:themeColor="text1"/>
          <w:sz w:val="20"/>
          <w:szCs w:val="20"/>
        </w:rPr>
        <w:br w:type="textWrapping"/>
      </w:r>
      <w:r>
        <w:rPr>
          <w:rFonts w:cs="宋体"/>
          <w:color w:val="000000" w:themeColor="text1"/>
          <w:sz w:val="20"/>
          <w:szCs w:val="20"/>
        </w:rPr>
        <w:t xml:space="preserve">      2.本套报表金额单位转换时可能存在尾数误差。</w:t>
      </w:r>
      <w:r>
        <w:rPr>
          <w:rFonts w:cs="宋体"/>
          <w:color w:val="000000" w:themeColor="text1"/>
          <w:sz w:val="20"/>
          <w:szCs w:val="20"/>
        </w:rPr>
        <w:br w:type="textWrapping"/>
      </w:r>
      <w:r>
        <w:rPr>
          <w:rFonts w:cs="宋体"/>
          <w:color w:val="000000" w:themeColor="text1"/>
          <w:sz w:val="20"/>
          <w:szCs w:val="20"/>
        </w:rPr>
        <w:br w:type="textWrapping"/>
      </w:r>
    </w:p>
    <w:p>
      <w:pPr>
        <w:ind w:firstLine="630" w:firstLineChars="300"/>
        <w:rPr>
          <w:rFonts w:hint="default" w:cs="宋体"/>
          <w:color w:val="000000" w:themeColor="text1"/>
          <w:sz w:val="21"/>
          <w:szCs w:val="21"/>
        </w:rPr>
      </w:pPr>
      <w:r>
        <w:rPr>
          <w:rFonts w:cs="宋体"/>
          <w:color w:val="000000" w:themeColor="text1"/>
          <w:sz w:val="21"/>
          <w:szCs w:val="21"/>
        </w:rPr>
        <w:br w:type="page"/>
      </w:r>
    </w:p>
    <w:tbl>
      <w:tblPr>
        <w:tblStyle w:val="7"/>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themeColor="text1"/>
                <w:sz w:val="32"/>
                <w:szCs w:val="32"/>
              </w:rPr>
            </w:pPr>
            <w:r>
              <w:rPr>
                <w:rFonts w:cs="宋体"/>
                <w:b/>
                <w:color w:val="000000" w:themeColor="text1"/>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themeColor="text1"/>
                <w:sz w:val="18"/>
                <w:szCs w:val="18"/>
              </w:rPr>
            </w:pPr>
            <w:r>
              <w:rPr>
                <w:rFonts w:cs="宋体"/>
                <w:color w:val="000000" w:themeColor="text1"/>
                <w:sz w:val="20"/>
                <w:szCs w:val="20"/>
              </w:rPr>
              <w:t>部门：</w:t>
            </w:r>
            <w:r>
              <w:rPr>
                <w:color w:val="000000" w:themeColor="text1"/>
                <w:sz w:val="20"/>
              </w:rPr>
              <w:t>垫江县妇女联合会</w:t>
            </w:r>
          </w:p>
        </w:tc>
        <w:tc>
          <w:tcPr>
            <w:tcW w:w="14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themeColor="text1"/>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themeColor="text1"/>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themeColor="text1"/>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themeColor="text1"/>
                <w:sz w:val="20"/>
                <w:szCs w:val="20"/>
              </w:rPr>
            </w:pPr>
            <w:r>
              <w:rPr>
                <w:rFonts w:cs="宋体"/>
                <w:color w:val="000000" w:themeColor="text1"/>
                <w:sz w:val="20"/>
                <w:szCs w:val="20"/>
              </w:rPr>
              <w:t>公开</w:t>
            </w:r>
            <w:r>
              <w:rPr>
                <w:rFonts w:hint="default" w:ascii="Times New Roman" w:hAnsi="Times New Roman"/>
                <w:color w:val="000000" w:themeColor="text1"/>
                <w:sz w:val="20"/>
                <w:szCs w:val="20"/>
              </w:rPr>
              <w:t>06</w:t>
            </w:r>
            <w:r>
              <w:rPr>
                <w:rFonts w:cs="宋体"/>
                <w:color w:val="000000" w:themeColor="text1"/>
                <w:sz w:val="20"/>
                <w:szCs w:val="20"/>
              </w:rPr>
              <w:t>表</w:t>
            </w:r>
          </w:p>
        </w:tc>
      </w:tr>
      <w:tr>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themeColor="text1"/>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themeColor="text1"/>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themeColor="text1"/>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themeColor="text1"/>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themeColor="text1"/>
                <w:sz w:val="20"/>
                <w:szCs w:val="20"/>
              </w:rPr>
            </w:pPr>
            <w:r>
              <w:rPr>
                <w:rFonts w:cs="宋体"/>
                <w:color w:val="000000" w:themeColor="text1"/>
                <w:sz w:val="20"/>
                <w:szCs w:val="20"/>
              </w:rPr>
              <w:t>单位：万元</w:t>
            </w:r>
          </w:p>
        </w:tc>
      </w:tr>
      <w:tr>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公用经费</w:t>
            </w:r>
          </w:p>
        </w:tc>
      </w:tr>
      <w:tr>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金额</w:t>
            </w:r>
          </w:p>
        </w:tc>
      </w:tr>
      <w:tr>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themeColor="text1"/>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themeColor="text1"/>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themeColor="text1"/>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themeColor="text1"/>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themeColor="text1"/>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themeColor="text1"/>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themeColor="text1"/>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themeColor="text1"/>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themeColor="text1"/>
                <w:sz w:val="18"/>
                <w:szCs w:val="18"/>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themeColor="text1"/>
                <w:sz w:val="18"/>
                <w:szCs w:val="18"/>
              </w:rPr>
            </w:pPr>
            <w:r>
              <w:rPr>
                <w:rFonts w:cs="宋体"/>
                <w:b/>
                <w:bCs/>
                <w:color w:val="000000" w:themeColor="text1"/>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themeColor="text1"/>
                <w:sz w:val="18"/>
                <w:szCs w:val="18"/>
              </w:rPr>
            </w:pPr>
            <w:r>
              <w:rPr>
                <w:rFonts w:cs="宋体"/>
                <w:b/>
                <w:bCs/>
                <w:color w:val="000000" w:themeColor="text1"/>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172.93</w:t>
            </w: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themeColor="text1"/>
                <w:sz w:val="18"/>
                <w:szCs w:val="18"/>
              </w:rPr>
            </w:pPr>
            <w:r>
              <w:rPr>
                <w:rFonts w:cs="宋体"/>
                <w:b/>
                <w:bCs/>
                <w:color w:val="000000" w:themeColor="text1"/>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themeColor="text1"/>
                <w:sz w:val="18"/>
                <w:szCs w:val="18"/>
              </w:rPr>
            </w:pPr>
            <w:r>
              <w:rPr>
                <w:rFonts w:cs="宋体"/>
                <w:b/>
                <w:bCs/>
                <w:color w:val="000000" w:themeColor="text1"/>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15.25</w:t>
            </w: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themeColor="text1"/>
                <w:sz w:val="18"/>
                <w:szCs w:val="18"/>
              </w:rPr>
            </w:pPr>
            <w:r>
              <w:rPr>
                <w:rFonts w:cs="宋体"/>
                <w:b/>
                <w:bCs/>
                <w:color w:val="000000" w:themeColor="text1"/>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themeColor="text1"/>
                <w:sz w:val="18"/>
                <w:szCs w:val="18"/>
              </w:rPr>
            </w:pPr>
            <w:r>
              <w:rPr>
                <w:rFonts w:cs="宋体"/>
                <w:b/>
                <w:bCs/>
                <w:color w:val="000000" w:themeColor="text1"/>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34.42</w:t>
            </w: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2.03</w:t>
            </w: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14.69</w:t>
            </w: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27.97</w:t>
            </w: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35.49</w:t>
            </w: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23.16</w:t>
            </w: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11.63</w:t>
            </w: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0.35</w:t>
            </w: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8.38</w:t>
            </w: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0.28</w:t>
            </w: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13.93</w:t>
            </w: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1.88</w:t>
            </w: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1.10</w:t>
            </w: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themeColor="text1"/>
                <w:sz w:val="18"/>
                <w:szCs w:val="18"/>
              </w:rPr>
            </w:pPr>
            <w:r>
              <w:rPr>
                <w:rFonts w:cs="宋体"/>
                <w:b/>
                <w:bCs/>
                <w:color w:val="000000" w:themeColor="text1"/>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themeColor="text1"/>
                <w:sz w:val="18"/>
                <w:szCs w:val="18"/>
              </w:rPr>
            </w:pPr>
            <w:r>
              <w:rPr>
                <w:rFonts w:cs="宋体"/>
                <w:b/>
                <w:bCs/>
                <w:color w:val="000000" w:themeColor="text1"/>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8.74</w:t>
            </w: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0.53</w:t>
            </w: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themeColor="text1"/>
                <w:sz w:val="18"/>
                <w:szCs w:val="18"/>
              </w:rPr>
            </w:pPr>
            <w:r>
              <w:rPr>
                <w:rFonts w:cs="宋体"/>
                <w:b/>
                <w:bCs/>
                <w:color w:val="000000" w:themeColor="text1"/>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themeColor="text1"/>
                <w:sz w:val="18"/>
                <w:szCs w:val="18"/>
              </w:rPr>
            </w:pPr>
            <w:r>
              <w:rPr>
                <w:rFonts w:cs="宋体"/>
                <w:b/>
                <w:bCs/>
                <w:color w:val="000000" w:themeColor="text1"/>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7.80</w:t>
            </w: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0.60</w:t>
            </w: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3.12</w:t>
            </w: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5.09</w:t>
            </w: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color w:val="000000" w:themeColor="text1"/>
                <w:sz w:val="18"/>
                <w:szCs w:val="18"/>
              </w:rPr>
            </w:pPr>
            <w:r>
              <w:rPr>
                <w:rFonts w:cs="宋体"/>
                <w:color w:val="000000" w:themeColor="text1"/>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0.34</w:t>
            </w: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themeColor="text1"/>
                <w:sz w:val="18"/>
                <w:szCs w:val="18"/>
              </w:rPr>
            </w:pPr>
            <w:r>
              <w:rPr>
                <w:rFonts w:cs="宋体"/>
                <w:b/>
                <w:bCs/>
                <w:color w:val="000000" w:themeColor="text1"/>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themeColor="text1"/>
                <w:sz w:val="18"/>
                <w:szCs w:val="18"/>
              </w:rPr>
            </w:pPr>
            <w:r>
              <w:rPr>
                <w:rFonts w:cs="宋体"/>
                <w:b/>
                <w:bCs/>
                <w:color w:val="000000" w:themeColor="text1"/>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4.13</w:t>
            </w: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themeColor="text1"/>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themeColor="text1"/>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themeColor="text1"/>
                <w:sz w:val="18"/>
                <w:szCs w:val="18"/>
              </w:rPr>
            </w:pPr>
            <w:r>
              <w:rPr>
                <w:rFonts w:cs="宋体"/>
                <w:b/>
                <w:bCs/>
                <w:color w:val="000000" w:themeColor="text1"/>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themeColor="text1"/>
                <w:sz w:val="18"/>
                <w:szCs w:val="18"/>
              </w:rPr>
            </w:pPr>
            <w:r>
              <w:rPr>
                <w:rFonts w:cs="宋体"/>
                <w:b/>
                <w:bCs/>
                <w:color w:val="000000" w:themeColor="text1"/>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themeColor="text1"/>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themeColor="text1"/>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themeColor="text1"/>
                <w:sz w:val="18"/>
                <w:szCs w:val="18"/>
              </w:rPr>
            </w:pPr>
          </w:p>
        </w:tc>
      </w:tr>
      <w:tr>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themeColor="text1"/>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themeColor="text1"/>
                <w:sz w:val="18"/>
                <w:szCs w:val="18"/>
              </w:rPr>
            </w:pPr>
          </w:p>
        </w:tc>
      </w:tr>
      <w:tr>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themeColor="text1"/>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themeColor="text1"/>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themeColor="text1"/>
                <w:sz w:val="18"/>
                <w:szCs w:val="18"/>
              </w:rPr>
            </w:pPr>
          </w:p>
        </w:tc>
      </w:tr>
      <w:tr>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181.67</w:t>
            </w:r>
            <w:r>
              <w:rPr>
                <w:rFonts w:ascii="Times New Roman" w:hAnsi="Times New Roman"/>
                <w:color w:val="000000" w:themeColor="text1"/>
                <w:sz w:val="18"/>
              </w:rPr>
              <w:t xml:space="preserve"> </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15.25</w:t>
            </w:r>
            <w:r>
              <w:rPr>
                <w:rFonts w:ascii="Times New Roman" w:hAnsi="Times New Roman"/>
                <w:color w:val="000000" w:themeColor="text1"/>
                <w:sz w:val="18"/>
              </w:rPr>
              <w:t xml:space="preserve"> </w:t>
            </w:r>
          </w:p>
        </w:tc>
      </w:tr>
    </w:tbl>
    <w:p>
      <w:pPr>
        <w:spacing w:line="280" w:lineRule="exact"/>
        <w:rPr>
          <w:rFonts w:hint="default" w:cs="宋体"/>
          <w:color w:val="000000" w:themeColor="text1"/>
          <w:sz w:val="20"/>
          <w:szCs w:val="20"/>
        </w:rPr>
      </w:pPr>
      <w:r>
        <w:rPr>
          <w:rFonts w:cs="宋体"/>
          <w:color w:val="000000" w:themeColor="text1"/>
          <w:sz w:val="20"/>
          <w:szCs w:val="20"/>
        </w:rPr>
        <w:t>备注：1.本表反映部门本年度一般公共预算财政拨款基本支出明细情况。</w:t>
      </w:r>
      <w:r>
        <w:rPr>
          <w:rFonts w:cs="宋体"/>
          <w:color w:val="000000" w:themeColor="text1"/>
          <w:sz w:val="20"/>
          <w:szCs w:val="20"/>
        </w:rPr>
        <w:br w:type="textWrapping"/>
      </w:r>
      <w:r>
        <w:rPr>
          <w:rFonts w:cs="宋体"/>
          <w:color w:val="000000" w:themeColor="text1"/>
          <w:sz w:val="20"/>
          <w:szCs w:val="20"/>
        </w:rPr>
        <w:t xml:space="preserve">      2.本套报表金额单位转换时可能存在尾数误差。</w:t>
      </w:r>
      <w:r>
        <w:rPr>
          <w:rFonts w:cs="宋体"/>
          <w:color w:val="000000" w:themeColor="text1"/>
          <w:sz w:val="20"/>
          <w:szCs w:val="20"/>
        </w:rPr>
        <w:br w:type="textWrapping"/>
      </w:r>
      <w:r>
        <w:rPr>
          <w:rFonts w:cs="宋体"/>
          <w:color w:val="000000" w:themeColor="text1"/>
          <w:sz w:val="20"/>
          <w:szCs w:val="20"/>
        </w:rPr>
        <w:br w:type="textWrapping"/>
      </w:r>
      <w:r>
        <w:rPr>
          <w:rFonts w:cs="宋体"/>
          <w:color w:val="000000" w:themeColor="text1"/>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themeColor="text1"/>
                <w:sz w:val="32"/>
                <w:szCs w:val="32"/>
              </w:rPr>
            </w:pPr>
            <w:r>
              <w:rPr>
                <w:rFonts w:cs="宋体"/>
                <w:b/>
                <w:color w:val="000000" w:themeColor="text1"/>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themeColor="text1"/>
                <w:sz w:val="20"/>
                <w:szCs w:val="20"/>
              </w:rPr>
            </w:pPr>
            <w:r>
              <w:rPr>
                <w:rFonts w:cs="宋体"/>
                <w:color w:val="000000" w:themeColor="text1"/>
                <w:sz w:val="20"/>
                <w:szCs w:val="20"/>
              </w:rPr>
              <w:t>部门：</w:t>
            </w:r>
            <w:r>
              <w:rPr>
                <w:color w:val="000000" w:themeColor="text1"/>
                <w:sz w:val="20"/>
              </w:rPr>
              <w:t>垫江县妇女联合会</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themeColor="text1"/>
                <w:sz w:val="20"/>
                <w:szCs w:val="20"/>
              </w:rPr>
            </w:pPr>
            <w:r>
              <w:rPr>
                <w:rFonts w:cs="宋体"/>
                <w:color w:val="000000" w:themeColor="text1"/>
                <w:sz w:val="20"/>
                <w:szCs w:val="20"/>
              </w:rPr>
              <w:t>公开</w:t>
            </w:r>
            <w:r>
              <w:rPr>
                <w:rFonts w:hint="default" w:ascii="Times New Roman" w:hAnsi="Times New Roman"/>
                <w:color w:val="000000" w:themeColor="text1"/>
                <w:sz w:val="20"/>
                <w:szCs w:val="20"/>
              </w:rPr>
              <w:t>07</w:t>
            </w:r>
            <w:r>
              <w:rPr>
                <w:rFonts w:cs="宋体"/>
                <w:color w:val="000000" w:themeColor="text1"/>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themeColor="text1"/>
                <w:sz w:val="20"/>
                <w:szCs w:val="20"/>
              </w:rPr>
            </w:pPr>
            <w:r>
              <w:rPr>
                <w:rFonts w:cs="宋体"/>
                <w:color w:val="000000" w:themeColor="text1"/>
                <w:sz w:val="20"/>
                <w:szCs w:val="20"/>
              </w:rPr>
              <w:t>单位：万元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themeColor="text1"/>
                <w:sz w:val="20"/>
                <w:szCs w:val="20"/>
              </w:rPr>
            </w:pP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themeColor="text1"/>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r>
              <w:rPr>
                <w:rFonts w:ascii="Times New Roman" w:hAnsi="Times New Roman"/>
                <w:color w:val="000000" w:themeColor="text1"/>
                <w:sz w:val="20"/>
              </w:rPr>
              <w:t xml:space="preserve"> </w:t>
            </w:r>
          </w:p>
        </w:tc>
      </w:tr>
    </w:tbl>
    <w:p>
      <w:pPr>
        <w:rPr>
          <w:rFonts w:hint="default" w:cs="宋体"/>
          <w:color w:val="000000" w:themeColor="text1"/>
          <w:sz w:val="21"/>
          <w:szCs w:val="21"/>
        </w:rPr>
      </w:pPr>
      <w:r>
        <w:rPr>
          <w:rFonts w:cs="宋体"/>
          <w:color w:val="000000" w:themeColor="text1"/>
          <w:sz w:val="20"/>
          <w:szCs w:val="20"/>
        </w:rPr>
        <w:t>备注：本表反映部门本年度政府性基金预算财政拨款收入支出及结转和结余情况。本部门无政府性基金收支，故本表无数据。</w:t>
      </w:r>
      <w:r>
        <w:rPr>
          <w:rFonts w:cs="宋体"/>
          <w:color w:val="000000" w:themeColor="text1"/>
          <w:sz w:val="20"/>
          <w:szCs w:val="20"/>
        </w:rPr>
        <w:br w:type="textWrapping"/>
      </w:r>
      <w:r>
        <w:rPr>
          <w:rFonts w:cs="宋体"/>
          <w:color w:val="000000" w:themeColor="text1"/>
          <w:sz w:val="20"/>
          <w:szCs w:val="20"/>
        </w:rPr>
        <w:br w:type="textWrapping"/>
      </w:r>
    </w:p>
    <w:p>
      <w:pPr>
        <w:rPr>
          <w:rFonts w:hint="default" w:cs="宋体"/>
          <w:color w:val="000000" w:themeColor="text1"/>
          <w:sz w:val="21"/>
          <w:szCs w:val="21"/>
        </w:rPr>
      </w:pPr>
      <w:r>
        <w:rPr>
          <w:rFonts w:cs="宋体"/>
          <w:color w:val="000000" w:themeColor="text1"/>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themeColor="text1"/>
                <w:sz w:val="32"/>
                <w:szCs w:val="32"/>
              </w:rPr>
            </w:pPr>
            <w:r>
              <w:rPr>
                <w:rFonts w:cs="宋体"/>
                <w:b/>
                <w:color w:val="000000" w:themeColor="text1"/>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themeColor="text1"/>
                <w:sz w:val="20"/>
                <w:szCs w:val="20"/>
              </w:rPr>
            </w:pPr>
            <w:r>
              <w:rPr>
                <w:rFonts w:cs="宋体"/>
                <w:color w:val="000000" w:themeColor="text1"/>
                <w:sz w:val="20"/>
                <w:szCs w:val="20"/>
              </w:rPr>
              <w:t>部门：</w:t>
            </w:r>
            <w:r>
              <w:rPr>
                <w:color w:val="000000" w:themeColor="text1"/>
                <w:sz w:val="20"/>
              </w:rPr>
              <w:t>垫江县妇女联合会</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themeColor="text1"/>
                <w:sz w:val="20"/>
                <w:szCs w:val="20"/>
              </w:rPr>
            </w:pPr>
            <w:r>
              <w:rPr>
                <w:rFonts w:cs="宋体"/>
                <w:color w:val="000000" w:themeColor="text1"/>
                <w:sz w:val="20"/>
                <w:szCs w:val="20"/>
              </w:rPr>
              <w:t>公开</w:t>
            </w:r>
            <w:r>
              <w:rPr>
                <w:rFonts w:hint="default" w:ascii="Times New Roman" w:hAnsi="Times New Roman"/>
                <w:color w:val="000000" w:themeColor="text1"/>
                <w:sz w:val="20"/>
                <w:szCs w:val="20"/>
              </w:rPr>
              <w:t>08</w:t>
            </w:r>
            <w:r>
              <w:rPr>
                <w:rFonts w:cs="宋体"/>
                <w:color w:val="000000" w:themeColor="text1"/>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themeColor="text1"/>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themeColor="text1"/>
                <w:sz w:val="20"/>
                <w:szCs w:val="20"/>
              </w:rPr>
            </w:pPr>
            <w:r>
              <w:rPr>
                <w:rFonts w:cs="宋体"/>
                <w:color w:val="000000" w:themeColor="text1"/>
                <w:sz w:val="20"/>
                <w:szCs w:val="20"/>
              </w:rPr>
              <w:t>单位：万元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themeColor="text1"/>
                <w:sz w:val="20"/>
                <w:szCs w:val="20"/>
              </w:rPr>
            </w:pPr>
            <w:r>
              <w:rPr>
                <w:rFonts w:cs="宋体"/>
                <w:b/>
                <w:color w:val="000000" w:themeColor="text1"/>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themeColor="text1"/>
                <w:sz w:val="20"/>
                <w:szCs w:val="20"/>
              </w:rPr>
            </w:pPr>
            <w:r>
              <w:rPr>
                <w:rFonts w:cs="宋体"/>
                <w:b/>
                <w:color w:val="000000" w:themeColor="text1"/>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themeColor="text1"/>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themeColor="text1"/>
                <w:sz w:val="20"/>
                <w:szCs w:val="20"/>
              </w:rPr>
            </w:pPr>
            <w:r>
              <w:rPr>
                <w:rFonts w:cs="宋体"/>
                <w:b/>
                <w:color w:val="000000" w:themeColor="text1"/>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themeColor="text1"/>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r>
              <w:rPr>
                <w:rFonts w:ascii="Times New Roman" w:hAnsi="Times New Roman"/>
                <w:b/>
                <w:color w:val="000000" w:themeColor="text1"/>
                <w:sz w:val="20"/>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themeColor="text1"/>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themeColor="text1"/>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 xml:space="preserve">0.00 </w:t>
            </w:r>
          </w:p>
        </w:tc>
      </w:tr>
    </w:tbl>
    <w:p>
      <w:pPr>
        <w:rPr>
          <w:rFonts w:hint="default" w:cs="宋体"/>
          <w:color w:val="000000" w:themeColor="text1"/>
          <w:sz w:val="21"/>
          <w:szCs w:val="21"/>
        </w:rPr>
      </w:pPr>
      <w:r>
        <w:rPr>
          <w:rFonts w:cs="宋体"/>
          <w:color w:val="000000" w:themeColor="text1"/>
          <w:sz w:val="20"/>
          <w:szCs w:val="20"/>
        </w:rPr>
        <w:t>备注：本表反映部门本年度国有资本经营预算财政拨款支出情况。本部门无国有资本经营收支，故本表无数据。</w:t>
      </w:r>
      <w:r>
        <w:rPr>
          <w:rFonts w:cs="宋体"/>
          <w:color w:val="000000" w:themeColor="text1"/>
          <w:sz w:val="20"/>
          <w:szCs w:val="20"/>
        </w:rPr>
        <w:br w:type="textWrapping"/>
      </w:r>
      <w:r>
        <w:rPr>
          <w:rFonts w:cs="宋体"/>
          <w:color w:val="000000" w:themeColor="text1"/>
          <w:sz w:val="20"/>
          <w:szCs w:val="20"/>
        </w:rPr>
        <w:br w:type="textWrapping"/>
      </w:r>
    </w:p>
    <w:p>
      <w:pPr>
        <w:rPr>
          <w:rFonts w:hint="default" w:cs="宋体"/>
          <w:color w:val="000000" w:themeColor="text1"/>
          <w:sz w:val="21"/>
          <w:szCs w:val="21"/>
        </w:rPr>
      </w:pPr>
      <w:r>
        <w:rPr>
          <w:rFonts w:hint="default" w:cs="宋体"/>
          <w:color w:val="000000" w:themeColor="text1"/>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themeColor="text1"/>
                <w:kern w:val="2"/>
                <w:sz w:val="32"/>
                <w:szCs w:val="32"/>
              </w:rPr>
            </w:pPr>
            <w:r>
              <w:rPr>
                <w:rFonts w:cs="宋体"/>
                <w:b/>
                <w:color w:val="000000" w:themeColor="text1"/>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themeColor="text1"/>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themeColor="text1"/>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themeColor="text1"/>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themeColor="text1"/>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themeColor="text1"/>
                <w:kern w:val="2"/>
                <w:sz w:val="20"/>
                <w:szCs w:val="20"/>
              </w:rPr>
            </w:pPr>
            <w:r>
              <w:rPr>
                <w:rFonts w:cs="宋体"/>
                <w:color w:val="000000" w:themeColor="text1"/>
                <w:kern w:val="2"/>
                <w:sz w:val="20"/>
                <w:szCs w:val="20"/>
              </w:rPr>
              <w:t>公开</w:t>
            </w:r>
            <w:r>
              <w:rPr>
                <w:rFonts w:hint="default" w:ascii="Times New Roman" w:hAnsi="Times New Roman"/>
                <w:color w:val="000000" w:themeColor="text1"/>
                <w:kern w:val="2"/>
                <w:sz w:val="20"/>
                <w:szCs w:val="20"/>
              </w:rPr>
              <w:t>09</w:t>
            </w:r>
            <w:r>
              <w:rPr>
                <w:rFonts w:cs="宋体"/>
                <w:color w:val="000000" w:themeColor="text1"/>
                <w:kern w:val="2"/>
                <w:sz w:val="20"/>
                <w:szCs w:val="20"/>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themeColor="text1"/>
                <w:kern w:val="2"/>
                <w:sz w:val="20"/>
                <w:szCs w:val="20"/>
              </w:rPr>
            </w:pPr>
            <w:r>
              <w:rPr>
                <w:rFonts w:cs="宋体"/>
                <w:color w:val="000000" w:themeColor="text1"/>
                <w:sz w:val="20"/>
                <w:szCs w:val="20"/>
              </w:rPr>
              <w:t>部门</w:t>
            </w:r>
            <w:r>
              <w:rPr>
                <w:rFonts w:cs="宋体"/>
                <w:color w:val="000000" w:themeColor="text1"/>
                <w:kern w:val="2"/>
                <w:sz w:val="20"/>
                <w:szCs w:val="20"/>
              </w:rPr>
              <w:t>：</w:t>
            </w:r>
            <w:r>
              <w:rPr>
                <w:color w:val="000000" w:themeColor="text1"/>
                <w:sz w:val="20"/>
              </w:rPr>
              <w:t>垫江县妇女联合会</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themeColor="text1"/>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themeColor="text1"/>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themeColor="text1"/>
                <w:kern w:val="2"/>
                <w:sz w:val="20"/>
                <w:szCs w:val="20"/>
              </w:rPr>
            </w:pPr>
            <w:r>
              <w:rPr>
                <w:rFonts w:cs="宋体"/>
                <w:color w:val="000000" w:themeColor="text1"/>
                <w:kern w:val="2"/>
                <w:sz w:val="20"/>
                <w:szCs w:val="20"/>
              </w:rPr>
              <w:t>单位：万元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themeColor="text1"/>
                <w:kern w:val="2"/>
                <w:sz w:val="16"/>
                <w:szCs w:val="16"/>
              </w:rPr>
            </w:pPr>
            <w:r>
              <w:rPr>
                <w:rFonts w:cs="宋体"/>
                <w:b/>
                <w:color w:val="000000" w:themeColor="text1"/>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themeColor="text1"/>
                <w:kern w:val="2"/>
                <w:sz w:val="16"/>
                <w:szCs w:val="16"/>
              </w:rPr>
            </w:pPr>
            <w:r>
              <w:rPr>
                <w:rFonts w:cs="宋体"/>
                <w:b/>
                <w:color w:val="000000" w:themeColor="text1"/>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themeColor="text1"/>
                <w:kern w:val="2"/>
                <w:sz w:val="16"/>
                <w:szCs w:val="16"/>
              </w:rPr>
            </w:pPr>
            <w:r>
              <w:rPr>
                <w:rFonts w:cs="宋体"/>
                <w:b/>
                <w:color w:val="000000" w:themeColor="text1"/>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themeColor="text1"/>
                <w:kern w:val="2"/>
                <w:sz w:val="16"/>
                <w:szCs w:val="16"/>
              </w:rPr>
            </w:pPr>
            <w:r>
              <w:rPr>
                <w:rFonts w:cs="宋体"/>
                <w:b/>
                <w:color w:val="000000" w:themeColor="text1"/>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themeColor="text1"/>
                <w:kern w:val="2"/>
                <w:sz w:val="16"/>
                <w:szCs w:val="16"/>
              </w:rPr>
            </w:pPr>
            <w:r>
              <w:rPr>
                <w:rFonts w:cs="宋体"/>
                <w:b/>
                <w:color w:val="000000" w:themeColor="text1"/>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themeColor="text1"/>
                <w:kern w:val="2"/>
                <w:sz w:val="16"/>
                <w:szCs w:val="16"/>
              </w:rPr>
            </w:pPr>
            <w:r>
              <w:rPr>
                <w:rFonts w:cs="宋体"/>
                <w:b/>
                <w:color w:val="000000" w:themeColor="text1"/>
                <w:kern w:val="2"/>
                <w:sz w:val="16"/>
                <w:szCs w:val="16"/>
              </w:rPr>
              <w:t>一、</w:t>
            </w:r>
            <w:r>
              <w:rPr>
                <w:rFonts w:hint="eastAsia" w:cs="宋体"/>
                <w:b/>
                <w:color w:val="000000" w:themeColor="text1"/>
                <w:kern w:val="2"/>
                <w:sz w:val="16"/>
                <w:szCs w:val="16"/>
                <w:lang w:eastAsia="zh-CN"/>
              </w:rPr>
              <w:t>三公</w:t>
            </w:r>
            <w:r>
              <w:rPr>
                <w:rFonts w:cs="宋体"/>
                <w:b/>
                <w:color w:val="000000" w:themeColor="text1"/>
                <w:kern w:val="2"/>
                <w:sz w:val="16"/>
                <w:szCs w:val="16"/>
              </w:rPr>
              <w:t>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themeColor="text1"/>
                <w:kern w:val="2"/>
                <w:sz w:val="16"/>
                <w:szCs w:val="16"/>
              </w:rPr>
            </w:pPr>
            <w:r>
              <w:rPr>
                <w:rFonts w:cs="宋体"/>
                <w:b/>
                <w:color w:val="000000" w:themeColor="text1"/>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11.89</w:t>
            </w: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0.53</w:t>
            </w:r>
            <w:r>
              <w:rPr>
                <w:rFonts w:ascii="Times New Roman" w:hAnsi="Times New Roman"/>
                <w:color w:val="000000" w:themeColor="text1"/>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0.53</w:t>
            </w: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11.89</w:t>
            </w: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0.53</w:t>
            </w:r>
            <w:r>
              <w:rPr>
                <w:rFonts w:ascii="Times New Roman" w:hAnsi="Times New Roman"/>
                <w:color w:val="000000" w:themeColor="text1"/>
                <w:sz w:val="18"/>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0.53</w:t>
            </w: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0.53</w:t>
            </w: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14</w:t>
            </w: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39</w:t>
            </w: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ascii="Times New Roman" w:hAnsi="Times New Roman"/>
                <w:color w:val="000000" w:themeColor="text1"/>
                <w:sz w:val="18"/>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themeColor="text1"/>
                <w:kern w:val="2"/>
                <w:sz w:val="16"/>
                <w:szCs w:val="16"/>
              </w:rPr>
            </w:pPr>
            <w:r>
              <w:rPr>
                <w:rFonts w:cs="宋体"/>
                <w:b/>
                <w:color w:val="000000" w:themeColor="text1"/>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themeColor="text1"/>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themeColor="text1"/>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themeColor="text1"/>
                <w:kern w:val="2"/>
                <w:sz w:val="16"/>
                <w:szCs w:val="16"/>
              </w:rPr>
            </w:pPr>
            <w:r>
              <w:rPr>
                <w:rFonts w:cs="宋体"/>
                <w:b/>
                <w:color w:val="000000" w:themeColor="text1"/>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kern w:val="2"/>
                <w:sz w:val="18"/>
                <w:szCs w:val="18"/>
              </w:rPr>
            </w:pP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themeColor="text1"/>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themeColor="text1"/>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themeColor="text1"/>
                <w:sz w:val="16"/>
                <w:szCs w:val="16"/>
              </w:rPr>
            </w:pPr>
            <w:r>
              <w:rPr>
                <w:rFonts w:cs="宋体"/>
                <w:b/>
                <w:bCs/>
                <w:color w:val="000000" w:themeColor="text1"/>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1.70</w:t>
            </w:r>
            <w:r>
              <w:rPr>
                <w:rFonts w:ascii="Times New Roman" w:hAnsi="Times New Roman"/>
                <w:color w:val="000000" w:themeColor="text1"/>
                <w:sz w:val="18"/>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themeColor="text1"/>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themeColor="text1"/>
                <w:sz w:val="16"/>
                <w:szCs w:val="16"/>
              </w:rPr>
            </w:pPr>
          </w:p>
        </w:tc>
      </w:tr>
    </w:tbl>
    <w:p>
      <w:pPr>
        <w:rPr>
          <w:rFonts w:hint="default" w:cs="宋体"/>
          <w:color w:val="000000" w:themeColor="text1"/>
          <w:sz w:val="18"/>
          <w:szCs w:val="18"/>
        </w:rPr>
      </w:pPr>
      <w:r>
        <w:rPr>
          <w:rFonts w:cs="宋体"/>
          <w:color w:val="000000" w:themeColor="text1"/>
          <w:sz w:val="18"/>
          <w:szCs w:val="18"/>
        </w:rPr>
        <w:t>备注：1.本表反映部门本年度财政拨款</w:t>
      </w:r>
      <w:r>
        <w:rPr>
          <w:rFonts w:hint="eastAsia" w:cs="宋体"/>
          <w:color w:val="000000" w:themeColor="text1"/>
          <w:sz w:val="18"/>
          <w:szCs w:val="18"/>
          <w:lang w:eastAsia="zh-CN"/>
        </w:rPr>
        <w:t>三公</w:t>
      </w:r>
      <w:r>
        <w:rPr>
          <w:rFonts w:cs="宋体"/>
          <w:color w:val="000000" w:themeColor="text1"/>
          <w:sz w:val="18"/>
          <w:szCs w:val="18"/>
        </w:rPr>
        <w:t>经费支出预决算情况。其中，预算数为</w:t>
      </w:r>
      <w:r>
        <w:rPr>
          <w:rFonts w:hint="eastAsia" w:cs="宋体"/>
          <w:color w:val="000000" w:themeColor="text1"/>
          <w:sz w:val="18"/>
          <w:szCs w:val="18"/>
          <w:lang w:eastAsia="zh-CN"/>
        </w:rPr>
        <w:t>三公</w:t>
      </w:r>
      <w:r>
        <w:rPr>
          <w:rFonts w:cs="宋体"/>
          <w:color w:val="000000" w:themeColor="text1"/>
          <w:sz w:val="18"/>
          <w:szCs w:val="18"/>
        </w:rPr>
        <w:t>经费全年预算数，反映按规定程序调整后的预算数；决算数为包括本年度财政拨款和以前年度结转资金安排的实际支出。</w:t>
      </w:r>
      <w:r>
        <w:rPr>
          <w:rFonts w:cs="宋体"/>
          <w:color w:val="000000" w:themeColor="text1"/>
          <w:sz w:val="18"/>
          <w:szCs w:val="18"/>
        </w:rPr>
        <w:br w:type="textWrapping"/>
      </w:r>
      <w:r>
        <w:rPr>
          <w:rFonts w:cs="宋体"/>
          <w:color w:val="000000" w:themeColor="text1"/>
          <w:sz w:val="18"/>
          <w:szCs w:val="18"/>
        </w:rPr>
        <w:t xml:space="preserve">      2.本套报表金额单位转换时可能存在尾数误差。</w:t>
      </w:r>
      <w:r>
        <w:rPr>
          <w:rFonts w:cs="宋体"/>
          <w:color w:val="000000" w:themeColor="text1"/>
          <w:sz w:val="18"/>
          <w:szCs w:val="18"/>
        </w:rPr>
        <w:br w:type="textWrapping"/>
      </w:r>
      <w:r>
        <w:rPr>
          <w:rFonts w:cs="宋体"/>
          <w:color w:val="000000" w:themeColor="text1"/>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文本框 1" o:spid="_x0000_s2053"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kNmIwODI1Y2QwNGQxZDFhYmRhZWMyNWM5ZTJhMjU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37908"/>
    <w:rsid w:val="00550ABE"/>
    <w:rsid w:val="005B023C"/>
    <w:rsid w:val="00600322"/>
    <w:rsid w:val="006137D7"/>
    <w:rsid w:val="00634FA8"/>
    <w:rsid w:val="0063613A"/>
    <w:rsid w:val="0068170B"/>
    <w:rsid w:val="006E2034"/>
    <w:rsid w:val="00732392"/>
    <w:rsid w:val="00792285"/>
    <w:rsid w:val="007A0D2E"/>
    <w:rsid w:val="007A3314"/>
    <w:rsid w:val="007B419D"/>
    <w:rsid w:val="007C5C5B"/>
    <w:rsid w:val="007D4127"/>
    <w:rsid w:val="00810F13"/>
    <w:rsid w:val="00826B47"/>
    <w:rsid w:val="008732CD"/>
    <w:rsid w:val="00893689"/>
    <w:rsid w:val="00940231"/>
    <w:rsid w:val="00944711"/>
    <w:rsid w:val="009574D5"/>
    <w:rsid w:val="009821E3"/>
    <w:rsid w:val="00984852"/>
    <w:rsid w:val="009B37A6"/>
    <w:rsid w:val="009B67B8"/>
    <w:rsid w:val="009D1C18"/>
    <w:rsid w:val="00A03B1E"/>
    <w:rsid w:val="00A365F9"/>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4701FA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4029D1"/>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394498"/>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425142"/>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DCA1BE6"/>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24C90"/>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859DF"/>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0C3A75"/>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423B4F"/>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2817F5"/>
    <w:rsid w:val="663F505A"/>
    <w:rsid w:val="66967186"/>
    <w:rsid w:val="66EE5541"/>
    <w:rsid w:val="67832897"/>
    <w:rsid w:val="67924660"/>
    <w:rsid w:val="683200C2"/>
    <w:rsid w:val="68407834"/>
    <w:rsid w:val="6883293E"/>
    <w:rsid w:val="688412AD"/>
    <w:rsid w:val="68EB1B71"/>
    <w:rsid w:val="69475C96"/>
    <w:rsid w:val="69597DE4"/>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6A7390"/>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BD135A"/>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link w:val="17"/>
    <w:qFormat/>
    <w:uiPriority w:val="99"/>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character" w:customStyle="1" w:styleId="17">
    <w:name w:val="页眉 字符"/>
    <w:basedOn w:val="9"/>
    <w:link w:val="4"/>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9568</Words>
  <Characters>12116</Characters>
  <Lines>107</Lines>
  <Paragraphs>30</Paragraphs>
  <TotalTime>23</TotalTime>
  <ScaleCrop>false</ScaleCrop>
  <LinksUpToDate>false</LinksUpToDate>
  <CharactersWithSpaces>13203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毕欢</cp:lastModifiedBy>
  <dcterms:modified xsi:type="dcterms:W3CDTF">2025-09-16T09:38:05Z</dcterms:modified>
  <dc:title>垫江县妇女联合会</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