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垫江县妇女联合会（本级）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482" w:firstLineChars="15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pacing w:before="0" w:beforeAutospacing="0" w:after="0" w:afterAutospacing="0" w:line="596" w:lineRule="exact"/>
        <w:ind w:firstLine="321" w:firstLineChars="100"/>
        <w:rPr>
          <w:rFonts w:hint="default" w:ascii="方正小标宋_GBK" w:hAnsi="方正小标宋_GBK" w:eastAsia="方正小标宋_GBK" w:cs="方正小标宋_GBK"/>
          <w:color w:val="000000" w:themeColor="text1"/>
          <w:sz w:val="44"/>
          <w:szCs w:val="44"/>
          <w:shd w:val="clear" w:color="auto" w:fill="FFFFFF"/>
        </w:rPr>
      </w:pPr>
      <w:r>
        <w:rPr>
          <w:rStyle w:val="10"/>
          <w:rFonts w:ascii="楷体" w:hAnsi="楷体" w:eastAsia="楷体" w:cs="楷体"/>
          <w:sz w:val="32"/>
          <w:szCs w:val="32"/>
          <w:shd w:val="clear" w:color="auto" w:fill="FFFFFF"/>
        </w:rPr>
        <w:t>（一）职能职责</w:t>
      </w:r>
    </w:p>
    <w:p>
      <w:pPr>
        <w:pStyle w:val="6"/>
        <w:shd w:val="clear" w:color="auto" w:fill="FFFFFF"/>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一是坚持党的领导。坚决贯</w:t>
      </w:r>
      <w:r>
        <w:rPr>
          <w:rFonts w:hint="eastAsia" w:ascii="方正仿宋_GBK" w:hAnsi="方正仿宋_GBK" w:eastAsia="方正仿宋_GBK" w:cs="方正仿宋_GBK"/>
          <w:color w:val="000000" w:themeColor="text1"/>
          <w:sz w:val="32"/>
          <w:szCs w:val="32"/>
          <w:shd w:val="clear" w:color="auto" w:fill="FFFFFF"/>
          <w:lang w:eastAsia="zh-CN"/>
        </w:rPr>
        <w:t>彻</w:t>
      </w:r>
      <w:r>
        <w:rPr>
          <w:rFonts w:ascii="方正仿宋_GBK" w:hAnsi="方正仿宋_GBK" w:eastAsia="方正仿宋_GBK" w:cs="方正仿宋_GBK"/>
          <w:color w:val="000000" w:themeColor="text1"/>
          <w:sz w:val="32"/>
          <w:szCs w:val="32"/>
          <w:shd w:val="clear" w:color="auto" w:fill="FFFFFF"/>
        </w:rPr>
        <w:t>党的意志和主张，坚定不移走中国特色社会主义妇联发展道路，切实增强妇联工作的政治性和妇联组织的先进性群众性，汇聚全县广大妇女群众推进社会主义现代化建设的强大动力。二是加强对广大妇女群众的政治引领和思想引导。切实承担引导广大妇女群众听党话、跟党走的政治任务，把妇女群众最广泛最紧密地团结在党的周围，引导广大妇女弘扬中华民族传统美德和自尊自信自立自强精神，培育良好家风。三是依法依章程独立自主开展工作。按照县委、全国妇联和市妇联的要求，指导全县各级妇联按照《中华全国妇女联合会章程》和妇女代表大会的决议，开展妇女儿童工作。四是团结动员广大妇女群众干事创业。组织动员广大妇女群众围绕中心、服务大局。积极主动参与党委、政府各项工作，把妇女半边天作用转化为促进经济社会发展的强大力量。五是突出妇联代表和维护妇女合法权益、促进男女平等职责，服务妇女发展、提升妇女素质。代表广大妇女群众参与相关法律法规和政策的制定，帮助妇女群众通过合法渠道、正常途径，合理伸张利益诉求，促进社会公平正义。六是拓展妇联职责覆盖和工作覆盖。适应人口流动、新兴群体发展等新情况，以社区、农村、家庭为主阵地，加强对乡镇(街道)、村(社区)等妇女群众集中区域的组织覆盖，在留守妇女儿童相对较多的镇街加强妇联基层组织建设。积极探索开展网上妇联工作，创新活动开展和工作评价机制。巩固和扩大妇女统战工作。联系团体会员。七是积极参与社会管理。切实发挥妇联参与社会管理事务管理服务作用，按照法定程序承担转移的社会管理服务职能，打造妇联工作服务品牌，发挥维护社会和谐稳定的作用，动员和组织妇女群众主动参与社会治安综合治理、矛盾纠纷化解等。发挥民主参与和社会监督作用，积极代表和组织妇女群众参与协商民主，有序参与基层民主自治和企事业单位民主管理。 八是研究指导妇联自身改革和建设。加强理论政策研究，调查、研究全县城乡妇女儿童状况、问题，及时为县委、县政府研究决策提出建议。加强宣传，营造有利于妇女全面发展的社会氛围。表彰、宣传先进妇女，培养推荐女性人才，开展妇女干部培训，协助管理下一级妇联组织领导干部。</w:t>
      </w:r>
    </w:p>
    <w:p>
      <w:pPr>
        <w:pStyle w:val="6"/>
        <w:shd w:val="clear" w:color="auto" w:fill="FFFFFF"/>
        <w:ind w:firstLine="643" w:firstLineChars="200"/>
        <w:rPr>
          <w:rFonts w:hint="default" w:ascii="楷体" w:hAnsi="楷体" w:eastAsia="楷体" w:cs="楷体"/>
          <w:color w:val="000000" w:themeColor="text1"/>
          <w:sz w:val="32"/>
          <w:szCs w:val="32"/>
        </w:rPr>
      </w:pPr>
      <w:r>
        <w:rPr>
          <w:rStyle w:val="10"/>
          <w:rFonts w:ascii="楷体" w:hAnsi="楷体" w:eastAsia="楷体" w:cs="楷体"/>
          <w:color w:val="000000" w:themeColor="text1"/>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垫江县妇女联合会现有内设科室2个:办公室、维权部。下属事业单位1个:垫江县妇女儿童服务中心。</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县妇联人员构成情况:机关行政编制4名(实有4人)，其中主席1名，副主席2名，科员1名，下属单位事业编制4名(实有4人)。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二、单位决算收支情况说明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1.总体情况。</w:t>
      </w:r>
      <w:r>
        <w:rPr>
          <w:rFonts w:ascii="方正仿宋_GBK" w:hAnsi="方正仿宋_GBK" w:eastAsia="方正仿宋_GBK" w:cs="方正仿宋_GBK"/>
          <w:color w:val="000000" w:themeColor="text1"/>
          <w:sz w:val="32"/>
          <w:szCs w:val="32"/>
          <w:shd w:val="clear" w:color="auto" w:fill="FFFFFF"/>
        </w:rPr>
        <w:t>2024年度收入总计200.25万元，支出总计</w:t>
      </w:r>
      <w:r>
        <w:rPr>
          <w:rFonts w:ascii="方正仿宋_GBK" w:hAnsi="方正仿宋_GBK" w:eastAsia="方正仿宋_GBK" w:cs="方正仿宋_GBK"/>
          <w:color w:val="000000" w:themeColor="text1"/>
          <w:sz w:val="32"/>
          <w:szCs w:val="32"/>
        </w:rPr>
        <w:t>200.25</w:t>
      </w:r>
      <w:r>
        <w:rPr>
          <w:rFonts w:ascii="方正仿宋_GBK" w:hAnsi="方正仿宋_GBK" w:eastAsia="方正仿宋_GBK" w:cs="方正仿宋_GBK"/>
          <w:color w:val="000000" w:themeColor="text1"/>
          <w:sz w:val="32"/>
          <w:szCs w:val="32"/>
          <w:shd w:val="clear" w:color="auto" w:fill="FFFFFF"/>
        </w:rPr>
        <w:t>万元。收、支与2023年度相比，增加15.53万元，增长8.4%，主要原因是新增家庭教育项目，新招录公务员。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2.收入情况。</w:t>
      </w:r>
      <w:r>
        <w:rPr>
          <w:rFonts w:ascii="方正仿宋_GBK" w:hAnsi="方正仿宋_GBK" w:eastAsia="方正仿宋_GBK" w:cs="方正仿宋_GBK"/>
          <w:color w:val="000000" w:themeColor="text1"/>
          <w:sz w:val="32"/>
          <w:szCs w:val="32"/>
          <w:shd w:val="clear" w:color="auto" w:fill="FFFFFF"/>
        </w:rPr>
        <w:t>2024年度收入合计200.25万元，与2023年度相比，增加35.43万元，增长21.5%，主要原因是新增家庭教育项目，新招录公务员。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200.25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3.支出情况。</w:t>
      </w:r>
      <w:r>
        <w:rPr>
          <w:rFonts w:ascii="方正仿宋_GBK" w:hAnsi="方正仿宋_GBK" w:eastAsia="方正仿宋_GBK" w:cs="方正仿宋_GBK"/>
          <w:color w:val="000000" w:themeColor="text1"/>
          <w:sz w:val="32"/>
          <w:szCs w:val="32"/>
          <w:shd w:val="clear" w:color="auto" w:fill="FFFFFF"/>
        </w:rPr>
        <w:t>2024年度支出合计</w:t>
      </w:r>
      <w:r>
        <w:rPr>
          <w:rFonts w:ascii="方正仿宋_GBK" w:hAnsi="方正仿宋_GBK" w:eastAsia="方正仿宋_GBK" w:cs="方正仿宋_GBK"/>
          <w:color w:val="000000" w:themeColor="text1"/>
          <w:sz w:val="32"/>
          <w:szCs w:val="32"/>
        </w:rPr>
        <w:t>200.25</w:t>
      </w:r>
      <w:r>
        <w:rPr>
          <w:rFonts w:ascii="方正仿宋_GBK" w:hAnsi="方正仿宋_GBK" w:eastAsia="方正仿宋_GBK" w:cs="方正仿宋_GBK"/>
          <w:color w:val="000000" w:themeColor="text1"/>
          <w:sz w:val="32"/>
          <w:szCs w:val="32"/>
          <w:shd w:val="clear" w:color="auto" w:fill="FFFFFF"/>
        </w:rPr>
        <w:t>万元，与2023年度相比，增加15.53万元，增长8.4%，主要原因是新增家庭教育项目，新招录公务员。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118.85</w:t>
      </w:r>
      <w:r>
        <w:rPr>
          <w:rFonts w:ascii="方正仿宋_GBK" w:hAnsi="方正仿宋_GBK" w:eastAsia="方正仿宋_GBK" w:cs="方正仿宋_GBK"/>
          <w:sz w:val="32"/>
          <w:szCs w:val="32"/>
          <w:shd w:val="clear" w:color="auto" w:fill="FFFFFF"/>
        </w:rPr>
        <w:t>万元，占59.4%；项目支出</w:t>
      </w:r>
      <w:r>
        <w:rPr>
          <w:rFonts w:ascii="方正仿宋_GBK" w:hAnsi="方正仿宋_GBK" w:eastAsia="方正仿宋_GBK" w:cs="方正仿宋_GBK"/>
          <w:sz w:val="32"/>
          <w:szCs w:val="32"/>
        </w:rPr>
        <w:t>81.40</w:t>
      </w:r>
      <w:r>
        <w:rPr>
          <w:rFonts w:ascii="方正仿宋_GBK" w:hAnsi="方正仿宋_GBK" w:eastAsia="方正仿宋_GBK" w:cs="方正仿宋_GBK"/>
          <w:sz w:val="32"/>
          <w:szCs w:val="32"/>
          <w:shd w:val="clear" w:color="auto" w:fill="FFFFFF"/>
        </w:rPr>
        <w:t>万元，占40.7%；经营支出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4.结转结余情况。</w:t>
      </w:r>
      <w:r>
        <w:rPr>
          <w:rFonts w:ascii="方正仿宋_GBK" w:hAnsi="方正仿宋_GBK" w:eastAsia="方正仿宋_GBK" w:cs="方正仿宋_GBK"/>
          <w:color w:val="000000" w:themeColor="text1"/>
          <w:sz w:val="32"/>
          <w:szCs w:val="32"/>
          <w:shd w:val="clear" w:color="auto" w:fill="FFFFFF"/>
        </w:rPr>
        <w:t>2024年度年末结转和结余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eastAsia="方正仿宋_GBK"/>
          <w:color w:val="000000" w:themeColor="text1"/>
          <w:sz w:val="32"/>
          <w:szCs w:val="32"/>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2024年度财政拨款收、支总计200.25万元。与2023年相比，财政拨款收、支总计各增加15.53万元，增长8.4%。主要原因是新增家庭教育项目，新招录公务员。</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1.收入情况。</w:t>
      </w:r>
      <w:r>
        <w:rPr>
          <w:rFonts w:ascii="方正仿宋_GBK" w:hAnsi="方正仿宋_GBK" w:eastAsia="方正仿宋_GBK" w:cs="方正仿宋_GBK"/>
          <w:color w:val="000000" w:themeColor="text1"/>
          <w:sz w:val="32"/>
          <w:szCs w:val="32"/>
          <w:shd w:val="clear" w:color="auto" w:fill="FFFFFF"/>
        </w:rPr>
        <w:t>2024年度一般公共预算财政拨款收入</w:t>
      </w:r>
      <w:r>
        <w:rPr>
          <w:rFonts w:ascii="方正仿宋_GBK" w:hAnsi="方正仿宋_GBK" w:eastAsia="方正仿宋_GBK" w:cs="方正仿宋_GBK"/>
          <w:color w:val="000000" w:themeColor="text1"/>
          <w:sz w:val="32"/>
          <w:szCs w:val="32"/>
        </w:rPr>
        <w:t>200.25</w:t>
      </w:r>
      <w:r>
        <w:rPr>
          <w:rFonts w:ascii="方正仿宋_GBK" w:hAnsi="方正仿宋_GBK" w:eastAsia="方正仿宋_GBK" w:cs="方正仿宋_GBK"/>
          <w:color w:val="000000" w:themeColor="text1"/>
          <w:sz w:val="32"/>
          <w:szCs w:val="32"/>
          <w:shd w:val="clear" w:color="auto" w:fill="FFFFFF"/>
        </w:rPr>
        <w:t>万元，与2023年度相比，增加35.43万元，增长21.5%。主要原因是新增家庭教育项目，新招录公务员。较年初预算数减少10.51万元，下降5.0%。主要原因是项目资金减少。此外，年初财政拨款结转和结余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2.支出情况。</w:t>
      </w:r>
      <w:r>
        <w:rPr>
          <w:rFonts w:ascii="方正仿宋_GBK" w:hAnsi="方正仿宋_GBK" w:eastAsia="方正仿宋_GBK" w:cs="方正仿宋_GBK"/>
          <w:color w:val="000000" w:themeColor="text1"/>
          <w:sz w:val="32"/>
          <w:szCs w:val="32"/>
          <w:shd w:val="clear" w:color="auto" w:fill="FFFFFF"/>
        </w:rPr>
        <w:t>2024年度一般公共预算财政拨款支出</w:t>
      </w:r>
      <w:r>
        <w:rPr>
          <w:rFonts w:ascii="方正仿宋_GBK" w:hAnsi="方正仿宋_GBK" w:eastAsia="方正仿宋_GBK" w:cs="方正仿宋_GBK"/>
          <w:color w:val="000000" w:themeColor="text1"/>
          <w:sz w:val="32"/>
          <w:szCs w:val="32"/>
        </w:rPr>
        <w:t>200.25</w:t>
      </w:r>
      <w:r>
        <w:rPr>
          <w:rFonts w:ascii="方正仿宋_GBK" w:hAnsi="方正仿宋_GBK" w:eastAsia="方正仿宋_GBK" w:cs="方正仿宋_GBK"/>
          <w:color w:val="000000" w:themeColor="text1"/>
          <w:sz w:val="32"/>
          <w:szCs w:val="32"/>
          <w:shd w:val="clear" w:color="auto" w:fill="FFFFFF"/>
        </w:rPr>
        <w:t>万元，与2023年度相比，增加15.53万元，增长8.4%。主要原因是增家庭教育项目。较年初预算数减少10.51万元，下降5.0%。主要原因是项目资金减少。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3.结转结余情况。</w:t>
      </w:r>
      <w:r>
        <w:rPr>
          <w:rFonts w:ascii="方正仿宋_GBK" w:hAnsi="方正仿宋_GBK" w:eastAsia="方正仿宋_GBK" w:cs="方正仿宋_GBK"/>
          <w:color w:val="000000" w:themeColor="text1"/>
          <w:sz w:val="32"/>
          <w:szCs w:val="32"/>
          <w:shd w:val="clear" w:color="auto" w:fill="FFFFFF"/>
        </w:rPr>
        <w:t>2024年度年末一般公共预算财政拨款结转和结余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eastAsia="方正仿宋_GBK"/>
          <w:color w:val="000000" w:themeColor="text1"/>
          <w:sz w:val="32"/>
          <w:szCs w:val="32"/>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highlight w:val="cyan"/>
          <w:shd w:val="clear" w:color="auto" w:fill="FFFFFF"/>
        </w:rPr>
      </w:pPr>
      <w:r>
        <w:rPr>
          <w:rStyle w:val="10"/>
          <w:rFonts w:ascii="方正仿宋_GBK" w:hAnsi="方正仿宋_GBK" w:eastAsia="方正仿宋_GBK" w:cs="方正仿宋_GBK"/>
          <w:color w:val="000000" w:themeColor="text1"/>
          <w:sz w:val="32"/>
          <w:szCs w:val="32"/>
          <w:shd w:val="clear" w:color="auto" w:fill="FFFFFF"/>
        </w:rPr>
        <w:t xml:space="preserve"> 4.比较情况。</w:t>
      </w:r>
      <w:r>
        <w:rPr>
          <w:rFonts w:ascii="方正仿宋_GBK" w:hAnsi="方正仿宋_GBK" w:eastAsia="方正仿宋_GBK" w:cs="方正仿宋_GBK"/>
          <w:color w:val="000000" w:themeColor="text1"/>
          <w:sz w:val="32"/>
          <w:szCs w:val="32"/>
          <w:shd w:val="clear" w:color="auto" w:fill="FFFFFF"/>
        </w:rPr>
        <w:t>本部门2024年度一般公共预算财政拨款支出主要用于以下几个方面：</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158.12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79.0%</w:t>
      </w:r>
      <w:r>
        <w:rPr>
          <w:rFonts w:ascii="方正仿宋_GBK" w:hAnsi="方正仿宋_GBK" w:eastAsia="方正仿宋_GBK" w:cs="方正仿宋_GBK"/>
          <w:sz w:val="32"/>
          <w:szCs w:val="32"/>
          <w:shd w:val="clear" w:color="auto" w:fill="FFFFFF"/>
        </w:rPr>
        <w:t>，较年初预算数减少17.65万元，下降10.0%，</w:t>
      </w:r>
      <w:r>
        <w:rPr>
          <w:rFonts w:hint="default" w:ascii="方正仿宋_GBK" w:hAnsi="方正仿宋_GBK" w:eastAsia="方正仿宋_GBK" w:cs="方正仿宋_GBK"/>
          <w:color w:val="000000" w:themeColor="text1"/>
          <w:sz w:val="32"/>
          <w:szCs w:val="32"/>
          <w:shd w:val="clear" w:color="auto" w:fill="FFFFFF"/>
        </w:rPr>
        <w:t>主要原因是调整用于弥补人员经费，补交养老保险和职业年金等。</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，较年初预算数减少0.31万元，下降100.0%，</w:t>
      </w:r>
      <w:r>
        <w:rPr>
          <w:rFonts w:hint="default" w:ascii="方正仿宋_GBK" w:hAnsi="方正仿宋_GBK" w:eastAsia="方正仿宋_GBK" w:cs="方正仿宋_GBK"/>
          <w:color w:val="000000" w:themeColor="text1"/>
          <w:sz w:val="32"/>
          <w:szCs w:val="32"/>
          <w:shd w:val="clear" w:color="auto" w:fill="FFFFFF"/>
        </w:rPr>
        <w:t>主要原因调整用于弥补人员经费，补交养老保险和职业年金等。</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，较年初预算数增加7.45万元，增长34.1%，</w:t>
      </w:r>
      <w:r>
        <w:rPr>
          <w:rFonts w:hint="default" w:ascii="方正仿宋_GBK" w:hAnsi="方正仿宋_GBK" w:eastAsia="方正仿宋_GBK" w:cs="方正仿宋_GBK"/>
          <w:color w:val="000000" w:themeColor="text1"/>
          <w:sz w:val="32"/>
          <w:szCs w:val="32"/>
          <w:shd w:val="clear" w:color="auto" w:fill="FFFFFF"/>
        </w:rPr>
        <w:t>主要原因补交养老保险和职业年金等。</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color w:val="000000" w:themeColor="text1"/>
          <w:sz w:val="32"/>
          <w:szCs w:val="32"/>
          <w:shd w:val="clear" w:color="auto" w:fill="FFFFFF"/>
        </w:rPr>
        <w:t>主要原因是严格按照预算执行。</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hint="default" w:ascii="方正仿宋_GBK" w:hAnsi="方正仿宋_GBK" w:eastAsia="方正仿宋_GBK" w:cs="方正仿宋_GBK"/>
          <w:color w:val="000000" w:themeColor="text1"/>
          <w:sz w:val="32"/>
          <w:szCs w:val="32"/>
          <w:shd w:val="clear" w:color="auto" w:fill="FFFFFF"/>
        </w:rPr>
        <w:t>（5）</w:t>
      </w:r>
      <w:r>
        <w:rPr>
          <w:rFonts w:ascii="方正仿宋_GBK" w:hAnsi="方正仿宋_GBK" w:eastAsia="方正仿宋_GBK" w:cs="方正仿宋_GBK"/>
          <w:sz w:val="32"/>
          <w:szCs w:val="32"/>
        </w:rPr>
        <w:t>住房保障支出7.34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color w:val="000000" w:themeColor="text1"/>
          <w:sz w:val="32"/>
          <w:szCs w:val="32"/>
          <w:shd w:val="clear" w:color="auto" w:fill="FFFFFF"/>
        </w:rPr>
        <w:t>主要原因是严格按照预算执行。</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2024年度一般公共财政拨款基本支出</w:t>
      </w:r>
      <w:r>
        <w:rPr>
          <w:rFonts w:ascii="方正仿宋_GBK" w:hAnsi="方正仿宋_GBK" w:eastAsia="方正仿宋_GBK" w:cs="方正仿宋_GBK"/>
          <w:color w:val="000000" w:themeColor="text1"/>
          <w:sz w:val="32"/>
          <w:szCs w:val="32"/>
        </w:rPr>
        <w:t>118.85</w:t>
      </w:r>
      <w:r>
        <w:rPr>
          <w:rFonts w:ascii="方正仿宋_GBK" w:hAnsi="方正仿宋_GBK" w:eastAsia="方正仿宋_GBK" w:cs="方正仿宋_GBK"/>
          <w:color w:val="000000" w:themeColor="text1"/>
          <w:sz w:val="32"/>
          <w:szCs w:val="32"/>
          <w:shd w:val="clear" w:color="auto" w:fill="FFFFFF"/>
        </w:rPr>
        <w:t>万元。其中：人员经费</w:t>
      </w:r>
      <w:r>
        <w:rPr>
          <w:rFonts w:ascii="方正仿宋_GBK" w:hAnsi="方正仿宋_GBK" w:eastAsia="方正仿宋_GBK" w:cs="方正仿宋_GBK"/>
          <w:color w:val="000000" w:themeColor="text1"/>
          <w:sz w:val="32"/>
          <w:szCs w:val="32"/>
        </w:rPr>
        <w:t>106.96</w:t>
      </w:r>
      <w:r>
        <w:rPr>
          <w:rFonts w:ascii="方正仿宋_GBK" w:hAnsi="方正仿宋_GBK" w:eastAsia="方正仿宋_GBK" w:cs="方正仿宋_GBK"/>
          <w:color w:val="000000" w:themeColor="text1"/>
          <w:sz w:val="32"/>
          <w:szCs w:val="32"/>
          <w:shd w:val="clear" w:color="auto" w:fill="FFFFFF"/>
        </w:rPr>
        <w:t>万元，与2023年度相比，增加9.56万元，增长9.8%，主要原因是</w:t>
      </w:r>
      <w:r>
        <w:rPr>
          <w:rFonts w:eastAsia="方正仿宋_GBK"/>
          <w:color w:val="000000" w:themeColor="text1"/>
          <w:sz w:val="32"/>
          <w:szCs w:val="32"/>
        </w:rPr>
        <w:t>新招录公务员</w:t>
      </w:r>
      <w:r>
        <w:rPr>
          <w:rFonts w:ascii="方正仿宋_GBK" w:hAnsi="方正仿宋_GBK" w:eastAsia="方正仿宋_GBK" w:cs="方正仿宋_GBK"/>
          <w:color w:val="000000" w:themeColor="text1"/>
          <w:sz w:val="32"/>
          <w:szCs w:val="32"/>
          <w:shd w:val="clear" w:color="auto" w:fill="FFFFFF"/>
        </w:rPr>
        <w:t>。人员经费用途主要包括</w:t>
      </w:r>
      <w:r>
        <w:rPr>
          <w:rFonts w:eastAsia="方正仿宋_GBK"/>
          <w:color w:val="000000" w:themeColor="text1"/>
          <w:sz w:val="32"/>
          <w:szCs w:val="32"/>
        </w:rPr>
        <w:t>基本工资、津贴补贴、奖金、社会保障缴费等</w:t>
      </w:r>
      <w:r>
        <w:rPr>
          <w:rFonts w:ascii="方正仿宋_GBK" w:hAnsi="方正仿宋_GBK" w:eastAsia="方正仿宋_GBK" w:cs="方正仿宋_GBK"/>
          <w:color w:val="000000" w:themeColor="text1"/>
          <w:sz w:val="32"/>
          <w:szCs w:val="32"/>
          <w:shd w:val="clear" w:color="auto" w:fill="FFFFFF"/>
        </w:rPr>
        <w:t>。公用经费</w:t>
      </w:r>
      <w:r>
        <w:rPr>
          <w:rFonts w:ascii="方正仿宋_GBK" w:hAnsi="方正仿宋_GBK" w:eastAsia="方正仿宋_GBK" w:cs="方正仿宋_GBK"/>
          <w:color w:val="000000" w:themeColor="text1"/>
          <w:sz w:val="32"/>
          <w:szCs w:val="32"/>
        </w:rPr>
        <w:t>11.89</w:t>
      </w:r>
      <w:r>
        <w:rPr>
          <w:rFonts w:ascii="方正仿宋_GBK" w:hAnsi="方正仿宋_GBK" w:eastAsia="方正仿宋_GBK" w:cs="方正仿宋_GBK"/>
          <w:color w:val="000000" w:themeColor="text1"/>
          <w:sz w:val="32"/>
          <w:szCs w:val="32"/>
          <w:shd w:val="clear" w:color="auto" w:fill="FFFFFF"/>
        </w:rPr>
        <w:t>万元，与2023年度相比，减少0.96万元，下降7.5%，主要原因是严格执行财经纪律，节约开支，业务、办公经费减少等。公用经费用途主要包括办公费、印刷费、电费、邮电费、培训费、维修（护）费、公务接待费、劳务费、公务用车运行维护费、办公设备购置等。</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三、财政拨款</w:t>
      </w:r>
      <w:r>
        <w:rPr>
          <w:rStyle w:val="10"/>
          <w:rFonts w:hint="eastAsia" w:ascii="黑体" w:hAnsi="黑体" w:eastAsia="黑体" w:cs="黑体"/>
          <w:color w:val="000000" w:themeColor="text1"/>
          <w:sz w:val="32"/>
          <w:szCs w:val="32"/>
          <w:shd w:val="clear" w:color="auto" w:fill="FFFFFF"/>
          <w:lang w:eastAsia="zh-CN"/>
        </w:rPr>
        <w:t>三公</w:t>
      </w:r>
      <w:r>
        <w:rPr>
          <w:rStyle w:val="10"/>
          <w:rFonts w:ascii="黑体" w:hAnsi="黑体" w:eastAsia="黑体" w:cs="黑体"/>
          <w:color w:val="000000" w:themeColor="text1"/>
          <w:sz w:val="32"/>
          <w:szCs w:val="32"/>
          <w:shd w:val="clear" w:color="auto" w:fill="FFFFFF"/>
        </w:rPr>
        <w:t>经费情况说明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 xml:space="preserve"> （一）</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经费支出共计</w:t>
      </w:r>
      <w:r>
        <w:rPr>
          <w:rFonts w:ascii="方正仿宋_GBK" w:hAnsi="方正仿宋_GBK" w:eastAsia="方正仿宋_GBK" w:cs="方正仿宋_GBK"/>
          <w:color w:val="000000" w:themeColor="text1"/>
          <w:sz w:val="32"/>
          <w:szCs w:val="32"/>
        </w:rPr>
        <w:t>0.51</w:t>
      </w:r>
      <w:r>
        <w:rPr>
          <w:rFonts w:ascii="方正仿宋_GBK" w:hAnsi="方正仿宋_GBK" w:eastAsia="方正仿宋_GBK" w:cs="方正仿宋_GBK"/>
          <w:color w:val="000000" w:themeColor="text1"/>
          <w:sz w:val="32"/>
          <w:szCs w:val="32"/>
          <w:shd w:val="clear" w:color="auto" w:fill="FFFFFF"/>
        </w:rPr>
        <w:t>万元，较年初预算数减少0.09万元，下降15.0%，主要原因是认真贯彻落实中央八项规定精神和厉行节约要求，从严控制</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经费。较上年支出数减少0.03万元，下降5.6%，主要原因是一是认真贯彻落实中央八项规定精神和厉行节约要求，从严控制</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全年实际支出较预算和决算均有所下降。二是强化公务接待支出管理，严格遵守公务接待开支范围和开支标准，严格控制陪餐人数，对应由接待对象承担的费用一律由接待对象自行支付，公务接待费大幅下降。三是进一步规范因公出国(境)活动，今年未安排单位人员出国出访。</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经费分项支出情况</w:t>
      </w:r>
    </w:p>
    <w:p>
      <w:pPr>
        <w:pStyle w:val="6"/>
        <w:snapToGrid w:val="0"/>
        <w:spacing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公务接待费</w:t>
      </w:r>
      <w:r>
        <w:rPr>
          <w:rFonts w:ascii="方正仿宋_GBK" w:hAnsi="方正仿宋_GBK" w:eastAsia="方正仿宋_GBK" w:cs="方正仿宋_GBK"/>
          <w:color w:val="000000" w:themeColor="text1"/>
          <w:sz w:val="32"/>
          <w:szCs w:val="32"/>
        </w:rPr>
        <w:t>0.51</w:t>
      </w:r>
      <w:r>
        <w:rPr>
          <w:rFonts w:ascii="方正仿宋_GBK" w:hAnsi="方正仿宋_GBK" w:eastAsia="方正仿宋_GBK" w:cs="方正仿宋_GBK"/>
          <w:color w:val="000000" w:themeColor="text1"/>
          <w:sz w:val="32"/>
          <w:szCs w:val="32"/>
          <w:shd w:val="clear" w:color="auto" w:fill="FFFFFF"/>
        </w:rPr>
        <w:t>万元，主要用</w:t>
      </w:r>
      <w:r>
        <w:rPr>
          <w:rFonts w:ascii="方正仿宋_GBK" w:hAnsi="方正仿宋_GBK" w:eastAsia="方正仿宋_GBK" w:cs="方正仿宋_GBK"/>
          <w:color w:val="000000" w:themeColor="text1"/>
          <w:sz w:val="32"/>
          <w:szCs w:val="32"/>
        </w:rPr>
        <w:t>于接待友邻区县交流学习及市级部门检查工作等</w:t>
      </w:r>
      <w:r>
        <w:rPr>
          <w:rFonts w:ascii="方正仿宋_GBK" w:hAnsi="方正仿宋_GBK" w:eastAsia="方正仿宋_GBK" w:cs="方正仿宋_GBK"/>
          <w:color w:val="000000" w:themeColor="text1"/>
          <w:sz w:val="32"/>
          <w:szCs w:val="32"/>
          <w:shd w:val="clear" w:color="auto" w:fill="FFFFFF"/>
        </w:rPr>
        <w:t>。费用支出较年初预算数减少0.09万元，下降15.0%，主要原因是</w:t>
      </w:r>
      <w:r>
        <w:rPr>
          <w:rFonts w:ascii="方正仿宋_GBK" w:hAnsi="方正仿宋_GBK" w:eastAsia="方正仿宋_GBK" w:cs="方正仿宋_GBK"/>
          <w:color w:val="000000" w:themeColor="text1"/>
          <w:sz w:val="32"/>
          <w:szCs w:val="32"/>
        </w:rPr>
        <w:t>认真贯彻落实中央八项规定精神和厉行节约要求，从严控制</w:t>
      </w:r>
      <w:r>
        <w:rPr>
          <w:rFonts w:hint="eastAsia" w:ascii="方正仿宋_GBK" w:hAnsi="方正仿宋_GBK" w:eastAsia="方正仿宋_GBK" w:cs="方正仿宋_GBK"/>
          <w:color w:val="000000" w:themeColor="text1"/>
          <w:sz w:val="32"/>
          <w:szCs w:val="32"/>
          <w:lang w:eastAsia="zh-CN"/>
        </w:rPr>
        <w:t>三公</w:t>
      </w:r>
      <w:r>
        <w:rPr>
          <w:rFonts w:ascii="方正仿宋_GBK" w:hAnsi="方正仿宋_GBK" w:eastAsia="方正仿宋_GBK" w:cs="方正仿宋_GBK"/>
          <w:color w:val="000000" w:themeColor="text1"/>
          <w:sz w:val="32"/>
          <w:szCs w:val="32"/>
        </w:rPr>
        <w:t>经费</w:t>
      </w:r>
      <w:r>
        <w:rPr>
          <w:rFonts w:ascii="方正仿宋_GBK" w:hAnsi="方正仿宋_GBK" w:eastAsia="方正仿宋_GBK" w:cs="方正仿宋_GBK"/>
          <w:color w:val="000000" w:themeColor="text1"/>
          <w:sz w:val="32"/>
          <w:szCs w:val="32"/>
          <w:shd w:val="clear" w:color="auto" w:fill="FFFFFF"/>
        </w:rPr>
        <w:t>。较上年支出数减少0.03万元，下降5.6%，主要原因是</w:t>
      </w:r>
      <w:r>
        <w:rPr>
          <w:rFonts w:ascii="方正仿宋_GBK" w:hAnsi="方正仿宋_GBK" w:eastAsia="方正仿宋_GBK" w:cs="方正仿宋_GBK"/>
          <w:color w:val="000000" w:themeColor="text1"/>
          <w:sz w:val="32"/>
          <w:szCs w:val="32"/>
        </w:rPr>
        <w:t>控制</w:t>
      </w:r>
      <w:r>
        <w:rPr>
          <w:rFonts w:hint="eastAsia" w:ascii="方正仿宋_GBK" w:hAnsi="方正仿宋_GBK" w:eastAsia="方正仿宋_GBK" w:cs="方正仿宋_GBK"/>
          <w:color w:val="000000" w:themeColor="text1"/>
          <w:sz w:val="32"/>
          <w:szCs w:val="32"/>
          <w:lang w:eastAsia="zh-CN"/>
        </w:rPr>
        <w:t>接待</w:t>
      </w:r>
      <w:bookmarkStart w:id="0" w:name="_GoBack"/>
      <w:bookmarkEnd w:id="0"/>
      <w:r>
        <w:rPr>
          <w:rFonts w:ascii="方正仿宋_GBK" w:hAnsi="方正仿宋_GBK" w:eastAsia="方正仿宋_GBK" w:cs="方正仿宋_GBK"/>
          <w:color w:val="000000" w:themeColor="text1"/>
          <w:sz w:val="32"/>
          <w:szCs w:val="32"/>
        </w:rPr>
        <w:t>标准、减少接待陪餐人员等</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2024年度本部门因公出国（境）共计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个团组，</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人；公务用车购置</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辆，公务车保有量为</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辆；国内公务接待</w:t>
      </w:r>
      <w:r>
        <w:rPr>
          <w:rFonts w:ascii="方正仿宋_GBK" w:hAnsi="方正仿宋_GBK" w:eastAsia="方正仿宋_GBK" w:cs="方正仿宋_GBK"/>
          <w:color w:val="000000" w:themeColor="text1"/>
          <w:sz w:val="32"/>
          <w:szCs w:val="32"/>
        </w:rPr>
        <w:t>13</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36</w:t>
      </w:r>
      <w:r>
        <w:rPr>
          <w:rFonts w:ascii="方正仿宋_GBK" w:hAnsi="方正仿宋_GBK" w:eastAsia="方正仿宋_GBK" w:cs="方正仿宋_GBK"/>
          <w:color w:val="000000" w:themeColor="text1"/>
          <w:sz w:val="32"/>
          <w:szCs w:val="32"/>
          <w:shd w:val="clear" w:color="auto" w:fill="FFFFFF"/>
        </w:rPr>
        <w:t>人，其中：国内外事接待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人；国（境）外公务接待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人。2024年本部门人均接待费</w:t>
      </w:r>
      <w:r>
        <w:rPr>
          <w:rFonts w:ascii="方正仿宋_GBK" w:hAnsi="方正仿宋_GBK" w:eastAsia="方正仿宋_GBK" w:cs="方正仿宋_GBK"/>
          <w:color w:val="000000" w:themeColor="text1"/>
          <w:sz w:val="32"/>
          <w:szCs w:val="32"/>
        </w:rPr>
        <w:t>140.36</w:t>
      </w:r>
      <w:r>
        <w:rPr>
          <w:rFonts w:ascii="方正仿宋_GBK" w:hAnsi="方正仿宋_GBK" w:eastAsia="方正仿宋_GBK" w:cs="方正仿宋_GBK"/>
          <w:color w:val="000000" w:themeColor="text1"/>
          <w:sz w:val="32"/>
          <w:szCs w:val="32"/>
          <w:shd w:val="clear" w:color="auto" w:fill="FFFFFF"/>
        </w:rPr>
        <w:t>元，车均购置费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万元，车均维护费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w:t>
      </w:r>
    </w:p>
    <w:p>
      <w:pPr>
        <w:pStyle w:val="6"/>
        <w:shd w:val="clear" w:color="auto" w:fill="FFFFFF"/>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四、其他需要说明的事项</w:t>
      </w:r>
    </w:p>
    <w:p>
      <w:pPr>
        <w:pStyle w:val="11"/>
        <w:autoSpaceDE w:val="0"/>
        <w:ind w:firstLine="418" w:firstLineChars="13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本年度会议费支出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万元，与2023年度相比，减少1.20万元，下降100.0%，主要原因是2024年度未召开大型会议。本年度培训费支出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万元，与2023年度相比，无变化，主要原因是本年度未开展</w:t>
      </w:r>
      <w:r>
        <w:rPr>
          <w:rFonts w:hint="default" w:ascii="方正仿宋_GBK" w:hAnsi="方正仿宋_GBK" w:eastAsia="方正仿宋_GBK" w:cs="方正仿宋_GBK"/>
          <w:color w:val="000000" w:themeColor="text1"/>
          <w:sz w:val="32"/>
          <w:szCs w:val="32"/>
          <w:shd w:val="clear" w:color="auto" w:fill="FFFFFF"/>
        </w:rPr>
        <w:t>培训</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2024年度本部门机关运行经费支出</w:t>
      </w:r>
      <w:r>
        <w:rPr>
          <w:rFonts w:ascii="方正仿宋_GBK" w:hAnsi="方正仿宋_GBK" w:eastAsia="方正仿宋_GBK" w:cs="方正仿宋_GBK"/>
          <w:color w:val="000000" w:themeColor="text1"/>
          <w:sz w:val="32"/>
          <w:szCs w:val="32"/>
        </w:rPr>
        <w:t>11.89</w:t>
      </w:r>
      <w:r>
        <w:rPr>
          <w:rFonts w:ascii="方正仿宋_GBK" w:hAnsi="方正仿宋_GBK" w:eastAsia="方正仿宋_GBK" w:cs="方正仿宋_GBK"/>
          <w:color w:val="000000" w:themeColor="text1"/>
          <w:sz w:val="32"/>
          <w:szCs w:val="32"/>
          <w:shd w:val="clear" w:color="auto" w:fill="FFFFFF"/>
        </w:rPr>
        <w:t>万元，机关运行经费主要用于开支办公费、邮电费、委托业务费等。机关运行经费较上年支出数减少0.96万元，下降7.5%，主要原因是严格执行过紧日子，减少开支</w:t>
      </w:r>
      <w:r>
        <w:rPr>
          <w:rFonts w:hint="default" w:ascii="方正仿宋_GBK" w:hAnsi="方正仿宋_GBK" w:eastAsia="方正仿宋_GBK" w:cs="方正仿宋_GBK"/>
          <w:color w:val="000000" w:themeColor="text1"/>
          <w:sz w:val="32"/>
          <w:szCs w:val="32"/>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截至2024年12月31日，本部门共有车辆</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辆、主要负责人用车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辆、机要通信用车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辆、应急保障用车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辆、执法执勤用车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辆，特种专业技术用车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辆，离退休干部用车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辆。单价100万元（含）以上专用设备</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台（套）。</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color w:val="000000" w:themeColor="text1"/>
          <w:sz w:val="32"/>
          <w:szCs w:val="32"/>
          <w:shd w:val="clear" w:color="auto" w:fill="FFFFFF"/>
        </w:rPr>
      </w:pPr>
      <w:r>
        <w:rPr>
          <w:rStyle w:val="10"/>
          <w:rFonts w:hint="eastAsia" w:ascii="黑体" w:hAnsi="黑体" w:eastAsia="黑体" w:cs="黑体"/>
          <w:color w:val="000000" w:themeColor="text1"/>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lang w:bidi="ar"/>
        </w:rPr>
        <w:t>根据预算绩效管理要求，我单位对7个二级项目开展了绩效自评，涉及财政拨款项目支出81.4万元。</w:t>
      </w:r>
    </w:p>
    <w:p>
      <w:pPr>
        <w:pStyle w:val="12"/>
        <w:spacing w:before="0" w:beforeAutospacing="0" w:after="0" w:afterAutospacing="0" w:line="596" w:lineRule="exact"/>
        <w:ind w:firstLine="643" w:firstLineChars="200"/>
        <w:rPr>
          <w:rFonts w:ascii="方正仿宋_GBK" w:hAnsi="方正仿宋_GBK" w:eastAsia="方正仿宋_GBK" w:cs="方正仿宋_GBK"/>
          <w:b/>
          <w:bCs/>
          <w:color w:val="000000" w:themeColor="text1"/>
          <w:sz w:val="32"/>
          <w:szCs w:val="32"/>
          <w:shd w:val="clear" w:color="auto" w:fill="FFFFFF"/>
        </w:rPr>
      </w:pPr>
      <w:r>
        <w:rPr>
          <w:rFonts w:hint="eastAsia" w:ascii="方正仿宋_GBK" w:hAnsi="方正仿宋_GBK" w:eastAsia="方正仿宋_GBK" w:cs="方正仿宋_GBK"/>
          <w:b/>
          <w:bCs/>
          <w:color w:val="000000" w:themeColor="text1"/>
          <w:sz w:val="32"/>
          <w:szCs w:val="32"/>
          <w:shd w:val="clear" w:color="auto" w:fill="FFFFFF"/>
        </w:rPr>
        <w:t>项目支出绩效自评表</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r>
        <w:rPr>
          <w:color w:val="000000" w:themeColor="text1"/>
        </w:rPr>
        <w:drawing>
          <wp:anchor distT="0" distB="0" distL="114300" distR="114300" simplePos="0" relativeHeight="251660288" behindDoc="0" locked="0" layoutInCell="1" allowOverlap="1">
            <wp:simplePos x="0" y="0"/>
            <wp:positionH relativeFrom="column">
              <wp:posOffset>-85090</wp:posOffset>
            </wp:positionH>
            <wp:positionV relativeFrom="page">
              <wp:posOffset>5524500</wp:posOffset>
            </wp:positionV>
            <wp:extent cx="5277485" cy="392493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7485" cy="3924935"/>
                    </a:xfrm>
                    <a:prstGeom prst="rect">
                      <a:avLst/>
                    </a:prstGeom>
                    <a:noFill/>
                    <a:ln>
                      <a:noFill/>
                    </a:ln>
                  </pic:spPr>
                </pic:pic>
              </a:graphicData>
            </a:graphic>
          </wp:anchor>
        </w:drawing>
      </w:r>
      <w:r>
        <w:rPr>
          <w:color w:val="000000" w:themeColor="text1"/>
        </w:rPr>
        <w:drawing>
          <wp:anchor distT="0" distB="0" distL="114300" distR="114300" simplePos="0" relativeHeight="251659264" behindDoc="0" locked="0" layoutInCell="1" allowOverlap="1">
            <wp:simplePos x="0" y="0"/>
            <wp:positionH relativeFrom="column">
              <wp:posOffset>-21590</wp:posOffset>
            </wp:positionH>
            <wp:positionV relativeFrom="page">
              <wp:posOffset>1016000</wp:posOffset>
            </wp:positionV>
            <wp:extent cx="5276850" cy="4260850"/>
            <wp:effectExtent l="0" t="0" r="0" b="635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76850" cy="4260850"/>
                    </a:xfrm>
                    <a:prstGeom prst="rect">
                      <a:avLst/>
                    </a:prstGeom>
                    <a:noFill/>
                    <a:ln>
                      <a:noFill/>
                    </a:ln>
                  </pic:spPr>
                </pic:pic>
              </a:graphicData>
            </a:graphic>
          </wp:anchor>
        </w:drawing>
      </w: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r>
        <w:rPr>
          <w:color w:val="000000" w:themeColor="text1"/>
        </w:rPr>
        <w:drawing>
          <wp:anchor distT="0" distB="0" distL="114300" distR="114300" simplePos="0" relativeHeight="251661312" behindDoc="0" locked="0" layoutInCell="1" allowOverlap="1">
            <wp:simplePos x="0" y="0"/>
            <wp:positionH relativeFrom="column">
              <wp:posOffset>81915</wp:posOffset>
            </wp:positionH>
            <wp:positionV relativeFrom="page">
              <wp:posOffset>1143000</wp:posOffset>
            </wp:positionV>
            <wp:extent cx="5277485" cy="3234690"/>
            <wp:effectExtent l="0" t="0" r="18415"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7485" cy="3234690"/>
                    </a:xfrm>
                    <a:prstGeom prst="rect">
                      <a:avLst/>
                    </a:prstGeom>
                    <a:noFill/>
                    <a:ln>
                      <a:noFill/>
                    </a:ln>
                  </pic:spPr>
                </pic:pic>
              </a:graphicData>
            </a:graphic>
          </wp:anchor>
        </w:drawing>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（二）单位绩效评价情况</w:t>
      </w:r>
    </w:p>
    <w:p>
      <w:pPr>
        <w:pStyle w:val="14"/>
        <w:autoSpaceDE w:val="0"/>
        <w:ind w:firstLine="960" w:firstLineChars="300"/>
        <w:rPr>
          <w:rFonts w:ascii="方正仿宋_GBK" w:hAnsi="方正仿宋_GBK" w:eastAsia="方正仿宋_GBK" w:cs="方正仿宋_GBK"/>
          <w:color w:val="000000" w:themeColor="text1"/>
          <w:sz w:val="32"/>
          <w:szCs w:val="32"/>
          <w:shd w:val="clear" w:color="auto" w:fill="FFFFFF"/>
          <w:lang w:bidi="ar"/>
        </w:rPr>
      </w:pPr>
      <w:r>
        <w:rPr>
          <w:rFonts w:hint="eastAsia" w:ascii="方正仿宋_GBK" w:hAnsi="方正仿宋_GBK" w:eastAsia="方正仿宋_GBK" w:cs="方正仿宋_GBK"/>
          <w:color w:val="000000" w:themeColor="text1"/>
          <w:sz w:val="32"/>
          <w:szCs w:val="32"/>
          <w:shd w:val="clear" w:color="auto" w:fill="FFFFFF"/>
          <w:lang w:bidi="ar"/>
        </w:rPr>
        <w:t>我单位未组织开展绩效评价。</w:t>
      </w:r>
    </w:p>
    <w:p>
      <w:pPr>
        <w:pStyle w:val="16"/>
        <w:autoSpaceDE w:val="0"/>
        <w:spacing w:line="596" w:lineRule="exact"/>
        <w:ind w:firstLine="643"/>
        <w:rPr>
          <w:rFonts w:hint="default" w:ascii="方正仿宋_GBK" w:hAnsi="方正仿宋_GBK" w:eastAsia="方正仿宋_GBK" w:cs="方正仿宋_GBK"/>
          <w:color w:val="000000" w:themeColor="text1"/>
          <w:sz w:val="32"/>
          <w:szCs w:val="32"/>
          <w:shd w:val="clear" w:color="auto" w:fill="FFFFFF"/>
        </w:rPr>
      </w:pPr>
      <w:r>
        <w:rPr>
          <w:rFonts w:ascii="楷体" w:hAnsi="楷体" w:eastAsia="楷体" w:cs="楷体"/>
          <w:b/>
          <w:bCs/>
          <w:color w:val="000000" w:themeColor="text1"/>
          <w:sz w:val="32"/>
          <w:szCs w:val="32"/>
          <w:shd w:val="clear" w:color="auto" w:fill="FFFFFF"/>
          <w:lang w:bidi="ar"/>
        </w:rPr>
        <w:t>（三）财政绩效评价情况</w:t>
      </w:r>
    </w:p>
    <w:p>
      <w:pPr>
        <w:pStyle w:val="14"/>
        <w:autoSpaceDE w:val="0"/>
        <w:ind w:firstLine="960" w:firstLineChars="300"/>
        <w:rPr>
          <w:rFonts w:ascii="方正仿宋_GBK" w:hAnsi="方正仿宋_GBK" w:eastAsia="方正仿宋_GBK" w:cs="方正仿宋_GBK"/>
          <w:color w:val="000000" w:themeColor="text1"/>
          <w:sz w:val="32"/>
          <w:szCs w:val="32"/>
          <w:shd w:val="clear" w:color="auto" w:fill="FFFFFF"/>
          <w:lang w:bidi="ar"/>
        </w:rPr>
      </w:pPr>
      <w:r>
        <w:rPr>
          <w:rFonts w:hint="eastAsia" w:ascii="方正仿宋_GBK" w:hAnsi="方正仿宋_GBK" w:eastAsia="方正仿宋_GBK" w:cs="方正仿宋_GBK"/>
          <w:color w:val="000000" w:themeColor="text1"/>
          <w:sz w:val="32"/>
          <w:szCs w:val="32"/>
          <w:shd w:val="clear" w:color="auto" w:fill="FFFFFF"/>
          <w:lang w:bidi="ar"/>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color w:val="000000" w:themeColor="text1"/>
          <w:sz w:val="32"/>
          <w:szCs w:val="32"/>
        </w:rPr>
      </w:pPr>
      <w:r>
        <w:rPr>
          <w:rStyle w:val="13"/>
          <w:rFonts w:hint="eastAsia" w:ascii="方正仿宋_GBK" w:hAnsi="方正仿宋_GBK" w:eastAsia="方正仿宋_GBK" w:cs="方正仿宋_GBK"/>
          <w:color w:val="000000" w:themeColor="text1"/>
          <w:sz w:val="32"/>
          <w:szCs w:val="32"/>
          <w:shd w:val="clear" w:color="auto" w:fill="FFFFFF"/>
        </w:rPr>
        <w:t xml:space="preserve">   </w:t>
      </w:r>
      <w:r>
        <w:rPr>
          <w:rStyle w:val="10"/>
          <w:rFonts w:hint="eastAsia" w:ascii="黑体" w:hAnsi="黑体" w:eastAsia="黑体" w:cs="黑体"/>
          <w:color w:val="000000" w:themeColor="text1"/>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（一）财政拨款收入：</w:t>
      </w:r>
      <w:r>
        <w:rPr>
          <w:rFonts w:hint="eastAsia" w:ascii="方正仿宋_GBK" w:hAnsi="方正仿宋_GBK" w:eastAsia="方正仿宋_GBK" w:cs="方正仿宋_GBK"/>
          <w:color w:val="000000" w:themeColor="text1"/>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（二）事业收入：</w:t>
      </w:r>
      <w:r>
        <w:rPr>
          <w:rFonts w:hint="eastAsia" w:ascii="方正仿宋_GBK" w:hAnsi="方正仿宋_GBK" w:eastAsia="方正仿宋_GBK" w:cs="方正仿宋_GBK"/>
          <w:color w:val="000000" w:themeColor="text1"/>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（三）经营收入：</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（四）其他收入：</w:t>
      </w:r>
      <w:r>
        <w:rPr>
          <w:rFonts w:hint="eastAsia" w:ascii="方正仿宋_GBK" w:hAnsi="方正仿宋_GBK" w:eastAsia="方正仿宋_GBK" w:cs="方正仿宋_GBK"/>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（五）使用非财政拨款结余：</w:t>
      </w:r>
      <w:r>
        <w:rPr>
          <w:rFonts w:hint="eastAsia" w:ascii="方正仿宋_GBK" w:hAnsi="方正仿宋_GBK" w:eastAsia="方正仿宋_GBK" w:cs="方正仿宋_GBK"/>
          <w:color w:val="000000" w:themeColor="text1"/>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（六）年初结转和结余：</w:t>
      </w:r>
      <w:r>
        <w:rPr>
          <w:rFonts w:hint="eastAsia" w:ascii="方正仿宋_GBK" w:hAnsi="方正仿宋_GBK" w:eastAsia="方正仿宋_GBK" w:cs="方正仿宋_GBK"/>
          <w:color w:val="000000" w:themeColor="text1"/>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（七）结余分配：</w:t>
      </w:r>
      <w:r>
        <w:rPr>
          <w:rFonts w:hint="eastAsia" w:ascii="方正仿宋_GBK" w:hAnsi="方正仿宋_GBK" w:eastAsia="方正仿宋_GBK" w:cs="方正仿宋_GBK"/>
          <w:color w:val="000000" w:themeColor="text1"/>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（八）年末结转和结余：</w:t>
      </w:r>
      <w:r>
        <w:rPr>
          <w:rFonts w:hint="eastAsia" w:ascii="方正仿宋_GBK" w:hAnsi="方正仿宋_GBK" w:eastAsia="方正仿宋_GBK" w:cs="方正仿宋_GBK"/>
          <w:color w:val="000000" w:themeColor="text1"/>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（九）基本支出：</w:t>
      </w:r>
      <w:r>
        <w:rPr>
          <w:rFonts w:hint="eastAsia" w:ascii="方正仿宋_GBK" w:hAnsi="方正仿宋_GBK" w:eastAsia="方正仿宋_GBK" w:cs="方正仿宋_GBK"/>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（十）项目支出：</w:t>
      </w:r>
      <w:r>
        <w:rPr>
          <w:rFonts w:hint="eastAsia" w:ascii="方正仿宋_GBK" w:hAnsi="方正仿宋_GBK" w:eastAsia="方正仿宋_GBK" w:cs="方正仿宋_GBK"/>
          <w:color w:val="000000" w:themeColor="text1"/>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（十一）经营支出：</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（十二）</w:t>
      </w:r>
      <w:r>
        <w:rPr>
          <w:rStyle w:val="10"/>
          <w:rFonts w:hint="eastAsia" w:ascii="楷体" w:hAnsi="楷体" w:eastAsia="楷体" w:cs="楷体"/>
          <w:color w:val="000000" w:themeColor="text1"/>
          <w:sz w:val="32"/>
          <w:szCs w:val="32"/>
          <w:shd w:val="clear" w:color="auto" w:fill="FFFFFF"/>
          <w:lang w:eastAsia="zh-CN"/>
        </w:rPr>
        <w:t>三公</w:t>
      </w:r>
      <w:r>
        <w:rPr>
          <w:rStyle w:val="10"/>
          <w:rFonts w:hint="eastAsia" w:ascii="楷体" w:hAnsi="楷体" w:eastAsia="楷体" w:cs="楷体"/>
          <w:color w:val="000000" w:themeColor="text1"/>
          <w:sz w:val="32"/>
          <w:szCs w:val="32"/>
          <w:shd w:val="clear" w:color="auto" w:fill="FFFFFF"/>
        </w:rPr>
        <w:t>经费：</w:t>
      </w:r>
      <w:r>
        <w:rPr>
          <w:rFonts w:hint="eastAsia" w:ascii="方正仿宋_GBK" w:hAnsi="方正仿宋_GBK" w:eastAsia="方正仿宋_GBK" w:cs="方正仿宋_GBK"/>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（十三）机关运行经费：</w:t>
      </w:r>
      <w:r>
        <w:rPr>
          <w:rFonts w:hint="eastAsia" w:ascii="方正仿宋_GBK" w:hAnsi="方正仿宋_GBK" w:eastAsia="方正仿宋_GBK" w:cs="方正仿宋_GBK"/>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（十四）工资福利支出（支出经济分类科目类级）：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（十五）商品和服务支出（支出经济分类科目类级）：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（十六）对个人和家庭的补助（支出经济分类科目类级）：</w:t>
      </w:r>
      <w:r>
        <w:rPr>
          <w:rFonts w:hint="eastAsia" w:ascii="方正仿宋_GBK" w:hAnsi="方正仿宋_GBK" w:eastAsia="方正仿宋_GBK" w:cs="方正仿宋_GBK"/>
          <w:color w:val="000000" w:themeColor="text1"/>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（十七）其他资本性支出（支出经济分类科目类级）：</w:t>
      </w:r>
      <w:r>
        <w:rPr>
          <w:rFonts w:hint="eastAsia" w:ascii="方正仿宋_GBK" w:hAnsi="方正仿宋_GBK" w:eastAsia="方正仿宋_GBK" w:cs="方正仿宋_GBK"/>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黑体" w:hAnsi="黑体" w:eastAsia="黑体" w:cs="黑体"/>
          <w:color w:val="000000" w:themeColor="text1"/>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rPr>
        <w:t>本单位决算公开信息反馈和联系方式：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000000" w:themeColor="text1"/>
          <w:sz w:val="32"/>
          <w:szCs w:val="32"/>
          <w:shd w:val="clear" w:color="auto" w:fill="FFFFFF"/>
        </w:rPr>
        <w:t>黄老师，023-74512512</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垫江县妇女联合会（本级）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垫江县妇女联合会（本级）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200.25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200.25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垫江县妇女联合会（本级）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200.25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118.85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垫江县妇女联合会（本级）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垫江县妇女联合会（本级）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垫江县妇女联合会（本级）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106.96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垫江县妇女联合会（本级）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垫江县妇女联合会（本级）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垫江县妇女联合会（本级）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239C6"/>
    <w:rsid w:val="001D3BB7"/>
    <w:rsid w:val="002B254B"/>
    <w:rsid w:val="002F2AC6"/>
    <w:rsid w:val="0034050A"/>
    <w:rsid w:val="0044504F"/>
    <w:rsid w:val="00466C9B"/>
    <w:rsid w:val="00486CFC"/>
    <w:rsid w:val="00491DDD"/>
    <w:rsid w:val="00550ABE"/>
    <w:rsid w:val="00562D31"/>
    <w:rsid w:val="00623A85"/>
    <w:rsid w:val="00770383"/>
    <w:rsid w:val="007819D4"/>
    <w:rsid w:val="007B419D"/>
    <w:rsid w:val="007B7C4B"/>
    <w:rsid w:val="007D3D39"/>
    <w:rsid w:val="0084669E"/>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2F2D99"/>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0359EB"/>
    <w:rsid w:val="2C636760"/>
    <w:rsid w:val="2C6762A3"/>
    <w:rsid w:val="2FCA4B37"/>
    <w:rsid w:val="2FE029D7"/>
    <w:rsid w:val="2FF06E00"/>
    <w:rsid w:val="30586FEC"/>
    <w:rsid w:val="30BE67FD"/>
    <w:rsid w:val="315F0B22"/>
    <w:rsid w:val="31A15828"/>
    <w:rsid w:val="31D84415"/>
    <w:rsid w:val="32285F6F"/>
    <w:rsid w:val="32770556"/>
    <w:rsid w:val="329C0913"/>
    <w:rsid w:val="32AA0460"/>
    <w:rsid w:val="331A72C6"/>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A36213"/>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DC4C88"/>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9487</Words>
  <Characters>11839</Characters>
  <Lines>104</Lines>
  <Paragraphs>29</Paragraphs>
  <TotalTime>8</TotalTime>
  <ScaleCrop>false</ScaleCrop>
  <LinksUpToDate>false</LinksUpToDate>
  <CharactersWithSpaces>12885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2025-09-17T02:03:40Z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