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垫江县妇女儿童服务中心</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color w:val="000000" w:themeColor="text1"/>
          <w:sz w:val="32"/>
          <w:szCs w:val="32"/>
          <w:shd w:val="clear" w:color="auto" w:fill="FFFFFF"/>
        </w:rPr>
      </w:pPr>
      <w:r>
        <w:rPr>
          <w:rStyle w:val="10"/>
          <w:rFonts w:ascii="黑体" w:hAnsi="黑体" w:eastAsia="黑体" w:cs="黑体"/>
          <w:color w:val="000000" w:themeColor="text1"/>
          <w:sz w:val="32"/>
          <w:szCs w:val="32"/>
          <w:shd w:val="clear" w:color="auto" w:fill="FFFFFF"/>
        </w:rPr>
        <w:t>一、单位基本情况</w:t>
      </w:r>
    </w:p>
    <w:p>
      <w:pPr>
        <w:pStyle w:val="6"/>
        <w:shd w:val="clear" w:color="auto" w:fill="FFFFFF"/>
        <w:ind w:firstLine="420"/>
        <w:rPr>
          <w:rFonts w:hint="default" w:ascii="方正仿宋_GBK" w:hAnsi="方正仿宋_GBK" w:eastAsia="方正仿宋_GBK" w:cs="方正仿宋_GBK"/>
          <w:color w:val="000000" w:themeColor="text1"/>
          <w:sz w:val="32"/>
          <w:szCs w:val="32"/>
        </w:rPr>
      </w:pPr>
      <w:r>
        <w:rPr>
          <w:rStyle w:val="10"/>
          <w:rFonts w:ascii="楷体" w:hAnsi="楷体" w:eastAsia="楷体" w:cs="楷体"/>
          <w:color w:val="000000" w:themeColor="text1"/>
          <w:sz w:val="32"/>
          <w:szCs w:val="32"/>
          <w:shd w:val="clear" w:color="auto" w:fill="FFFFFF"/>
        </w:rPr>
        <w:t>（一）职能职责</w:t>
      </w:r>
    </w:p>
    <w:p>
      <w:pPr>
        <w:pStyle w:val="6"/>
        <w:shd w:val="clear" w:color="auto" w:fill="FFFFFF"/>
        <w:ind w:firstLine="42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主要职责任务为妇女儿童提供教育培训、游戏娱乐、文化艺术、学习交流、维权、宣传等服务，促进妇女儿童事业健康发展。</w:t>
      </w:r>
    </w:p>
    <w:p>
      <w:pPr>
        <w:pStyle w:val="6"/>
        <w:shd w:val="clear" w:color="auto" w:fill="FFFFFF"/>
        <w:ind w:firstLine="42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具体职责任务：</w:t>
      </w:r>
    </w:p>
    <w:p>
      <w:pPr>
        <w:pStyle w:val="6"/>
        <w:shd w:val="clear" w:color="auto" w:fill="FFFFFF"/>
        <w:ind w:firstLine="42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1.开展党的方针政策、爱国主义、集体主义、社会主义等思想政治教育。</w:t>
      </w:r>
    </w:p>
    <w:p>
      <w:pPr>
        <w:pStyle w:val="6"/>
        <w:shd w:val="clear" w:color="auto" w:fill="FFFFFF"/>
        <w:ind w:firstLine="42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2.开展妇女技能培训、兴趣培训和综合素质培训。</w:t>
      </w:r>
    </w:p>
    <w:p>
      <w:pPr>
        <w:pStyle w:val="6"/>
        <w:shd w:val="clear" w:color="auto" w:fill="FFFFFF"/>
        <w:ind w:firstLine="42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3.开展各类针对儿童成长需求的家庭教育等培训。</w:t>
      </w:r>
    </w:p>
    <w:p>
      <w:pPr>
        <w:pStyle w:val="6"/>
        <w:shd w:val="clear" w:color="auto" w:fill="FFFFFF"/>
        <w:ind w:firstLine="42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4.开展各类有益妇女儿童身心健康的活动，为妇女儿童提供健身、文体、艺术、娱乐、阅读、心理疏导等服务。</w:t>
      </w:r>
    </w:p>
    <w:p>
      <w:pPr>
        <w:pStyle w:val="6"/>
        <w:shd w:val="clear" w:color="auto" w:fill="FFFFFF"/>
        <w:ind w:firstLine="42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5.开展妇女儿童权益保障、婚姻家庭等咨询服务。</w:t>
      </w:r>
    </w:p>
    <w:p>
      <w:pPr>
        <w:pStyle w:val="6"/>
        <w:shd w:val="clear" w:color="auto" w:fill="FFFFFF"/>
        <w:ind w:firstLine="42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6.加强与乡镇（街道）、村（社区）妇女儿童阵地及社会组织的联系，深入开展公益性服务活动，展示妇女儿童发展成果。</w:t>
      </w:r>
    </w:p>
    <w:p>
      <w:pPr>
        <w:pStyle w:val="6"/>
        <w:shd w:val="clear" w:color="auto" w:fill="FFFFFF"/>
        <w:ind w:firstLine="42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7.承担上级交办的其他工作。</w:t>
      </w:r>
    </w:p>
    <w:p>
      <w:pPr>
        <w:pStyle w:val="6"/>
        <w:shd w:val="clear" w:color="auto" w:fill="FFFFFF"/>
        <w:ind w:firstLine="420"/>
        <w:rPr>
          <w:rFonts w:hint="default" w:ascii="楷体" w:hAnsi="楷体" w:eastAsia="楷体" w:cs="楷体"/>
          <w:color w:val="000000" w:themeColor="text1"/>
          <w:sz w:val="32"/>
          <w:szCs w:val="32"/>
        </w:rPr>
      </w:pPr>
      <w:r>
        <w:rPr>
          <w:rStyle w:val="10"/>
          <w:rFonts w:ascii="楷体" w:hAnsi="楷体" w:eastAsia="楷体" w:cs="楷体"/>
          <w:color w:val="000000" w:themeColor="text1"/>
          <w:sz w:val="32"/>
          <w:szCs w:val="32"/>
          <w:shd w:val="clear" w:color="auto" w:fill="FFFFFF"/>
        </w:rPr>
        <w:t>（二）机构设置</w:t>
      </w:r>
    </w:p>
    <w:p>
      <w:pPr>
        <w:pStyle w:val="6"/>
        <w:shd w:val="clear" w:color="auto" w:fill="FFFFFF"/>
        <w:ind w:firstLine="640" w:firstLineChars="200"/>
        <w:rPr>
          <w:rFonts w:hint="default" w:eastAsia="方正仿宋_GBK" w:cs="宋体"/>
          <w:color w:val="000000" w:themeColor="text1"/>
          <w:sz w:val="32"/>
          <w:szCs w:val="32"/>
        </w:rPr>
      </w:pPr>
      <w:r>
        <w:rPr>
          <w:rFonts w:eastAsia="方正仿宋_GBK" w:cs="宋体"/>
          <w:color w:val="000000" w:themeColor="text1"/>
          <w:sz w:val="32"/>
          <w:szCs w:val="32"/>
        </w:rPr>
        <w:t>垫江县妇女联合会现有下属事业单位1个:垫江县妇女儿童服务中心。中心人员构成情况:事业编制4名(实有4人)</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color w:val="000000" w:themeColor="text1"/>
          <w:sz w:val="32"/>
          <w:szCs w:val="32"/>
          <w:shd w:val="clear" w:color="auto" w:fill="FFFFFF"/>
        </w:rPr>
      </w:pPr>
      <w:r>
        <w:rPr>
          <w:rStyle w:val="10"/>
          <w:rFonts w:ascii="黑体" w:hAnsi="黑体" w:eastAsia="黑体" w:cs="黑体"/>
          <w:color w:val="000000" w:themeColor="text1"/>
          <w:sz w:val="32"/>
          <w:szCs w:val="32"/>
          <w:shd w:val="clear" w:color="auto" w:fill="FFFFFF"/>
        </w:rPr>
        <w:t>二、单位决算收支情况说明</w:t>
      </w:r>
    </w:p>
    <w:p>
      <w:pPr>
        <w:pStyle w:val="11"/>
        <w:autoSpaceDE w:val="0"/>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（一）收入支出决算总体情况说明。</w:t>
      </w:r>
    </w:p>
    <w:p>
      <w:pPr>
        <w:pStyle w:val="6"/>
        <w:shd w:val="clear" w:color="auto" w:fill="FFFFFF"/>
        <w:ind w:firstLine="643" w:firstLineChars="200"/>
        <w:rPr>
          <w:rFonts w:hint="default" w:ascii="方正仿宋_GBK" w:hAnsi="方正仿宋_GBK" w:eastAsia="方正仿宋_GBK" w:cs="方正仿宋_GBK"/>
          <w:color w:val="000000" w:themeColor="text1"/>
          <w:sz w:val="32"/>
          <w:szCs w:val="32"/>
        </w:rPr>
      </w:pPr>
      <w:r>
        <w:rPr>
          <w:rStyle w:val="10"/>
          <w:rFonts w:ascii="方正仿宋_GBK" w:hAnsi="方正仿宋_GBK" w:eastAsia="方正仿宋_GBK" w:cs="方正仿宋_GBK"/>
          <w:color w:val="000000" w:themeColor="text1"/>
          <w:sz w:val="32"/>
          <w:szCs w:val="32"/>
          <w:shd w:val="clear" w:color="auto" w:fill="FFFFFF"/>
        </w:rPr>
        <w:t>1.总体情况。</w:t>
      </w:r>
      <w:r>
        <w:rPr>
          <w:rFonts w:ascii="方正仿宋_GBK" w:hAnsi="方正仿宋_GBK" w:eastAsia="方正仿宋_GBK" w:cs="方正仿宋_GBK"/>
          <w:color w:val="000000" w:themeColor="text1"/>
          <w:sz w:val="32"/>
          <w:szCs w:val="32"/>
          <w:shd w:val="clear" w:color="auto" w:fill="FFFFFF"/>
        </w:rPr>
        <w:t>2024年度收入总计78.07万元，支出总计</w:t>
      </w:r>
      <w:r>
        <w:rPr>
          <w:rFonts w:ascii="方正仿宋_GBK" w:hAnsi="方正仿宋_GBK" w:eastAsia="方正仿宋_GBK" w:cs="方正仿宋_GBK"/>
          <w:color w:val="000000" w:themeColor="text1"/>
          <w:sz w:val="32"/>
          <w:szCs w:val="32"/>
        </w:rPr>
        <w:t>78.07</w:t>
      </w:r>
      <w:r>
        <w:rPr>
          <w:rFonts w:ascii="方正仿宋_GBK" w:hAnsi="方正仿宋_GBK" w:eastAsia="方正仿宋_GBK" w:cs="方正仿宋_GBK"/>
          <w:color w:val="000000" w:themeColor="text1"/>
          <w:sz w:val="32"/>
          <w:szCs w:val="32"/>
          <w:shd w:val="clear" w:color="auto" w:fill="FFFFFF"/>
        </w:rPr>
        <w:t>万元。收、支与2023年度相比，减少0.05万元，下降0.1%，主要原因是公用经费减少，人员工资变动。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shd w:val="clear" w:color="auto" w:fill="FFFFFF"/>
        </w:rPr>
      </w:pPr>
      <w:r>
        <w:rPr>
          <w:rStyle w:val="10"/>
          <w:rFonts w:ascii="方正仿宋_GBK" w:hAnsi="方正仿宋_GBK" w:eastAsia="方正仿宋_GBK" w:cs="方正仿宋_GBK"/>
          <w:color w:val="000000" w:themeColor="text1"/>
          <w:sz w:val="32"/>
          <w:szCs w:val="32"/>
          <w:shd w:val="clear" w:color="auto" w:fill="FFFFFF"/>
        </w:rPr>
        <w:t>2.收入情况。</w:t>
      </w:r>
      <w:r>
        <w:rPr>
          <w:rFonts w:ascii="方正仿宋_GBK" w:hAnsi="方正仿宋_GBK" w:eastAsia="方正仿宋_GBK" w:cs="方正仿宋_GBK"/>
          <w:color w:val="000000" w:themeColor="text1"/>
          <w:sz w:val="32"/>
          <w:szCs w:val="32"/>
          <w:shd w:val="clear" w:color="auto" w:fill="FFFFFF"/>
        </w:rPr>
        <w:t>2024年度收入合计78.07万元，与2023年度相比，减少0.05万元，下降0.1%，主要原因是公用经费减少，人员工资变动。</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78.07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shd w:val="clear" w:color="auto" w:fill="FFFFFF"/>
        </w:rPr>
      </w:pPr>
      <w:r>
        <w:rPr>
          <w:rStyle w:val="10"/>
          <w:rFonts w:ascii="方正仿宋_GBK" w:hAnsi="方正仿宋_GBK" w:eastAsia="方正仿宋_GBK" w:cs="方正仿宋_GBK"/>
          <w:color w:val="000000" w:themeColor="text1"/>
          <w:sz w:val="32"/>
          <w:szCs w:val="32"/>
          <w:shd w:val="clear" w:color="auto" w:fill="FFFFFF"/>
        </w:rPr>
        <w:t>3.支出情况。</w:t>
      </w:r>
      <w:r>
        <w:rPr>
          <w:rFonts w:ascii="方正仿宋_GBK" w:hAnsi="方正仿宋_GBK" w:eastAsia="方正仿宋_GBK" w:cs="方正仿宋_GBK"/>
          <w:color w:val="000000" w:themeColor="text1"/>
          <w:sz w:val="32"/>
          <w:szCs w:val="32"/>
          <w:shd w:val="clear" w:color="auto" w:fill="FFFFFF"/>
        </w:rPr>
        <w:t>2024年度支出合计</w:t>
      </w:r>
      <w:r>
        <w:rPr>
          <w:rFonts w:ascii="方正仿宋_GBK" w:hAnsi="方正仿宋_GBK" w:eastAsia="方正仿宋_GBK" w:cs="方正仿宋_GBK"/>
          <w:color w:val="000000" w:themeColor="text1"/>
          <w:sz w:val="32"/>
          <w:szCs w:val="32"/>
        </w:rPr>
        <w:t>78.07</w:t>
      </w:r>
      <w:r>
        <w:rPr>
          <w:rFonts w:ascii="方正仿宋_GBK" w:hAnsi="方正仿宋_GBK" w:eastAsia="方正仿宋_GBK" w:cs="方正仿宋_GBK"/>
          <w:color w:val="000000" w:themeColor="text1"/>
          <w:sz w:val="32"/>
          <w:szCs w:val="32"/>
          <w:shd w:val="clear" w:color="auto" w:fill="FFFFFF"/>
        </w:rPr>
        <w:t>万元，与2023年度相比，减少0.05万元，下降0.1%，主要原因是公用经费减少，人员工资变动。</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78.07</w:t>
      </w:r>
      <w:r>
        <w:rPr>
          <w:rFonts w:ascii="方正仿宋_GBK" w:hAnsi="方正仿宋_GBK" w:eastAsia="方正仿宋_GBK" w:cs="方正仿宋_GBK"/>
          <w:sz w:val="32"/>
          <w:szCs w:val="32"/>
          <w:shd w:val="clear" w:color="auto" w:fill="FFFFFF"/>
        </w:rPr>
        <w:t>万元，占100.0%；项目支出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rPr>
      </w:pPr>
      <w:r>
        <w:rPr>
          <w:rStyle w:val="10"/>
          <w:rFonts w:ascii="方正仿宋_GBK" w:hAnsi="方正仿宋_GBK" w:eastAsia="方正仿宋_GBK" w:cs="方正仿宋_GBK"/>
          <w:color w:val="000000" w:themeColor="text1"/>
          <w:sz w:val="32"/>
          <w:szCs w:val="32"/>
          <w:shd w:val="clear" w:color="auto" w:fill="FFFFFF"/>
        </w:rPr>
        <w:t>4.结转结余情况。</w:t>
      </w:r>
      <w:r>
        <w:rPr>
          <w:rFonts w:ascii="方正仿宋_GBK" w:hAnsi="方正仿宋_GBK" w:eastAsia="方正仿宋_GBK" w:cs="方正仿宋_GBK"/>
          <w:color w:val="000000" w:themeColor="text1"/>
          <w:sz w:val="32"/>
          <w:szCs w:val="32"/>
          <w:shd w:val="clear" w:color="auto" w:fill="FFFFFF"/>
        </w:rPr>
        <w:t>2024年度年末结转和结余</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万元，与2023年度相比，无增减，主要原因是</w:t>
      </w:r>
      <w:r>
        <w:rPr>
          <w:rFonts w:hint="default" w:ascii="方正仿宋_GBK" w:hAnsi="方正仿宋_GBK" w:eastAsia="方正仿宋_GBK" w:cs="方正仿宋_GBK"/>
          <w:color w:val="000000" w:themeColor="text1"/>
          <w:sz w:val="32"/>
          <w:szCs w:val="32"/>
          <w:shd w:val="clear" w:color="auto" w:fill="FFFFFF"/>
        </w:rPr>
        <w:t>本年度与上年度均无结转结余</w:t>
      </w:r>
      <w:r>
        <w:rPr>
          <w:rFonts w:ascii="方正仿宋_GBK" w:hAnsi="方正仿宋_GBK" w:eastAsia="方正仿宋_GBK" w:cs="方正仿宋_GBK"/>
          <w:color w:val="000000" w:themeColor="text1"/>
          <w:sz w:val="32"/>
          <w:szCs w:val="32"/>
          <w:shd w:val="clear" w:color="auto" w:fill="FFFFFF"/>
        </w:rPr>
        <w:t>。</w:t>
      </w:r>
    </w:p>
    <w:p>
      <w:pPr>
        <w:pStyle w:val="11"/>
        <w:autoSpaceDE w:val="0"/>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2024年度财政拨款收、支总计78.07万元。与2023年相比，财政拨款收、支总计各减少0.05万元，下降0.1%。主要原因是公用经费减少，人员工资变动。</w:t>
      </w:r>
    </w:p>
    <w:p>
      <w:pPr>
        <w:pStyle w:val="11"/>
        <w:autoSpaceDE w:val="0"/>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rPr>
      </w:pPr>
      <w:r>
        <w:rPr>
          <w:rStyle w:val="10"/>
          <w:rFonts w:ascii="方正仿宋_GBK" w:hAnsi="方正仿宋_GBK" w:eastAsia="方正仿宋_GBK" w:cs="方正仿宋_GBK"/>
          <w:color w:val="000000" w:themeColor="text1"/>
          <w:sz w:val="32"/>
          <w:szCs w:val="32"/>
          <w:shd w:val="clear" w:color="auto" w:fill="FFFFFF"/>
        </w:rPr>
        <w:t>1.收入情况。</w:t>
      </w:r>
      <w:r>
        <w:rPr>
          <w:rFonts w:ascii="方正仿宋_GBK" w:hAnsi="方正仿宋_GBK" w:eastAsia="方正仿宋_GBK" w:cs="方正仿宋_GBK"/>
          <w:color w:val="000000" w:themeColor="text1"/>
          <w:sz w:val="32"/>
          <w:szCs w:val="32"/>
          <w:shd w:val="clear" w:color="auto" w:fill="FFFFFF"/>
        </w:rPr>
        <w:t>2024年度一般公共预算财政拨款收入</w:t>
      </w:r>
      <w:r>
        <w:rPr>
          <w:rFonts w:ascii="方正仿宋_GBK" w:hAnsi="方正仿宋_GBK" w:eastAsia="方正仿宋_GBK" w:cs="方正仿宋_GBK"/>
          <w:color w:val="000000" w:themeColor="text1"/>
          <w:sz w:val="32"/>
          <w:szCs w:val="32"/>
        </w:rPr>
        <w:t>78.07</w:t>
      </w:r>
      <w:r>
        <w:rPr>
          <w:rFonts w:ascii="方正仿宋_GBK" w:hAnsi="方正仿宋_GBK" w:eastAsia="方正仿宋_GBK" w:cs="方正仿宋_GBK"/>
          <w:color w:val="000000" w:themeColor="text1"/>
          <w:sz w:val="32"/>
          <w:szCs w:val="32"/>
          <w:shd w:val="clear" w:color="auto" w:fill="FFFFFF"/>
        </w:rPr>
        <w:t>万元，与2023年度相比，减少0.05万元，下降0.1%。主要原因是公用经费减少，人员工资变动。较年初预算数增加5.88万元，增长8.2%。主要原因是人员工资变动。此外，年初财政拨款结转和结余</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rPr>
      </w:pPr>
      <w:r>
        <w:rPr>
          <w:rStyle w:val="10"/>
          <w:rFonts w:ascii="方正仿宋_GBK" w:hAnsi="方正仿宋_GBK" w:eastAsia="方正仿宋_GBK" w:cs="方正仿宋_GBK"/>
          <w:color w:val="000000" w:themeColor="text1"/>
          <w:sz w:val="32"/>
          <w:szCs w:val="32"/>
          <w:shd w:val="clear" w:color="auto" w:fill="FFFFFF"/>
        </w:rPr>
        <w:t>2.支出情况。</w:t>
      </w:r>
      <w:r>
        <w:rPr>
          <w:rFonts w:ascii="方正仿宋_GBK" w:hAnsi="方正仿宋_GBK" w:eastAsia="方正仿宋_GBK" w:cs="方正仿宋_GBK"/>
          <w:color w:val="000000" w:themeColor="text1"/>
          <w:sz w:val="32"/>
          <w:szCs w:val="32"/>
          <w:shd w:val="clear" w:color="auto" w:fill="FFFFFF"/>
        </w:rPr>
        <w:t>2024年度一般公共预算财政拨款支出</w:t>
      </w:r>
      <w:r>
        <w:rPr>
          <w:rFonts w:ascii="方正仿宋_GBK" w:hAnsi="方正仿宋_GBK" w:eastAsia="方正仿宋_GBK" w:cs="方正仿宋_GBK"/>
          <w:color w:val="000000" w:themeColor="text1"/>
          <w:sz w:val="32"/>
          <w:szCs w:val="32"/>
        </w:rPr>
        <w:t>78.07</w:t>
      </w:r>
      <w:r>
        <w:rPr>
          <w:rFonts w:ascii="方正仿宋_GBK" w:hAnsi="方正仿宋_GBK" w:eastAsia="方正仿宋_GBK" w:cs="方正仿宋_GBK"/>
          <w:color w:val="000000" w:themeColor="text1"/>
          <w:sz w:val="32"/>
          <w:szCs w:val="32"/>
          <w:shd w:val="clear" w:color="auto" w:fill="FFFFFF"/>
        </w:rPr>
        <w:t>万元，与2023年度相比，减少0.05万元，下降0.1%。主要原因是公用经费减少，人员工资变动。较年初预算数增加5.88万元，增长8.2%。主要原因是人员工资变动。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rPr>
      </w:pPr>
      <w:r>
        <w:rPr>
          <w:rStyle w:val="10"/>
          <w:rFonts w:ascii="方正仿宋_GBK" w:hAnsi="方正仿宋_GBK" w:eastAsia="方正仿宋_GBK" w:cs="方正仿宋_GBK"/>
          <w:color w:val="000000" w:themeColor="text1"/>
          <w:sz w:val="32"/>
          <w:szCs w:val="32"/>
          <w:shd w:val="clear" w:color="auto" w:fill="FFFFFF"/>
        </w:rPr>
        <w:t>3.结转结余情况。</w:t>
      </w:r>
      <w:r>
        <w:rPr>
          <w:rFonts w:ascii="方正仿宋_GBK" w:hAnsi="方正仿宋_GBK" w:eastAsia="方正仿宋_GBK" w:cs="方正仿宋_GBK"/>
          <w:color w:val="000000" w:themeColor="text1"/>
          <w:sz w:val="32"/>
          <w:szCs w:val="32"/>
          <w:shd w:val="clear" w:color="auto" w:fill="FFFFFF"/>
        </w:rPr>
        <w:t>2024年度年末一般公共预算财政拨款结转和结余</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万元，与2023年度相比，无增减，主要原因是</w:t>
      </w:r>
      <w:r>
        <w:rPr>
          <w:rFonts w:hint="default" w:ascii="方正仿宋_GBK" w:hAnsi="方正仿宋_GBK" w:eastAsia="方正仿宋_GBK" w:cs="方正仿宋_GBK"/>
          <w:color w:val="000000" w:themeColor="text1"/>
          <w:sz w:val="32"/>
          <w:szCs w:val="32"/>
          <w:shd w:val="clear" w:color="auto" w:fill="FFFFFF"/>
        </w:rPr>
        <w:t>本年度与上年度均无结转结余</w:t>
      </w:r>
      <w:r>
        <w:rPr>
          <w:rFonts w:ascii="方正仿宋_GBK" w:hAnsi="方正仿宋_GBK" w:eastAsia="方正仿宋_GBK" w:cs="方正仿宋_GBK"/>
          <w:color w:val="000000" w:themeColor="text1"/>
          <w:sz w:val="32"/>
          <w:szCs w:val="32"/>
          <w:shd w:val="clear" w:color="auto" w:fill="FFFFFF"/>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shd w:val="clear" w:color="auto" w:fill="FFFFFF"/>
        </w:rPr>
      </w:pPr>
      <w:r>
        <w:rPr>
          <w:rStyle w:val="10"/>
          <w:rFonts w:ascii="方正仿宋_GBK" w:hAnsi="方正仿宋_GBK" w:eastAsia="方正仿宋_GBK" w:cs="方正仿宋_GBK"/>
          <w:color w:val="000000" w:themeColor="text1"/>
          <w:sz w:val="32"/>
          <w:szCs w:val="32"/>
          <w:shd w:val="clear" w:color="auto" w:fill="FFFFFF"/>
        </w:rPr>
        <w:t xml:space="preserve"> 4.比较情况。</w:t>
      </w:r>
      <w:r>
        <w:rPr>
          <w:rFonts w:ascii="方正仿宋_GBK" w:hAnsi="方正仿宋_GBK" w:eastAsia="方正仿宋_GBK" w:cs="方正仿宋_GBK"/>
          <w:color w:val="000000" w:themeColor="text1"/>
          <w:sz w:val="32"/>
          <w:szCs w:val="32"/>
          <w:shd w:val="clear" w:color="auto" w:fill="FFFFFF"/>
        </w:rPr>
        <w:t>本部门2024年度一般公共预算财政拨款支出主要用于以下几个方面：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ascii="方正仿宋_GBK" w:hAnsi="方正仿宋_GBK" w:eastAsia="方正仿宋_GBK" w:cs="方正仿宋_GBK"/>
          <w:sz w:val="32"/>
          <w:szCs w:val="32"/>
        </w:rPr>
        <w:t>54.35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69.6%</w:t>
      </w:r>
      <w:r>
        <w:rPr>
          <w:rFonts w:ascii="方正仿宋_GBK" w:hAnsi="方正仿宋_GBK" w:eastAsia="方正仿宋_GBK" w:cs="方正仿宋_GBK"/>
          <w:sz w:val="32"/>
          <w:szCs w:val="32"/>
          <w:shd w:val="clear" w:color="auto" w:fill="FFFFFF"/>
        </w:rPr>
        <w:t>，较年初预算数减少5.12万元，下降8.6%，</w:t>
      </w:r>
      <w:r>
        <w:rPr>
          <w:rFonts w:ascii="方正仿宋_GBK" w:hAnsi="方正仿宋_GBK" w:eastAsia="方正仿宋_GBK" w:cs="方正仿宋_GBK"/>
          <w:color w:val="000000" w:themeColor="text1"/>
          <w:sz w:val="32"/>
          <w:szCs w:val="32"/>
          <w:shd w:val="clear" w:color="auto" w:fill="FFFFFF"/>
        </w:rPr>
        <w:t>主要原因是人员工资调整。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sz w:val="32"/>
          <w:szCs w:val="32"/>
          <w:shd w:val="clear" w:color="auto" w:fill="FFFFFF"/>
        </w:rPr>
        <w:t>（2）教育支出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，较年初预算数减少0.20万元，下降100.0%，主要原因是本年度无</w:t>
      </w:r>
      <w:r>
        <w:rPr>
          <w:rFonts w:hint="default" w:ascii="方正仿宋_GBK" w:hAnsi="方正仿宋_GBK" w:eastAsia="方正仿宋_GBK" w:cs="方正仿宋_GBK"/>
          <w:sz w:val="32"/>
          <w:szCs w:val="32"/>
          <w:shd w:val="clear" w:color="auto" w:fill="FFFFFF"/>
        </w:rPr>
        <w:t>教育支出。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w:t>
      </w:r>
      <w:r>
        <w:rPr>
          <w:rFonts w:hint="default" w:ascii="方正仿宋_GBK" w:hAnsi="方正仿宋_GBK" w:eastAsia="方正仿宋_GBK" w:cs="方正仿宋_GBK"/>
          <w:color w:val="000000" w:themeColor="text1"/>
          <w:sz w:val="32"/>
          <w:szCs w:val="32"/>
          <w:shd w:val="clear" w:color="auto" w:fill="FFFFFF"/>
        </w:rPr>
        <w:t>3</w:t>
      </w:r>
      <w:r>
        <w:rPr>
          <w:rFonts w:ascii="方正仿宋_GBK" w:hAnsi="方正仿宋_GBK" w:eastAsia="方正仿宋_GBK" w:cs="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14.28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18.3%</w:t>
      </w:r>
      <w:r>
        <w:rPr>
          <w:rFonts w:ascii="方正仿宋_GBK" w:hAnsi="方正仿宋_GBK" w:eastAsia="方正仿宋_GBK" w:cs="方正仿宋_GBK"/>
          <w:sz w:val="32"/>
          <w:szCs w:val="32"/>
          <w:shd w:val="clear" w:color="auto" w:fill="FFFFFF"/>
        </w:rPr>
        <w:t>，较年初预算数增加7.75万元，增长118.7%，</w:t>
      </w:r>
      <w:r>
        <w:rPr>
          <w:rFonts w:ascii="方正仿宋_GBK" w:hAnsi="方正仿宋_GBK" w:eastAsia="方正仿宋_GBK" w:cs="方正仿宋_GBK"/>
          <w:color w:val="000000" w:themeColor="text1"/>
          <w:sz w:val="32"/>
          <w:szCs w:val="32"/>
          <w:shd w:val="clear" w:color="auto" w:fill="FFFFFF"/>
        </w:rPr>
        <w:t>主要原因是调整缴费基数，补交养老保险和职业年金</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w:t>
      </w:r>
      <w:r>
        <w:rPr>
          <w:rFonts w:hint="default" w:ascii="方正仿宋_GBK" w:hAnsi="方正仿宋_GBK" w:eastAsia="方正仿宋_GBK" w:cs="方正仿宋_GBK"/>
          <w:color w:val="000000" w:themeColor="text1"/>
          <w:sz w:val="32"/>
          <w:szCs w:val="32"/>
          <w:shd w:val="clear" w:color="auto" w:fill="FFFFFF"/>
        </w:rPr>
        <w:t>4</w:t>
      </w:r>
      <w:r>
        <w:rPr>
          <w:rFonts w:ascii="方正仿宋_GBK" w:hAnsi="方正仿宋_GBK" w:eastAsia="方正仿宋_GBK" w:cs="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2.86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3.7%</w:t>
      </w:r>
      <w:r>
        <w:rPr>
          <w:rFonts w:ascii="方正仿宋_GBK" w:hAnsi="方正仿宋_GBK" w:eastAsia="方正仿宋_GBK" w:cs="方正仿宋_GBK"/>
          <w:sz w:val="32"/>
          <w:szCs w:val="32"/>
          <w:shd w:val="clear" w:color="auto" w:fill="FFFFFF"/>
        </w:rPr>
        <w:t>，较年初预算数增加0.14万元，增长5.2%，</w:t>
      </w:r>
      <w:r>
        <w:rPr>
          <w:rFonts w:ascii="方正仿宋_GBK" w:hAnsi="方正仿宋_GBK" w:eastAsia="方正仿宋_GBK" w:cs="方正仿宋_GBK"/>
          <w:color w:val="000000" w:themeColor="text1"/>
          <w:sz w:val="32"/>
          <w:szCs w:val="32"/>
          <w:shd w:val="clear" w:color="auto" w:fill="FFFFFF"/>
        </w:rPr>
        <w:t>主要原因是人员工资增长。</w:t>
      </w:r>
    </w:p>
    <w:p>
      <w:pPr>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w:t>
      </w:r>
      <w:r>
        <w:rPr>
          <w:rFonts w:hint="default" w:ascii="方正仿宋_GBK" w:hAnsi="方正仿宋_GBK" w:eastAsia="方正仿宋_GBK" w:cs="方正仿宋_GBK"/>
          <w:color w:val="000000" w:themeColor="text1"/>
          <w:sz w:val="32"/>
          <w:szCs w:val="32"/>
          <w:shd w:val="clear" w:color="auto" w:fill="FFFFFF"/>
        </w:rPr>
        <w:t>5</w:t>
      </w:r>
      <w:r>
        <w:rPr>
          <w:rFonts w:ascii="方正仿宋_GBK" w:hAnsi="方正仿宋_GBK" w:eastAsia="方正仿宋_GBK" w:cs="方正仿宋_GBK"/>
          <w:color w:val="000000" w:themeColor="text1"/>
          <w:sz w:val="32"/>
          <w:szCs w:val="32"/>
          <w:shd w:val="clear" w:color="auto" w:fill="FFFFFF"/>
        </w:rPr>
        <w:t>）</w:t>
      </w:r>
      <w:r>
        <w:rPr>
          <w:rFonts w:ascii="方正仿宋_GBK" w:hAnsi="方正仿宋_GBK" w:eastAsia="方正仿宋_GBK" w:cs="方正仿宋_GBK"/>
          <w:sz w:val="32"/>
          <w:szCs w:val="32"/>
        </w:rPr>
        <w:t>住房保障支出6.59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8.4%</w:t>
      </w:r>
      <w:r>
        <w:rPr>
          <w:rFonts w:ascii="方正仿宋_GBK" w:hAnsi="方正仿宋_GBK" w:eastAsia="方正仿宋_GBK" w:cs="方正仿宋_GBK"/>
          <w:sz w:val="32"/>
          <w:szCs w:val="32"/>
          <w:shd w:val="clear" w:color="auto" w:fill="FFFFFF"/>
        </w:rPr>
        <w:t>，较年初预算数增加3.33万元，增长102.2%，</w:t>
      </w:r>
      <w:r>
        <w:rPr>
          <w:rFonts w:ascii="方正仿宋_GBK" w:hAnsi="方正仿宋_GBK" w:eastAsia="方正仿宋_GBK" w:cs="方正仿宋_GBK"/>
          <w:color w:val="000000" w:themeColor="text1"/>
          <w:sz w:val="32"/>
          <w:szCs w:val="32"/>
          <w:shd w:val="clear" w:color="auto" w:fill="FFFFFF"/>
        </w:rPr>
        <w:t>主要原因是精算补交住房公积金，缴费基数调整。</w:t>
      </w:r>
    </w:p>
    <w:p>
      <w:pPr>
        <w:pStyle w:val="11"/>
        <w:autoSpaceDE w:val="0"/>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 2024年度一般公共财政拨款基本支出</w:t>
      </w:r>
      <w:r>
        <w:rPr>
          <w:rFonts w:ascii="方正仿宋_GBK" w:hAnsi="方正仿宋_GBK" w:eastAsia="方正仿宋_GBK" w:cs="方正仿宋_GBK"/>
          <w:color w:val="000000" w:themeColor="text1"/>
          <w:sz w:val="32"/>
          <w:szCs w:val="32"/>
        </w:rPr>
        <w:t>78.07</w:t>
      </w:r>
      <w:r>
        <w:rPr>
          <w:rFonts w:ascii="方正仿宋_GBK" w:hAnsi="方正仿宋_GBK" w:eastAsia="方正仿宋_GBK" w:cs="方正仿宋_GBK"/>
          <w:color w:val="000000" w:themeColor="text1"/>
          <w:sz w:val="32"/>
          <w:szCs w:val="32"/>
          <w:shd w:val="clear" w:color="auto" w:fill="FFFFFF"/>
        </w:rPr>
        <w:t>万元。其中：人员经费</w:t>
      </w:r>
      <w:r>
        <w:rPr>
          <w:rFonts w:ascii="方正仿宋_GBK" w:hAnsi="方正仿宋_GBK" w:eastAsia="方正仿宋_GBK" w:cs="方正仿宋_GBK"/>
          <w:color w:val="000000" w:themeColor="text1"/>
          <w:sz w:val="32"/>
          <w:szCs w:val="32"/>
        </w:rPr>
        <w:t>74.71</w:t>
      </w:r>
      <w:r>
        <w:rPr>
          <w:rFonts w:ascii="方正仿宋_GBK" w:hAnsi="方正仿宋_GBK" w:eastAsia="方正仿宋_GBK" w:cs="方正仿宋_GBK"/>
          <w:color w:val="000000" w:themeColor="text1"/>
          <w:sz w:val="32"/>
          <w:szCs w:val="32"/>
          <w:shd w:val="clear" w:color="auto" w:fill="FFFFFF"/>
        </w:rPr>
        <w:t>万元，与2023年度相比，增加4.96万元，增长7.1%，主要原因是人员工资增长，补交养老保险和职业年金。人员经费用途主要包括</w:t>
      </w:r>
      <w:r>
        <w:rPr>
          <w:rFonts w:eastAsia="方正仿宋_GBK"/>
          <w:color w:val="000000" w:themeColor="text1"/>
          <w:sz w:val="32"/>
          <w:szCs w:val="32"/>
        </w:rPr>
        <w:t>基本工资、津贴补贴、奖金、社会保障缴费等</w:t>
      </w:r>
      <w:r>
        <w:rPr>
          <w:rFonts w:ascii="方正仿宋_GBK" w:hAnsi="方正仿宋_GBK" w:eastAsia="方正仿宋_GBK" w:cs="方正仿宋_GBK"/>
          <w:color w:val="000000" w:themeColor="text1"/>
          <w:sz w:val="32"/>
          <w:szCs w:val="32"/>
          <w:shd w:val="clear" w:color="auto" w:fill="FFFFFF"/>
        </w:rPr>
        <w:t>。公用经费</w:t>
      </w:r>
      <w:r>
        <w:rPr>
          <w:rFonts w:ascii="方正仿宋_GBK" w:hAnsi="方正仿宋_GBK" w:eastAsia="方正仿宋_GBK" w:cs="方正仿宋_GBK"/>
          <w:color w:val="000000" w:themeColor="text1"/>
          <w:sz w:val="32"/>
          <w:szCs w:val="32"/>
        </w:rPr>
        <w:t>3.36</w:t>
      </w:r>
      <w:r>
        <w:rPr>
          <w:rFonts w:ascii="方正仿宋_GBK" w:hAnsi="方正仿宋_GBK" w:eastAsia="方正仿宋_GBK" w:cs="方正仿宋_GBK"/>
          <w:color w:val="000000" w:themeColor="text1"/>
          <w:sz w:val="32"/>
          <w:szCs w:val="32"/>
          <w:shd w:val="clear" w:color="auto" w:fill="FFFFFF"/>
        </w:rPr>
        <w:t>万元，与2023年度相比，减少5.02万元，下降59.9%，主要原因是</w:t>
      </w:r>
      <w:r>
        <w:rPr>
          <w:rFonts w:ascii="方正仿宋_GBK" w:hAnsi="方正仿宋_GBK" w:eastAsia="方正仿宋_GBK" w:cs="方正仿宋_GBK"/>
          <w:color w:val="000000" w:themeColor="text1"/>
          <w:sz w:val="32"/>
          <w:szCs w:val="32"/>
        </w:rPr>
        <w:t>过紧日子、缩减开支。公用经费用途主要包括办公费、印刷费、电费、邮电费、培训费、维修（护）费、公务接待费、劳务费、公务用车运行维护费、办公设备购置等</w:t>
      </w:r>
      <w:r>
        <w:rPr>
          <w:rFonts w:ascii="方正仿宋_GBK" w:hAnsi="方正仿宋_GBK" w:eastAsia="方正仿宋_GBK" w:cs="方正仿宋_GBK"/>
          <w:color w:val="000000" w:themeColor="text1"/>
          <w:sz w:val="32"/>
          <w:szCs w:val="32"/>
          <w:shd w:val="clear" w:color="auto" w:fill="FFFFFF"/>
        </w:rPr>
        <w:t>。</w:t>
      </w:r>
    </w:p>
    <w:p>
      <w:pPr>
        <w:pStyle w:val="11"/>
        <w:autoSpaceDE w:val="0"/>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bookmarkStart w:id="0" w:name="_GoBack"/>
      <w:bookmarkEnd w:id="0"/>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pPr>
        <w:pStyle w:val="11"/>
        <w:autoSpaceDE w:val="0"/>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 </w:t>
      </w: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color w:val="000000" w:themeColor="text1"/>
          <w:sz w:val="32"/>
          <w:szCs w:val="32"/>
          <w:shd w:val="clear" w:color="auto" w:fill="FFFFFF"/>
        </w:rPr>
      </w:pPr>
      <w:r>
        <w:rPr>
          <w:rStyle w:val="10"/>
          <w:rFonts w:ascii="黑体" w:hAnsi="黑体" w:eastAsia="黑体" w:cs="黑体"/>
          <w:color w:val="000000" w:themeColor="text1"/>
          <w:sz w:val="32"/>
          <w:szCs w:val="32"/>
          <w:shd w:val="clear" w:color="auto" w:fill="FFFFFF"/>
        </w:rPr>
        <w:t>三、财政拨款</w:t>
      </w:r>
      <w:r>
        <w:rPr>
          <w:rStyle w:val="10"/>
          <w:rFonts w:hint="eastAsia" w:ascii="黑体" w:hAnsi="黑体" w:eastAsia="黑体" w:cs="黑体"/>
          <w:color w:val="000000" w:themeColor="text1"/>
          <w:sz w:val="32"/>
          <w:szCs w:val="32"/>
          <w:shd w:val="clear" w:color="auto" w:fill="FFFFFF"/>
          <w:lang w:eastAsia="zh-CN"/>
        </w:rPr>
        <w:t>三公</w:t>
      </w:r>
      <w:r>
        <w:rPr>
          <w:rStyle w:val="10"/>
          <w:rFonts w:ascii="黑体" w:hAnsi="黑体" w:eastAsia="黑体" w:cs="黑体"/>
          <w:color w:val="000000" w:themeColor="text1"/>
          <w:sz w:val="32"/>
          <w:szCs w:val="32"/>
          <w:shd w:val="clear" w:color="auto" w:fill="FFFFFF"/>
        </w:rPr>
        <w:t>经费情况说明</w:t>
      </w:r>
    </w:p>
    <w:p>
      <w:pPr>
        <w:pStyle w:val="11"/>
        <w:autoSpaceDE w:val="0"/>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 xml:space="preserve"> （一）</w:t>
      </w:r>
      <w:r>
        <w:rPr>
          <w:rFonts w:hint="eastAsia" w:ascii="楷体" w:hAnsi="楷体" w:eastAsia="楷体" w:cs="楷体"/>
          <w:b/>
          <w:bCs/>
          <w:color w:val="000000" w:themeColor="text1"/>
          <w:sz w:val="32"/>
          <w:szCs w:val="32"/>
          <w:shd w:val="clear" w:color="auto" w:fill="FFFFFF"/>
          <w:lang w:eastAsia="zh-CN"/>
        </w:rPr>
        <w:t>三公</w:t>
      </w:r>
      <w:r>
        <w:rPr>
          <w:rFonts w:hint="eastAsia" w:ascii="楷体" w:hAnsi="楷体" w:eastAsia="楷体" w:cs="楷体"/>
          <w:b/>
          <w:bCs/>
          <w:color w:val="000000" w:themeColor="text1"/>
          <w:sz w:val="32"/>
          <w:szCs w:val="32"/>
          <w:shd w:val="clear" w:color="auto" w:fill="FFFFFF"/>
        </w:rPr>
        <w:t>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2024年度</w:t>
      </w:r>
      <w:r>
        <w:rPr>
          <w:rFonts w:hint="eastAsia" w:ascii="方正仿宋_GBK" w:hAnsi="方正仿宋_GBK" w:eastAsia="方正仿宋_GBK" w:cs="方正仿宋_GBK"/>
          <w:color w:val="000000" w:themeColor="text1"/>
          <w:sz w:val="32"/>
          <w:szCs w:val="32"/>
          <w:shd w:val="clear" w:color="auto" w:fill="FFFFFF"/>
          <w:lang w:eastAsia="zh-CN"/>
        </w:rPr>
        <w:t>三公</w:t>
      </w:r>
      <w:r>
        <w:rPr>
          <w:rFonts w:ascii="方正仿宋_GBK" w:hAnsi="方正仿宋_GBK" w:eastAsia="方正仿宋_GBK" w:cs="方正仿宋_GBK"/>
          <w:color w:val="000000" w:themeColor="text1"/>
          <w:sz w:val="32"/>
          <w:szCs w:val="32"/>
          <w:shd w:val="clear" w:color="auto" w:fill="FFFFFF"/>
        </w:rPr>
        <w:t>经费支出共计</w:t>
      </w:r>
      <w:r>
        <w:rPr>
          <w:rFonts w:ascii="方正仿宋_GBK" w:hAnsi="方正仿宋_GBK" w:eastAsia="方正仿宋_GBK" w:cs="方正仿宋_GBK"/>
          <w:color w:val="000000" w:themeColor="text1"/>
          <w:sz w:val="32"/>
          <w:szCs w:val="32"/>
        </w:rPr>
        <w:t>0.03</w:t>
      </w:r>
      <w:r>
        <w:rPr>
          <w:rFonts w:ascii="方正仿宋_GBK" w:hAnsi="方正仿宋_GBK" w:eastAsia="方正仿宋_GBK" w:cs="方正仿宋_GBK"/>
          <w:color w:val="000000" w:themeColor="text1"/>
          <w:sz w:val="32"/>
          <w:szCs w:val="32"/>
          <w:shd w:val="clear" w:color="auto" w:fill="FFFFFF"/>
        </w:rPr>
        <w:t>万元，较年初预算数增加0.03万元，增长100.0%，主要原因是接待市妇联来垫督导民生实事项目建设。较上年支出数增加0.03万元，增长100.0%，主要原因是接待市妇联来垫督导民生实事项目建设。</w:t>
      </w:r>
    </w:p>
    <w:p>
      <w:pPr>
        <w:pStyle w:val="11"/>
        <w:autoSpaceDE w:val="0"/>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（二）</w:t>
      </w:r>
      <w:r>
        <w:rPr>
          <w:rFonts w:hint="eastAsia" w:ascii="楷体" w:hAnsi="楷体" w:eastAsia="楷体" w:cs="楷体"/>
          <w:b/>
          <w:bCs/>
          <w:color w:val="000000" w:themeColor="text1"/>
          <w:sz w:val="32"/>
          <w:szCs w:val="32"/>
          <w:shd w:val="clear" w:color="auto" w:fill="FFFFFF"/>
          <w:lang w:eastAsia="zh-CN"/>
        </w:rPr>
        <w:t>三公</w:t>
      </w:r>
      <w:r>
        <w:rPr>
          <w:rFonts w:hint="eastAsia" w:ascii="楷体" w:hAnsi="楷体" w:eastAsia="楷体" w:cs="楷体"/>
          <w:b/>
          <w:bCs/>
          <w:color w:val="000000" w:themeColor="text1"/>
          <w:sz w:val="32"/>
          <w:szCs w:val="32"/>
          <w:shd w:val="clear" w:color="auto" w:fill="FFFFFF"/>
        </w:rPr>
        <w:t>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sz w:val="32"/>
          <w:szCs w:val="32"/>
          <w:shd w:val="clear" w:color="auto" w:fill="FFFFFF"/>
        </w:rPr>
        <w:t xml:space="preserve"> 公务车运行维护费0.00万元。费用支出较年初预算数无增减，主要原因是年初预算未安排且本年未发生公务车运行维护费用。较上年支出数无增减，主要原因是上年和本年均未发生公务车运行维护费用。</w:t>
      </w:r>
      <w:r>
        <w:rPr>
          <w:rFonts w:ascii="方正仿宋_GBK" w:hAnsi="方正仿宋_GBK" w:eastAsia="方正仿宋_GBK" w:cs="方正仿宋_GBK"/>
          <w:color w:val="000000" w:themeColor="text1"/>
          <w:sz w:val="32"/>
          <w:szCs w:val="32"/>
          <w:shd w:val="clear" w:color="auto" w:fill="FFFFFF"/>
        </w:rPr>
        <w:t> </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 公务接待费</w:t>
      </w:r>
      <w:r>
        <w:rPr>
          <w:rFonts w:ascii="方正仿宋_GBK" w:hAnsi="方正仿宋_GBK" w:eastAsia="方正仿宋_GBK" w:cs="方正仿宋_GBK"/>
          <w:color w:val="000000" w:themeColor="text1"/>
          <w:sz w:val="32"/>
          <w:szCs w:val="32"/>
        </w:rPr>
        <w:t>0.03</w:t>
      </w:r>
      <w:r>
        <w:rPr>
          <w:rFonts w:ascii="方正仿宋_GBK" w:hAnsi="方正仿宋_GBK" w:eastAsia="方正仿宋_GBK" w:cs="方正仿宋_GBK"/>
          <w:color w:val="000000" w:themeColor="text1"/>
          <w:sz w:val="32"/>
          <w:szCs w:val="32"/>
          <w:shd w:val="clear" w:color="auto" w:fill="FFFFFF"/>
        </w:rPr>
        <w:t>万元，主要用于接待市级部门检查工作等费用支出。费用支出较年初预算数增加0.03万元，增长100.0%，主要原因是接待市妇联来垫督导民生实事项目建设。较上年支出数增加0.03万元，增长100.0%，主要原因是接待市妇联来垫督导民生实事项目建设。</w:t>
      </w:r>
    </w:p>
    <w:p>
      <w:pPr>
        <w:pStyle w:val="11"/>
        <w:autoSpaceDE w:val="0"/>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（三）</w:t>
      </w:r>
      <w:r>
        <w:rPr>
          <w:rFonts w:hint="eastAsia" w:ascii="楷体" w:hAnsi="楷体" w:eastAsia="楷体" w:cs="楷体"/>
          <w:b/>
          <w:bCs/>
          <w:color w:val="000000" w:themeColor="text1"/>
          <w:sz w:val="32"/>
          <w:szCs w:val="32"/>
          <w:shd w:val="clear" w:color="auto" w:fill="FFFFFF"/>
          <w:lang w:eastAsia="zh-CN"/>
        </w:rPr>
        <w:t>三公</w:t>
      </w:r>
      <w:r>
        <w:rPr>
          <w:rFonts w:hint="eastAsia" w:ascii="楷体" w:hAnsi="楷体" w:eastAsia="楷体" w:cs="楷体"/>
          <w:b/>
          <w:bCs/>
          <w:color w:val="000000" w:themeColor="text1"/>
          <w:sz w:val="32"/>
          <w:szCs w:val="32"/>
          <w:shd w:val="clear" w:color="auto" w:fill="FFFFFF"/>
        </w:rPr>
        <w:t>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  2024年度本部门因公出国（境）共计</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个团组，</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人；公务用车购置</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辆，公务车保有量为</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辆；国内公务接待</w:t>
      </w:r>
      <w:r>
        <w:rPr>
          <w:rFonts w:ascii="方正仿宋_GBK" w:hAnsi="方正仿宋_GBK" w:eastAsia="方正仿宋_GBK" w:cs="方正仿宋_GBK"/>
          <w:color w:val="000000" w:themeColor="text1"/>
          <w:sz w:val="32"/>
          <w:szCs w:val="32"/>
        </w:rPr>
        <w:t>1</w:t>
      </w:r>
      <w:r>
        <w:rPr>
          <w:rFonts w:ascii="方正仿宋_GBK" w:hAnsi="方正仿宋_GBK" w:eastAsia="方正仿宋_GBK" w:cs="方正仿宋_GBK"/>
          <w:color w:val="000000" w:themeColor="text1"/>
          <w:sz w:val="32"/>
          <w:szCs w:val="32"/>
          <w:shd w:val="clear" w:color="auto" w:fill="FFFFFF"/>
        </w:rPr>
        <w:t>批次</w:t>
      </w:r>
      <w:r>
        <w:rPr>
          <w:rFonts w:ascii="方正仿宋_GBK" w:hAnsi="方正仿宋_GBK" w:eastAsia="方正仿宋_GBK" w:cs="方正仿宋_GBK"/>
          <w:color w:val="000000" w:themeColor="text1"/>
          <w:sz w:val="32"/>
          <w:szCs w:val="32"/>
        </w:rPr>
        <w:t>3</w:t>
      </w:r>
      <w:r>
        <w:rPr>
          <w:rFonts w:ascii="方正仿宋_GBK" w:hAnsi="方正仿宋_GBK" w:eastAsia="方正仿宋_GBK" w:cs="方正仿宋_GBK"/>
          <w:color w:val="000000" w:themeColor="text1"/>
          <w:sz w:val="32"/>
          <w:szCs w:val="32"/>
          <w:shd w:val="clear" w:color="auto" w:fill="FFFFFF"/>
        </w:rPr>
        <w:t>人，其中：国内外事接待</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批次，</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人；国（境）外公务接待</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批次，</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人。2024年本部门人均接待费</w:t>
      </w:r>
      <w:r>
        <w:rPr>
          <w:rFonts w:ascii="方正仿宋_GBK" w:hAnsi="方正仿宋_GBK" w:eastAsia="方正仿宋_GBK" w:cs="方正仿宋_GBK"/>
          <w:color w:val="000000" w:themeColor="text1"/>
          <w:sz w:val="32"/>
          <w:szCs w:val="32"/>
        </w:rPr>
        <w:t>92.00</w:t>
      </w:r>
      <w:r>
        <w:rPr>
          <w:rFonts w:ascii="方正仿宋_GBK" w:hAnsi="方正仿宋_GBK" w:eastAsia="方正仿宋_GBK" w:cs="方正仿宋_GBK"/>
          <w:color w:val="000000" w:themeColor="text1"/>
          <w:sz w:val="32"/>
          <w:szCs w:val="32"/>
          <w:shd w:val="clear" w:color="auto" w:fill="FFFFFF"/>
        </w:rPr>
        <w:t>元，车均购置费</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万元，车均维护费</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万元。</w:t>
      </w:r>
    </w:p>
    <w:p>
      <w:pPr>
        <w:pStyle w:val="6"/>
        <w:shd w:val="clear" w:color="auto" w:fill="FFFFFF"/>
        <w:ind w:firstLine="643" w:firstLineChars="200"/>
        <w:rPr>
          <w:rStyle w:val="10"/>
          <w:rFonts w:hint="default" w:ascii="黑体" w:hAnsi="黑体" w:eastAsia="黑体" w:cs="黑体"/>
          <w:color w:val="000000" w:themeColor="text1"/>
          <w:sz w:val="32"/>
          <w:szCs w:val="32"/>
          <w:shd w:val="clear" w:color="auto" w:fill="FFFFFF"/>
        </w:rPr>
      </w:pPr>
      <w:r>
        <w:rPr>
          <w:rStyle w:val="10"/>
          <w:rFonts w:ascii="黑体" w:hAnsi="黑体" w:eastAsia="黑体" w:cs="黑体"/>
          <w:color w:val="000000" w:themeColor="text1"/>
          <w:sz w:val="32"/>
          <w:szCs w:val="32"/>
          <w:shd w:val="clear" w:color="auto" w:fill="FFFFFF"/>
        </w:rPr>
        <w:t>四、其他需要说明的事项</w:t>
      </w:r>
    </w:p>
    <w:p>
      <w:pPr>
        <w:pStyle w:val="11"/>
        <w:autoSpaceDE w:val="0"/>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  （一）财政拨款会议费和培训费情况说明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本年度会议费支出</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万元，与2023年度相比，减少0.15万元，下降100.0%，主要原因是去年未产生会议费，</w:t>
      </w:r>
      <w:r>
        <w:rPr>
          <w:rFonts w:hint="default" w:ascii="方正仿宋_GBK" w:hAnsi="方正仿宋_GBK" w:eastAsia="方正仿宋_GBK" w:cs="方正仿宋_GBK"/>
          <w:color w:val="000000" w:themeColor="text1"/>
          <w:sz w:val="32"/>
          <w:szCs w:val="32"/>
          <w:shd w:val="clear" w:color="auto" w:fill="FFFFFF"/>
        </w:rPr>
        <w:t>本</w:t>
      </w:r>
      <w:r>
        <w:rPr>
          <w:rFonts w:ascii="方正仿宋_GBK" w:hAnsi="方正仿宋_GBK" w:eastAsia="方正仿宋_GBK" w:cs="方正仿宋_GBK"/>
          <w:color w:val="000000" w:themeColor="text1"/>
          <w:sz w:val="32"/>
          <w:szCs w:val="32"/>
          <w:shd w:val="clear" w:color="auto" w:fill="FFFFFF"/>
        </w:rPr>
        <w:t>年度</w:t>
      </w:r>
      <w:r>
        <w:rPr>
          <w:rFonts w:hint="default" w:ascii="方正仿宋_GBK" w:hAnsi="方正仿宋_GBK" w:eastAsia="方正仿宋_GBK" w:cs="方正仿宋_GBK"/>
          <w:color w:val="000000" w:themeColor="text1"/>
          <w:sz w:val="32"/>
          <w:szCs w:val="32"/>
          <w:shd w:val="clear" w:color="auto" w:fill="FFFFFF"/>
        </w:rPr>
        <w:t>按照工作安排</w:t>
      </w:r>
      <w:r>
        <w:rPr>
          <w:rFonts w:ascii="方正仿宋_GBK" w:hAnsi="方正仿宋_GBK" w:eastAsia="方正仿宋_GBK" w:cs="方正仿宋_GBK"/>
          <w:color w:val="000000" w:themeColor="text1"/>
          <w:sz w:val="32"/>
          <w:szCs w:val="32"/>
          <w:shd w:val="clear" w:color="auto" w:fill="FFFFFF"/>
        </w:rPr>
        <w:t>组织</w:t>
      </w:r>
      <w:r>
        <w:rPr>
          <w:rFonts w:hint="default" w:ascii="方正仿宋_GBK" w:hAnsi="方正仿宋_GBK" w:eastAsia="方正仿宋_GBK" w:cs="方正仿宋_GBK"/>
          <w:color w:val="000000" w:themeColor="text1"/>
          <w:sz w:val="32"/>
          <w:szCs w:val="32"/>
          <w:shd w:val="clear" w:color="auto" w:fill="FFFFFF"/>
        </w:rPr>
        <w:t>会议</w:t>
      </w:r>
      <w:r>
        <w:rPr>
          <w:rFonts w:ascii="方正仿宋_GBK" w:hAnsi="方正仿宋_GBK" w:eastAsia="方正仿宋_GBK" w:cs="方正仿宋_GBK"/>
          <w:color w:val="000000" w:themeColor="text1"/>
          <w:sz w:val="32"/>
          <w:szCs w:val="32"/>
          <w:shd w:val="clear" w:color="auto" w:fill="FFFFFF"/>
        </w:rPr>
        <w:t>。本年度培训费支出</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万元，与2023年度相比，无变化，主要原因是未开展培训。</w:t>
      </w:r>
    </w:p>
    <w:p>
      <w:pPr>
        <w:pStyle w:val="11"/>
        <w:autoSpaceDE w:val="0"/>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pPr>
        <w:pStyle w:val="11"/>
        <w:autoSpaceDE w:val="0"/>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截至2024年12月31日，本部门共有车辆</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辆，其中，副部（省）级及以上领导用车</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辆、主要负责人用车</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辆、机要通信用车</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辆、应急保障用车</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辆、执法执勤用车</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辆，特种专业技术用车</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辆，离退休干部用车</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辆。单价100万元（含）以上专用设备</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台（套）。</w:t>
      </w:r>
    </w:p>
    <w:p>
      <w:pPr>
        <w:pStyle w:val="11"/>
        <w:autoSpaceDE w:val="0"/>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12"/>
        <w:spacing w:before="0" w:beforeAutospacing="0" w:after="0" w:afterAutospacing="0" w:line="596" w:lineRule="exact"/>
        <w:ind w:firstLine="643" w:firstLineChars="200"/>
        <w:rPr>
          <w:rStyle w:val="10"/>
          <w:rFonts w:ascii="黑体" w:hAnsi="黑体" w:eastAsia="黑体" w:cs="黑体"/>
          <w:color w:val="000000" w:themeColor="text1"/>
          <w:sz w:val="32"/>
          <w:szCs w:val="32"/>
          <w:shd w:val="clear" w:color="auto" w:fill="FFFFFF"/>
        </w:rPr>
      </w:pPr>
      <w:r>
        <w:rPr>
          <w:rStyle w:val="10"/>
          <w:rFonts w:hint="eastAsia" w:ascii="黑体" w:hAnsi="黑体" w:eastAsia="黑体" w:cs="黑体"/>
          <w:color w:val="000000" w:themeColor="text1"/>
          <w:sz w:val="32"/>
          <w:szCs w:val="32"/>
          <w:shd w:val="clear" w:color="auto" w:fill="FFFFFF"/>
        </w:rPr>
        <w:t>五、2024年度预算绩效管理情况说明</w:t>
      </w:r>
    </w:p>
    <w:p>
      <w:pPr>
        <w:pStyle w:val="12"/>
        <w:autoSpaceDE w:val="0"/>
        <w:spacing w:before="0" w:beforeAutospacing="0" w:after="0" w:afterAutospacing="0" w:line="596" w:lineRule="exact"/>
        <w:ind w:firstLine="643" w:firstLineChars="200"/>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（一）单位自评情况</w:t>
      </w:r>
    </w:p>
    <w:p>
      <w:pPr>
        <w:pStyle w:val="12"/>
        <w:autoSpaceDE w:val="0"/>
        <w:spacing w:before="0" w:beforeAutospacing="0" w:after="0" w:afterAutospacing="0" w:line="596" w:lineRule="exact"/>
        <w:ind w:firstLine="640" w:firstLineChars="200"/>
        <w:rPr>
          <w:rStyle w:val="13"/>
          <w:rFonts w:ascii="方正仿宋_GBK" w:hAnsi="方正仿宋_GBK" w:eastAsia="方正仿宋_GBK" w:cs="方正仿宋_GBK"/>
          <w:b w:val="0"/>
          <w:bCs w:val="0"/>
          <w:color w:val="000000" w:themeColor="text1"/>
          <w:sz w:val="32"/>
          <w:szCs w:val="32"/>
          <w:shd w:val="clear" w:color="auto" w:fill="FFFFFF"/>
        </w:rPr>
      </w:pPr>
      <w:r>
        <w:rPr>
          <w:rStyle w:val="13"/>
          <w:rFonts w:hint="eastAsia" w:ascii="方正仿宋_GBK" w:hAnsi="方正仿宋_GBK" w:eastAsia="方正仿宋_GBK" w:cs="方正仿宋_GBK"/>
          <w:b w:val="0"/>
          <w:bCs w:val="0"/>
          <w:color w:val="000000" w:themeColor="text1"/>
          <w:sz w:val="32"/>
          <w:szCs w:val="32"/>
          <w:shd w:val="clear" w:color="auto" w:fill="FFFFFF"/>
        </w:rPr>
        <w:t>根据预算绩效管理要求，我单位无项目开展，未开展绩效评价。</w:t>
      </w:r>
    </w:p>
    <w:p>
      <w:pPr>
        <w:pStyle w:val="12"/>
        <w:autoSpaceDE w:val="0"/>
        <w:spacing w:before="0" w:beforeAutospacing="0" w:after="0" w:afterAutospacing="0" w:line="596" w:lineRule="exact"/>
        <w:ind w:firstLine="643" w:firstLineChars="200"/>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（二）部门绩效评价情况</w:t>
      </w:r>
    </w:p>
    <w:p>
      <w:pPr>
        <w:pStyle w:val="12"/>
        <w:autoSpaceDE w:val="0"/>
        <w:spacing w:before="0" w:beforeAutospacing="0" w:after="0" w:afterAutospacing="0" w:line="596" w:lineRule="exact"/>
        <w:ind w:firstLine="640" w:firstLineChars="200"/>
        <w:rPr>
          <w:rStyle w:val="13"/>
          <w:rFonts w:ascii="方正仿宋_GBK" w:hAnsi="方正仿宋_GBK" w:eastAsia="方正仿宋_GBK" w:cs="方正仿宋_GBK"/>
          <w:b w:val="0"/>
          <w:bCs w:val="0"/>
          <w:color w:val="000000" w:themeColor="text1"/>
          <w:sz w:val="32"/>
          <w:szCs w:val="32"/>
          <w:shd w:val="clear" w:color="auto" w:fill="FFFFFF"/>
        </w:rPr>
      </w:pPr>
      <w:r>
        <w:rPr>
          <w:rStyle w:val="13"/>
          <w:rFonts w:hint="eastAsia" w:ascii="方正仿宋_GBK" w:hAnsi="方正仿宋_GBK" w:eastAsia="方正仿宋_GBK" w:cs="方正仿宋_GBK"/>
          <w:b w:val="0"/>
          <w:bCs w:val="0"/>
          <w:color w:val="000000" w:themeColor="text1"/>
          <w:sz w:val="32"/>
          <w:szCs w:val="32"/>
          <w:shd w:val="clear" w:color="auto" w:fill="FFFFFF"/>
        </w:rPr>
        <w:t>我单位未组织开展绩效评价。</w:t>
      </w:r>
    </w:p>
    <w:p>
      <w:pPr>
        <w:pStyle w:val="12"/>
        <w:autoSpaceDE w:val="0"/>
        <w:spacing w:before="0" w:beforeAutospacing="0" w:after="0" w:afterAutospacing="0" w:line="596" w:lineRule="exact"/>
        <w:ind w:firstLine="643" w:firstLineChars="200"/>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（三）财政绩效评价情况</w:t>
      </w:r>
    </w:p>
    <w:p>
      <w:pPr>
        <w:pStyle w:val="12"/>
        <w:autoSpaceDE w:val="0"/>
        <w:spacing w:before="0" w:beforeAutospacing="0" w:after="0" w:afterAutospacing="0" w:line="596" w:lineRule="exact"/>
        <w:ind w:firstLine="640" w:firstLineChars="200"/>
        <w:rPr>
          <w:rStyle w:val="13"/>
          <w:rFonts w:ascii="方正仿宋_GBK" w:hAnsi="方正仿宋_GBK" w:eastAsia="方正仿宋_GBK" w:cs="方正仿宋_GBK"/>
          <w:b w:val="0"/>
          <w:bCs w:val="0"/>
          <w:color w:val="000000" w:themeColor="text1"/>
          <w:sz w:val="32"/>
          <w:szCs w:val="32"/>
          <w:shd w:val="clear" w:color="auto" w:fill="FFFFFF"/>
        </w:rPr>
      </w:pPr>
      <w:r>
        <w:rPr>
          <w:rStyle w:val="13"/>
          <w:rFonts w:hint="eastAsia" w:ascii="方正仿宋_GBK" w:hAnsi="方正仿宋_GBK" w:eastAsia="方正仿宋_GBK" w:cs="方正仿宋_GBK"/>
          <w:b w:val="0"/>
          <w:bCs w:val="0"/>
          <w:color w:val="000000" w:themeColor="text1"/>
          <w:sz w:val="32"/>
          <w:szCs w:val="32"/>
          <w:shd w:val="clear" w:color="auto" w:fill="FFFFFF"/>
        </w:rPr>
        <w:t>县财政局未委托第三方对我单位开展绩效评价。</w:t>
      </w:r>
    </w:p>
    <w:p>
      <w:pPr>
        <w:pStyle w:val="12"/>
        <w:autoSpaceDE w:val="0"/>
        <w:spacing w:before="0" w:beforeAutospacing="0" w:after="0" w:afterAutospacing="0" w:line="596" w:lineRule="exact"/>
        <w:rPr>
          <w:rFonts w:ascii="方正仿宋_GBK" w:hAnsi="方正仿宋_GBK" w:eastAsia="方正仿宋_GBK" w:cs="方正仿宋_GBK"/>
          <w:color w:val="000000" w:themeColor="text1"/>
          <w:sz w:val="32"/>
          <w:szCs w:val="32"/>
        </w:rPr>
      </w:pPr>
      <w:r>
        <w:rPr>
          <w:rStyle w:val="13"/>
          <w:rFonts w:hint="eastAsia" w:ascii="方正仿宋_GBK" w:hAnsi="方正仿宋_GBK" w:eastAsia="方正仿宋_GBK" w:cs="方正仿宋_GBK"/>
          <w:color w:val="000000" w:themeColor="text1"/>
          <w:sz w:val="32"/>
          <w:szCs w:val="32"/>
          <w:shd w:val="clear" w:color="auto" w:fill="FFFFFF"/>
        </w:rPr>
        <w:t xml:space="preserve">   </w:t>
      </w:r>
      <w:r>
        <w:rPr>
          <w:rStyle w:val="10"/>
          <w:rFonts w:hint="eastAsia" w:ascii="黑体" w:hAnsi="黑体" w:eastAsia="黑体" w:cs="黑体"/>
          <w:color w:val="000000" w:themeColor="text1"/>
          <w:sz w:val="32"/>
          <w:szCs w:val="32"/>
          <w:shd w:val="clear" w:color="auto" w:fill="FFFFFF"/>
        </w:rPr>
        <w:t xml:space="preserve"> 六、专业名词解释</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（一）财政拨款收入：</w:t>
      </w:r>
      <w:r>
        <w:rPr>
          <w:rFonts w:hint="eastAsia" w:ascii="方正仿宋_GBK" w:hAnsi="方正仿宋_GBK" w:eastAsia="方正仿宋_GBK" w:cs="方正仿宋_GBK"/>
          <w:color w:val="000000" w:themeColor="text1"/>
          <w:sz w:val="32"/>
          <w:szCs w:val="32"/>
          <w:shd w:val="clear" w:color="auto" w:fill="FFFFFF"/>
        </w:rPr>
        <w:t>指本年度从本级财政部门取得的财政拨款，包括一般公共预算财政拨款和政府性基金预算财政拨款。</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（二）事业收入：</w:t>
      </w:r>
      <w:r>
        <w:rPr>
          <w:rFonts w:hint="eastAsia" w:ascii="方正仿宋_GBK" w:hAnsi="方正仿宋_GBK" w:eastAsia="方正仿宋_GBK" w:cs="方正仿宋_GBK"/>
          <w:color w:val="000000" w:themeColor="text1"/>
          <w:sz w:val="32"/>
          <w:szCs w:val="32"/>
          <w:shd w:val="clear" w:color="auto" w:fill="FFFFFF"/>
        </w:rPr>
        <w:t>指事业单位开展专业业务活动及其辅助活动取得的现金流入；事业单位收到的财政专户实际核拨的教育收费等资金在此反映。</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（三）经营收入：</w:t>
      </w:r>
      <w:r>
        <w:rPr>
          <w:rFonts w:hint="eastAsia" w:ascii="方正仿宋_GBK" w:hAnsi="方正仿宋_GBK" w:eastAsia="方正仿宋_GBK" w:cs="方正仿宋_GBK"/>
          <w:color w:val="000000" w:themeColor="text1"/>
          <w:sz w:val="32"/>
          <w:szCs w:val="32"/>
          <w:shd w:val="clear" w:color="auto" w:fill="FFFFFF"/>
        </w:rPr>
        <w:t>指事业单位在专业业务活动及其辅助活动之外开展非独立核算经营活动取得的现金流入。</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（四）其他收入：</w:t>
      </w:r>
      <w:r>
        <w:rPr>
          <w:rFonts w:hint="eastAsia" w:ascii="方正仿宋_GBK" w:hAnsi="方正仿宋_GBK" w:eastAsia="方正仿宋_GBK" w:cs="方正仿宋_GBK"/>
          <w:color w:val="000000" w:themeColor="text1"/>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（五）使用非财政拨款结余：</w:t>
      </w:r>
      <w:r>
        <w:rPr>
          <w:rFonts w:hint="eastAsia" w:ascii="方正仿宋_GBK" w:hAnsi="方正仿宋_GBK" w:eastAsia="方正仿宋_GBK" w:cs="方正仿宋_GBK"/>
          <w:color w:val="000000" w:themeColor="text1"/>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（六）年初结转和结余：</w:t>
      </w:r>
      <w:r>
        <w:rPr>
          <w:rFonts w:hint="eastAsia" w:ascii="方正仿宋_GBK" w:hAnsi="方正仿宋_GBK" w:eastAsia="方正仿宋_GBK" w:cs="方正仿宋_GBK"/>
          <w:color w:val="000000" w:themeColor="text1"/>
          <w:sz w:val="32"/>
          <w:szCs w:val="32"/>
          <w:shd w:val="clear" w:color="auto" w:fill="FFFFFF"/>
        </w:rPr>
        <w:t>指单位上年结转本年使用的基本支出结转、项目支出结转和结余、经营结余。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（七）结余分配：</w:t>
      </w:r>
      <w:r>
        <w:rPr>
          <w:rFonts w:hint="eastAsia" w:ascii="方正仿宋_GBK" w:hAnsi="方正仿宋_GBK" w:eastAsia="方正仿宋_GBK" w:cs="方正仿宋_GBK"/>
          <w:color w:val="000000" w:themeColor="text1"/>
          <w:sz w:val="32"/>
          <w:szCs w:val="32"/>
          <w:shd w:val="clear" w:color="auto" w:fill="FFFFFF"/>
        </w:rPr>
        <w:t>指单位按照国家有关规定，缴纳所得税、提取专用基金、转入非财政拨款结余等当年结余的分配情况。</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（八）年末结转和结余：</w:t>
      </w:r>
      <w:r>
        <w:rPr>
          <w:rFonts w:hint="eastAsia" w:ascii="方正仿宋_GBK" w:hAnsi="方正仿宋_GBK" w:eastAsia="方正仿宋_GBK" w:cs="方正仿宋_GBK"/>
          <w:color w:val="000000" w:themeColor="text1"/>
          <w:sz w:val="32"/>
          <w:szCs w:val="32"/>
          <w:shd w:val="clear" w:color="auto" w:fill="FFFFFF"/>
        </w:rPr>
        <w:t>指单位结转下年的基本支出结转、项目支出结转和结余、经营结余。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（九）基本支出：</w:t>
      </w:r>
      <w:r>
        <w:rPr>
          <w:rFonts w:hint="eastAsia" w:ascii="方正仿宋_GBK" w:hAnsi="方正仿宋_GBK" w:eastAsia="方正仿宋_GBK" w:cs="方正仿宋_GBK"/>
          <w:color w:val="000000" w:themeColor="text1"/>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（十）项目支出：</w:t>
      </w:r>
      <w:r>
        <w:rPr>
          <w:rFonts w:hint="eastAsia" w:ascii="方正仿宋_GBK" w:hAnsi="方正仿宋_GBK" w:eastAsia="方正仿宋_GBK" w:cs="方正仿宋_GBK"/>
          <w:color w:val="000000" w:themeColor="text1"/>
          <w:sz w:val="32"/>
          <w:szCs w:val="32"/>
          <w:shd w:val="clear" w:color="auto" w:fill="FFFFFF"/>
        </w:rPr>
        <w:t>指在基本支出之外为完成特定行政任务和事业发展目标所发生的支出。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（十一）经营支出：</w:t>
      </w:r>
      <w:r>
        <w:rPr>
          <w:rFonts w:hint="eastAsia" w:ascii="方正仿宋_GBK" w:hAnsi="方正仿宋_GBK" w:eastAsia="方正仿宋_GBK" w:cs="方正仿宋_GBK"/>
          <w:color w:val="000000" w:themeColor="text1"/>
          <w:sz w:val="32"/>
          <w:szCs w:val="32"/>
          <w:shd w:val="clear" w:color="auto" w:fill="FFFFFF"/>
        </w:rPr>
        <w:t>指事业单位在专业业务活动及其辅助活动之外开展非独立核算经营活动发生的支出。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（十二）</w:t>
      </w:r>
      <w:r>
        <w:rPr>
          <w:rStyle w:val="10"/>
          <w:rFonts w:hint="eastAsia" w:ascii="楷体" w:hAnsi="楷体" w:eastAsia="楷体" w:cs="楷体"/>
          <w:color w:val="000000" w:themeColor="text1"/>
          <w:sz w:val="32"/>
          <w:szCs w:val="32"/>
          <w:shd w:val="clear" w:color="auto" w:fill="FFFFFF"/>
          <w:lang w:eastAsia="zh-CN"/>
        </w:rPr>
        <w:t>三公</w:t>
      </w:r>
      <w:r>
        <w:rPr>
          <w:rStyle w:val="10"/>
          <w:rFonts w:hint="eastAsia" w:ascii="楷体" w:hAnsi="楷体" w:eastAsia="楷体" w:cs="楷体"/>
          <w:color w:val="000000" w:themeColor="text1"/>
          <w:sz w:val="32"/>
          <w:szCs w:val="32"/>
          <w:shd w:val="clear" w:color="auto" w:fill="FFFFFF"/>
        </w:rPr>
        <w:t>经费：</w:t>
      </w:r>
      <w:r>
        <w:rPr>
          <w:rFonts w:hint="eastAsia" w:ascii="方正仿宋_GBK" w:hAnsi="方正仿宋_GBK" w:eastAsia="方正仿宋_GBK" w:cs="方正仿宋_GBK"/>
          <w:color w:val="000000" w:themeColor="text1"/>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（十三）机关运行经费：</w:t>
      </w:r>
      <w:r>
        <w:rPr>
          <w:rFonts w:hint="eastAsia" w:ascii="方正仿宋_GBK" w:hAnsi="方正仿宋_GBK" w:eastAsia="方正仿宋_GBK" w:cs="方正仿宋_GBK"/>
          <w:color w:val="000000" w:themeColor="text1"/>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（十四）工资福利支出（支出经济分类科目类级）：</w:t>
      </w:r>
      <w:r>
        <w:rPr>
          <w:rFonts w:hint="eastAsia" w:ascii="方正仿宋_GBK" w:hAnsi="方正仿宋_GBK" w:eastAsia="方正仿宋_GBK" w:cs="方正仿宋_GBK"/>
          <w:color w:val="000000" w:themeColor="text1"/>
          <w:sz w:val="32"/>
          <w:szCs w:val="32"/>
          <w:shd w:val="clear" w:color="auto" w:fill="FFFFFF"/>
        </w:rPr>
        <w:t>反映单位开支的在职职工和编制外长期聘用人员的各类劳动报酬，以及为上述人员缴纳的各项社会保险费等。</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（十五）商品和服务支出（支出经济分类科目类级）：</w:t>
      </w:r>
      <w:r>
        <w:rPr>
          <w:rFonts w:hint="eastAsia" w:ascii="方正仿宋_GBK" w:hAnsi="方正仿宋_GBK" w:eastAsia="方正仿宋_GBK" w:cs="方正仿宋_GBK"/>
          <w:color w:val="000000" w:themeColor="text1"/>
          <w:sz w:val="32"/>
          <w:szCs w:val="32"/>
          <w:shd w:val="clear" w:color="auto" w:fill="FFFFFF"/>
        </w:rPr>
        <w:t>反映单位购买商品和服务的支出（不包括用于购置固定资产的支出、战略性和应急储备支出）。</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（十六）对个人和家庭的补助（支出经济分类科目类级）：</w:t>
      </w:r>
      <w:r>
        <w:rPr>
          <w:rFonts w:hint="eastAsia" w:ascii="方正仿宋_GBK" w:hAnsi="方正仿宋_GBK" w:eastAsia="方正仿宋_GBK" w:cs="方正仿宋_GBK"/>
          <w:color w:val="000000" w:themeColor="text1"/>
          <w:sz w:val="32"/>
          <w:szCs w:val="32"/>
          <w:shd w:val="clear" w:color="auto" w:fill="FFFFFF"/>
        </w:rPr>
        <w:t>反映用于对个人和家庭的补助支出。</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（十七）其他资本性支出（支出经济分类科目类级）：</w:t>
      </w:r>
      <w:r>
        <w:rPr>
          <w:rFonts w:hint="eastAsia" w:ascii="方正仿宋_GBK" w:hAnsi="方正仿宋_GBK" w:eastAsia="方正仿宋_GBK" w:cs="方正仿宋_GBK"/>
          <w:color w:val="000000" w:themeColor="text1"/>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黑体" w:hAnsi="黑体" w:eastAsia="黑体" w:cs="黑体"/>
          <w:color w:val="000000" w:themeColor="text1"/>
          <w:sz w:val="32"/>
          <w:szCs w:val="32"/>
          <w:shd w:val="clear" w:color="auto" w:fill="FFFFFF"/>
        </w:rPr>
        <w:t>七、决算公开联系方式及信息反馈渠道</w:t>
      </w:r>
    </w:p>
    <w:p>
      <w:pPr>
        <w:pStyle w:val="12"/>
        <w:spacing w:before="0" w:beforeAutospacing="0" w:after="0" w:afterAutospacing="0" w:line="596" w:lineRule="exact"/>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shd w:val="clear" w:color="auto" w:fill="FFFFFF"/>
        </w:rPr>
        <w:t>本单位决算公开信息反馈和联系方式：</w:t>
      </w:r>
    </w:p>
    <w:p>
      <w:pPr>
        <w:pStyle w:val="11"/>
        <w:autoSpaceDE w:val="0"/>
        <w:spacing w:line="596"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color w:val="000000" w:themeColor="text1"/>
          <w:sz w:val="32"/>
          <w:szCs w:val="32"/>
          <w:shd w:val="clear" w:color="auto" w:fill="FFFFFF"/>
        </w:rPr>
        <w:t>黄老师，023-74512512</w:t>
      </w: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垫江县妇女儿童服务中心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78.07</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78.07</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78.07</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78.07</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垫江县妇女儿童服务中心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78.07</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78.07</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群众团体事务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垫江县妇女儿童服务中心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78.07</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78.07</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群众团体事务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垫江县妇女儿童服务中心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78.07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78.07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78.07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78.07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78.07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78.07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78.07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6"/>
        <w:gridCol w:w="4073"/>
        <w:gridCol w:w="3306"/>
        <w:gridCol w:w="3297"/>
        <w:gridCol w:w="3340"/>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垫江县妇女儿童服务中心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78.07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78.07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54.35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54.35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群众团体事务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54.35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54.35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54.35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54.35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垫江县妇女儿童服务中心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74.71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74.71</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垫江县妇女儿童服务中心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垫江县妇女儿童服务中心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垫江县妇女儿童服务中心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w:t>
            </w:r>
            <w:r>
              <w:rPr>
                <w:rFonts w:hint="eastAsia" w:cs="宋体"/>
                <w:b/>
                <w:color w:val="000000"/>
                <w:kern w:val="2"/>
                <w:sz w:val="16"/>
                <w:szCs w:val="16"/>
                <w:lang w:eastAsia="zh-CN"/>
              </w:rPr>
              <w:t>三公</w:t>
            </w:r>
            <w:r>
              <w:rPr>
                <w:rFonts w:cs="宋体"/>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0.03</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0.03</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lkNmIwODI1Y2QwNGQxZDFhYmRhZWMyNWM5ZTJhMjUifQ=="/>
  </w:docVars>
  <w:rsids>
    <w:rsidRoot w:val="00B03CCD"/>
    <w:rsid w:val="000239C6"/>
    <w:rsid w:val="001D3BB7"/>
    <w:rsid w:val="002B254B"/>
    <w:rsid w:val="00310E1C"/>
    <w:rsid w:val="0034050A"/>
    <w:rsid w:val="0044504F"/>
    <w:rsid w:val="00466C9B"/>
    <w:rsid w:val="00486CFC"/>
    <w:rsid w:val="00491DDD"/>
    <w:rsid w:val="00550ABE"/>
    <w:rsid w:val="00553C7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1571F"/>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4E37FCC"/>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CA00A5"/>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632A6"/>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8404</Words>
  <Characters>10397</Characters>
  <Lines>93</Lines>
  <Paragraphs>26</Paragraphs>
  <TotalTime>4</TotalTime>
  <ScaleCrop>false</ScaleCrop>
  <LinksUpToDate>false</LinksUpToDate>
  <CharactersWithSpaces>11379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毕欢</cp:lastModifiedBy>
  <dcterms:modified xsi:type="dcterms:W3CDTF">2025-09-17T02:06:12Z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