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垫江县财政局</w:t>
      </w:r>
    </w:p>
    <w:p>
      <w:pPr>
        <w:pStyle w:val="7"/>
        <w:adjustRightInd w:val="0"/>
        <w:snapToGrid w:val="0"/>
        <w:spacing w:before="0" w:beforeAutospacing="0" w:after="0" w:afterAutospacing="0" w:line="594" w:lineRule="exact"/>
        <w:ind w:firstLine="880" w:firstLineChars="200"/>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一、部门基本情况</w:t>
      </w:r>
    </w:p>
    <w:p>
      <w:pPr>
        <w:pStyle w:val="7"/>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adjustRightInd w:val="0"/>
        <w:snapToGrid w:val="0"/>
        <w:spacing w:line="594"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贯彻执行财税法律、法规、规章和方针政策；起草全县财政、税收、行政事业单位国有资产、财务、会计和非贸易外汇收支管理方面的地方性法规、规章，制定有关政策和管理制度并组织实施；拟订和执行财政分配政策和分级财政管理体制；参与拟订全县宏观经济政策，提出运用财税政策实施经济调节的建议，拟订推进统筹城乡改革和发展的财税政策；管理全县财政收支，承担县级各项财政收支管理的责任，负责编制县级年度预决算草案，组织执行县级年度预算，完善转移支付制度；负责政府非税收入管理，负责政府性基金管理，按规定管理行政事业性收费；组织执行国库管理制度、国库集中收付制度；组织实施政府采购制度；组织执行行政事业单位国有资产管理规章制度；负责审核和汇总编制县级国有资本经营预决算草案，执行国有资本经营预算的制度和办法；负责办理和监督县级财政的经济发展支出、县级政府性投资项目的财政拨款，负责财政投资评审管理工作；会同有关部门管理县级财政社会保障和就业及医疗卫生支出；拟订和执行政府债务管理的制度和政策。</w:t>
      </w:r>
    </w:p>
    <w:p>
      <w:pPr>
        <w:pStyle w:val="7"/>
        <w:shd w:val="clear" w:color="auto" w:fill="FFFFFF"/>
        <w:adjustRightInd w:val="0"/>
        <w:snapToGrid w:val="0"/>
        <w:spacing w:before="0" w:beforeAutospacing="0" w:after="0" w:afterAutospacing="0" w:line="594" w:lineRule="exact"/>
        <w:ind w:firstLine="643" w:firstLineChars="200"/>
        <w:rPr>
          <w:rFonts w:hint="default" w:ascii="Times New Roman" w:hAnsi="Times New Roman" w:eastAsia="楷体"/>
          <w:sz w:val="32"/>
          <w:szCs w:val="32"/>
        </w:rPr>
      </w:pPr>
      <w:r>
        <w:rPr>
          <w:rStyle w:val="9"/>
          <w:rFonts w:hint="default" w:ascii="Times New Roman" w:hAnsi="Times New Roman" w:eastAsia="楷体"/>
          <w:sz w:val="32"/>
          <w:szCs w:val="32"/>
          <w:shd w:val="clear" w:color="auto" w:fill="FFFFFF"/>
        </w:rPr>
        <w:t>（二）机构设置</w:t>
      </w:r>
    </w:p>
    <w:p>
      <w:pPr>
        <w:pStyle w:val="7"/>
        <w:shd w:val="clear" w:color="auto" w:fill="FFFFFF"/>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垫江县财政局行政编制</w:t>
      </w:r>
      <w:r>
        <w:rPr>
          <w:rFonts w:hint="eastAsia" w:ascii="Times New Roman" w:hAnsi="Times New Roman" w:eastAsia="方正仿宋_GBK" w:cs="Times New Roman"/>
          <w:sz w:val="32"/>
          <w:szCs w:val="32"/>
          <w:lang w:val="en-US" w:eastAsia="zh-CN"/>
        </w:rPr>
        <w:t>73</w:t>
      </w:r>
      <w:r>
        <w:rPr>
          <w:rFonts w:hint="default" w:ascii="Times New Roman" w:hAnsi="Times New Roman" w:eastAsia="方正仿宋_GBK" w:cs="Times New Roman"/>
          <w:sz w:val="32"/>
          <w:szCs w:val="32"/>
        </w:rPr>
        <w:t>人，事业编制</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人，行政工勤编制1人，现在编在岗共计69人。</w:t>
      </w:r>
      <w:r>
        <w:rPr>
          <w:rFonts w:hint="default" w:ascii="Times New Roman" w:hAnsi="Times New Roman" w:eastAsia="仿宋_GB2312" w:cs="Times New Roman"/>
          <w:sz w:val="32"/>
          <w:szCs w:val="32"/>
        </w:rPr>
        <w:t>垫江县财政局为县政府工作部门，</w:t>
      </w:r>
      <w:r>
        <w:rPr>
          <w:rFonts w:hint="default" w:ascii="Times New Roman" w:hAnsi="Times New Roman" w:eastAsia="方正仿宋_GBK" w:cs="Times New Roman"/>
          <w:sz w:val="32"/>
          <w:szCs w:val="32"/>
        </w:rPr>
        <w:t>内设12个职能科室:办公室、预算科、国库科、综合科、行财科、社保科、采购科、企业科、农业科、经建科、</w:t>
      </w:r>
      <w:r>
        <w:rPr>
          <w:rFonts w:hint="eastAsia" w:ascii="Times New Roman" w:hAnsi="Times New Roman" w:eastAsia="方正仿宋_GBK" w:cs="Times New Roman"/>
          <w:sz w:val="32"/>
          <w:szCs w:val="32"/>
          <w:lang w:eastAsia="zh-CN"/>
        </w:rPr>
        <w:t>金融</w:t>
      </w:r>
      <w:r>
        <w:rPr>
          <w:rFonts w:hint="default" w:ascii="Times New Roman" w:hAnsi="Times New Roman" w:eastAsia="方正仿宋_GBK" w:cs="Times New Roman"/>
          <w:sz w:val="32"/>
          <w:szCs w:val="32"/>
        </w:rPr>
        <w:t>债务科、监督科。4个直属参公事业单位：国库集中支付中心、会计管理核算中心、财政投资评审中心、国有资产管理服务中心，1个直属事业单位：预算绩效管理中心。</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二、部门决算收支情况说明</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adjustRightInd w:val="0"/>
        <w:snapToGrid w:val="0"/>
        <w:spacing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2024年度收入总计22475.43万元，支出总计</w:t>
      </w:r>
      <w:r>
        <w:rPr>
          <w:rFonts w:hint="default" w:ascii="Times New Roman" w:hAnsi="Times New Roman" w:eastAsia="方正仿宋_GBK" w:cs="Times New Roman"/>
          <w:sz w:val="32"/>
          <w:szCs w:val="32"/>
        </w:rPr>
        <w:t>22475.43</w:t>
      </w:r>
      <w:r>
        <w:rPr>
          <w:rFonts w:hint="default" w:ascii="Times New Roman" w:hAnsi="Times New Roman" w:eastAsia="方正仿宋_GBK" w:cs="Times New Roman"/>
          <w:sz w:val="32"/>
          <w:szCs w:val="32"/>
          <w:shd w:val="clear" w:color="auto" w:fill="FFFFFF"/>
        </w:rPr>
        <w:t>万元。收、支与2023年度相比，增加16019.18万元，增长248.1%，主要原因是</w:t>
      </w:r>
      <w:r>
        <w:rPr>
          <w:rFonts w:hint="default" w:ascii="Times New Roman" w:hAnsi="Times New Roman" w:eastAsia="仿宋_GB2312" w:cs="Times New Roman"/>
          <w:sz w:val="32"/>
          <w:szCs w:val="32"/>
        </w:rPr>
        <w:t>国有资产管理服务中心奖补资金和注入国企资本金增加。</w:t>
      </w:r>
    </w:p>
    <w:p>
      <w:pPr>
        <w:adjustRightInd w:val="0"/>
        <w:snapToGrid w:val="0"/>
        <w:spacing w:line="594" w:lineRule="exact"/>
        <w:ind w:firstLine="643" w:firstLineChars="200"/>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2024年度收入合计20691.09万元，与2023年度相比，增加17509.90万元，增长550.4%，主要原因是</w:t>
      </w:r>
      <w:r>
        <w:rPr>
          <w:rFonts w:hint="default" w:ascii="Times New Roman" w:hAnsi="Times New Roman" w:eastAsia="仿宋_GB2312" w:cs="Times New Roman"/>
          <w:sz w:val="32"/>
          <w:szCs w:val="32"/>
        </w:rPr>
        <w:t>国有资产管理服务中心奖补资金和注入国企资本金增加。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20691.09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1784.35</w:t>
      </w:r>
      <w:r>
        <w:rPr>
          <w:rFonts w:hint="default" w:ascii="Times New Roman" w:hAnsi="Times New Roman" w:eastAsia="方正仿宋_GBK" w:cs="Times New Roman"/>
          <w:sz w:val="32"/>
          <w:szCs w:val="32"/>
          <w:shd w:val="clear" w:color="auto" w:fill="FFFFFF"/>
        </w:rPr>
        <w:t>万元。</w:t>
      </w:r>
    </w:p>
    <w:p>
      <w:pPr>
        <w:adjustRightInd w:val="0"/>
        <w:snapToGrid w:val="0"/>
        <w:spacing w:line="594" w:lineRule="exact"/>
        <w:ind w:firstLine="643" w:firstLineChars="200"/>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22340.61</w:t>
      </w:r>
      <w:r>
        <w:rPr>
          <w:rFonts w:hint="default" w:ascii="Times New Roman" w:hAnsi="Times New Roman" w:eastAsia="方正仿宋_GBK" w:cs="Times New Roman"/>
          <w:sz w:val="32"/>
          <w:szCs w:val="32"/>
          <w:shd w:val="clear" w:color="auto" w:fill="FFFFFF"/>
        </w:rPr>
        <w:t>万元，与2023年度相比，增加19169.05万元，增长604.4%，主要原因是</w:t>
      </w:r>
      <w:r>
        <w:rPr>
          <w:rFonts w:hint="default" w:ascii="Times New Roman" w:hAnsi="Times New Roman" w:eastAsia="仿宋_GB2312" w:cs="Times New Roman"/>
          <w:sz w:val="32"/>
          <w:szCs w:val="32"/>
        </w:rPr>
        <w:t>国有资产管理服务中心奖补资金和注入国企资本金增加。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2038.89</w:t>
      </w:r>
      <w:r>
        <w:rPr>
          <w:rFonts w:hint="default" w:ascii="Times New Roman" w:hAnsi="Times New Roman" w:eastAsia="方正仿宋_GBK" w:cs="Times New Roman"/>
          <w:sz w:val="32"/>
          <w:szCs w:val="32"/>
          <w:shd w:val="clear" w:color="auto" w:fill="FFFFFF"/>
        </w:rPr>
        <w:t>万元，占9.1%；项目支出</w:t>
      </w:r>
      <w:r>
        <w:rPr>
          <w:rFonts w:hint="default" w:ascii="Times New Roman" w:hAnsi="Times New Roman" w:eastAsia="方正仿宋_GBK" w:cs="Times New Roman"/>
          <w:sz w:val="32"/>
          <w:szCs w:val="32"/>
        </w:rPr>
        <w:t>20301.73</w:t>
      </w:r>
      <w:r>
        <w:rPr>
          <w:rFonts w:hint="default" w:ascii="Times New Roman" w:hAnsi="Times New Roman" w:eastAsia="方正仿宋_GBK" w:cs="Times New Roman"/>
          <w:sz w:val="32"/>
          <w:szCs w:val="32"/>
          <w:shd w:val="clear" w:color="auto" w:fill="FFFFFF"/>
        </w:rPr>
        <w:t>万元，占90.9%；经营支出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134.82</w:t>
      </w:r>
      <w:r>
        <w:rPr>
          <w:rFonts w:hint="default" w:ascii="Times New Roman" w:hAnsi="Times New Roman" w:eastAsia="方正仿宋_GBK" w:cs="Times New Roman"/>
          <w:sz w:val="32"/>
          <w:szCs w:val="32"/>
          <w:shd w:val="clear" w:color="auto" w:fill="FFFFFF"/>
        </w:rPr>
        <w:t>万元，与2023年度相比，减少3149.86万元，下降95.9%，主要原因是</w:t>
      </w:r>
      <w:r>
        <w:rPr>
          <w:rFonts w:hint="default" w:ascii="Times New Roman" w:hAnsi="Times New Roman" w:eastAsia="仿宋_GB2312" w:cs="Times New Roman"/>
          <w:kern w:val="2"/>
          <w:sz w:val="32"/>
          <w:szCs w:val="32"/>
        </w:rPr>
        <w:t>本年度有存量资金支出。</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2024年度财政拨款收、支总计22427.17万元。与2023年相比，财政拨款收、支总计各增加16193.73万元，增长259.8%。主要原因是</w:t>
      </w:r>
      <w:r>
        <w:rPr>
          <w:rFonts w:hint="default" w:ascii="Times New Roman" w:hAnsi="Times New Roman" w:eastAsia="仿宋_GB2312" w:cs="Times New Roman"/>
          <w:sz w:val="32"/>
          <w:szCs w:val="32"/>
        </w:rPr>
        <w:t>国有资产管理服务中心奖补资金和注入国企资本金增加。</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2191.12</w:t>
      </w:r>
      <w:r>
        <w:rPr>
          <w:rFonts w:hint="default" w:ascii="Times New Roman" w:hAnsi="Times New Roman" w:eastAsia="方正仿宋_GBK" w:cs="Times New Roman"/>
          <w:sz w:val="32"/>
          <w:szCs w:val="32"/>
          <w:shd w:val="clear" w:color="auto" w:fill="FFFFFF"/>
        </w:rPr>
        <w:t>万元，与2023年度相比，减少849.30万元，下降27.9%。主要原因是落实政府</w:t>
      </w:r>
      <w:r>
        <w:rPr>
          <w:rFonts w:hint="default" w:ascii="Times New Roman" w:hAnsi="Times New Roman" w:eastAsia="仿宋_GB2312" w:cs="Times New Roman"/>
          <w:sz w:val="32"/>
          <w:szCs w:val="32"/>
        </w:rPr>
        <w:t>过“紧日子”要求，不断优化支出结构，压减一般性支出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较年初预算数增加207.77万元，增长10.5%。主要原因是新进人员增加导致追加基本支出以及项目与部门日常运行需求增加导致年中追加预算等。此外，年初财政拨款结转和结余</w:t>
      </w:r>
      <w:r>
        <w:rPr>
          <w:rFonts w:hint="default" w:ascii="Times New Roman" w:hAnsi="Times New Roman" w:eastAsia="方正仿宋_GBK" w:cs="Times New Roman"/>
          <w:sz w:val="32"/>
          <w:szCs w:val="32"/>
        </w:rPr>
        <w:t>1732.56</w:t>
      </w:r>
      <w:r>
        <w:rPr>
          <w:rFonts w:hint="default" w:ascii="Times New Roman" w:hAnsi="Times New Roman" w:eastAsia="方正仿宋_GBK" w:cs="Times New Roman"/>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3841.28</w:t>
      </w:r>
      <w:r>
        <w:rPr>
          <w:rFonts w:hint="default" w:ascii="Times New Roman" w:hAnsi="Times New Roman" w:eastAsia="方正仿宋_GBK" w:cs="Times New Roman"/>
          <w:sz w:val="32"/>
          <w:szCs w:val="32"/>
          <w:shd w:val="clear" w:color="auto" w:fill="FFFFFF"/>
        </w:rPr>
        <w:t>万元，与2023年度相比，增加747.08万元，增长24.1%。主要原因是其他支持中小企业发展和管理支出项目支出增加。较年初预算数增加1857.93万元，增长93.7%。主要原因是年中追加其他支持中小企业发展和管理支出项目支出。</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82.39</w:t>
      </w:r>
      <w:r>
        <w:rPr>
          <w:rFonts w:hint="default" w:ascii="Times New Roman" w:hAnsi="Times New Roman" w:eastAsia="方正仿宋_GBK" w:cs="Times New Roman"/>
          <w:sz w:val="32"/>
          <w:szCs w:val="32"/>
          <w:shd w:val="clear" w:color="auto" w:fill="FFFFFF"/>
        </w:rPr>
        <w:t>万元，与2023年度相比，减少2995.96万元，下降97.3%，主要原因是</w:t>
      </w:r>
      <w:r>
        <w:rPr>
          <w:rFonts w:hint="default" w:ascii="Times New Roman" w:hAnsi="Times New Roman" w:eastAsia="仿宋_GB2312" w:cs="Times New Roman"/>
          <w:kern w:val="2"/>
          <w:sz w:val="32"/>
          <w:szCs w:val="32"/>
        </w:rPr>
        <w:t>本年度有存量资金支出。</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9"/>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1733.22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45.1%</w:t>
      </w:r>
      <w:r>
        <w:rPr>
          <w:rFonts w:hint="default" w:ascii="Times New Roman" w:hAnsi="Times New Roman" w:eastAsia="方正仿宋_GBK" w:cs="Times New Roman"/>
          <w:sz w:val="32"/>
          <w:szCs w:val="32"/>
          <w:shd w:val="clear" w:color="auto" w:fill="FFFFFF"/>
        </w:rPr>
        <w:t>，较年初预算数增加257.35万元，增长17.4%，主要原因是年中进行预算追加。</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（2）教育支出</w:t>
      </w:r>
      <w:r>
        <w:rPr>
          <w:rFonts w:hint="default" w:ascii="Times New Roman" w:hAnsi="Times New Roman" w:eastAsia="方正仿宋_GBK" w:cs="Times New Roman"/>
          <w:sz w:val="32"/>
          <w:szCs w:val="32"/>
        </w:rPr>
        <w:t>1.44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，较年初预算数减少2.96万元，下降67.3%，主要原因是本年培训次数减少，培训支出相应减少。</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（3）社会保障与就业支出</w:t>
      </w:r>
      <w:r>
        <w:rPr>
          <w:rFonts w:hint="default" w:ascii="Times New Roman" w:hAnsi="Times New Roman" w:eastAsia="方正仿宋_GBK" w:cs="Times New Roman"/>
          <w:sz w:val="32"/>
          <w:szCs w:val="32"/>
        </w:rPr>
        <w:t>342.11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8.9%</w:t>
      </w:r>
      <w:r>
        <w:rPr>
          <w:rFonts w:hint="default" w:ascii="Times New Roman" w:hAnsi="Times New Roman" w:eastAsia="方正仿宋_GBK" w:cs="Times New Roman"/>
          <w:sz w:val="32"/>
          <w:szCs w:val="32"/>
          <w:shd w:val="clear" w:color="auto" w:fill="FFFFFF"/>
        </w:rPr>
        <w:t>，较年初预算数增加22.44万元，增长7.0%，主要原因是本年涉及人员变动以及缴费基数调整，社保支出增加。</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（4）卫生健康支出</w:t>
      </w:r>
      <w:r>
        <w:rPr>
          <w:rFonts w:hint="default" w:ascii="Times New Roman" w:hAnsi="Times New Roman" w:eastAsia="方正仿宋_GBK" w:cs="Times New Roman"/>
          <w:sz w:val="32"/>
          <w:szCs w:val="32"/>
        </w:rPr>
        <w:t>85.29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shd w:val="clear" w:color="auto" w:fill="FFFFFF"/>
        </w:rPr>
        <w:t>，较年初预算数增加6.91万元，增长8.8%，主要原因是本年涉及人员变动以及缴费基数调整，医保支出增加。</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（5）农林水支出</w:t>
      </w:r>
      <w:r>
        <w:rPr>
          <w:rFonts w:hint="default" w:ascii="Times New Roman" w:hAnsi="Times New Roman" w:eastAsia="方正仿宋_GBK" w:cs="Times New Roman"/>
          <w:sz w:val="32"/>
          <w:szCs w:val="32"/>
        </w:rPr>
        <w:t>0.54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，较年初预算数增加0.54万元，增长100.0%，主要原因是</w:t>
      </w:r>
      <w:r>
        <w:rPr>
          <w:rFonts w:hint="default" w:ascii="Times New Roman" w:hAnsi="Times New Roman" w:eastAsia="方正仿宋_GBK" w:cs="Times New Roman"/>
          <w:color w:val="FF0000"/>
          <w:sz w:val="32"/>
          <w:szCs w:val="32"/>
          <w:shd w:val="clear" w:color="auto" w:fill="FFFFFF"/>
        </w:rPr>
        <w:t>.</w:t>
      </w:r>
      <w:r>
        <w:rPr>
          <w:rFonts w:hint="default" w:ascii="Times New Roman" w:hAnsi="Times New Roman" w:eastAsia="方正仿宋_GBK" w:cs="Times New Roman"/>
          <w:sz w:val="32"/>
          <w:szCs w:val="32"/>
          <w:shd w:val="clear" w:color="auto" w:fill="FFFFFF"/>
        </w:rPr>
        <w:t>年中下达市级农业产业发展（种粮大户补贴及工作经费）项目。</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（6）资源勘探信息等支出</w:t>
      </w:r>
      <w:r>
        <w:rPr>
          <w:rFonts w:hint="default" w:ascii="Times New Roman" w:hAnsi="Times New Roman" w:eastAsia="方正仿宋_GBK" w:cs="Times New Roman"/>
          <w:sz w:val="32"/>
          <w:szCs w:val="32"/>
        </w:rPr>
        <w:t>1572.00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40.9%</w:t>
      </w:r>
      <w:r>
        <w:rPr>
          <w:rFonts w:hint="default" w:ascii="Times New Roman" w:hAnsi="Times New Roman" w:eastAsia="方正仿宋_GBK" w:cs="Times New Roman"/>
          <w:sz w:val="32"/>
          <w:szCs w:val="32"/>
          <w:shd w:val="clear" w:color="auto" w:fill="FFFFFF"/>
        </w:rPr>
        <w:t>，较年初预算数增加1572.00万元，增长100.0%，主要原因是年中下达其他支持中小企业发展和管理支出项目支出。</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（7）</w:t>
      </w:r>
      <w:r>
        <w:rPr>
          <w:rFonts w:hint="default" w:ascii="Times New Roman" w:hAnsi="Times New Roman" w:eastAsia="方正仿宋_GBK" w:cs="Times New Roman"/>
          <w:sz w:val="32"/>
          <w:szCs w:val="32"/>
        </w:rPr>
        <w:t>住房保障支出106.67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2.8%</w:t>
      </w:r>
      <w:r>
        <w:rPr>
          <w:rFonts w:hint="default" w:ascii="Times New Roman" w:hAnsi="Times New Roman" w:eastAsia="方正仿宋_GBK" w:cs="Times New Roman"/>
          <w:sz w:val="32"/>
          <w:szCs w:val="32"/>
          <w:shd w:val="clear" w:color="auto" w:fill="FFFFFF"/>
        </w:rPr>
        <w:t>，较年初预算数增加1.63万元，增长1.6%，主要原因是本年涉及人员变动以及缴费基数调整，住房公积金支出增加。</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2038.89</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1630.54</w:t>
      </w:r>
      <w:r>
        <w:rPr>
          <w:rFonts w:hint="default" w:ascii="Times New Roman" w:hAnsi="Times New Roman" w:eastAsia="方正仿宋_GBK" w:cs="Times New Roman"/>
          <w:sz w:val="32"/>
          <w:szCs w:val="32"/>
          <w:shd w:val="clear" w:color="auto" w:fill="FFFFFF"/>
        </w:rPr>
        <w:t>万元，与2023年度相比，减少200.39万元，下降10.9%，主要原因是本年人员变动幅度较上年小，工资性支出等减少。人员经费用途主要包括</w:t>
      </w:r>
      <w:r>
        <w:rPr>
          <w:rFonts w:hint="default" w:ascii="Times New Roman" w:hAnsi="Times New Roman" w:eastAsia="方正仿宋_GBK" w:cs="Times New Roman"/>
          <w:sz w:val="32"/>
          <w:szCs w:val="32"/>
        </w:rPr>
        <w:t>基本工资、津贴补贴、奖金、社会保障缴费、医疗费、住房公积金等。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408.35</w:t>
      </w:r>
      <w:r>
        <w:rPr>
          <w:rFonts w:hint="default" w:ascii="Times New Roman" w:hAnsi="Times New Roman" w:eastAsia="方正仿宋_GBK" w:cs="Times New Roman"/>
          <w:sz w:val="32"/>
          <w:szCs w:val="32"/>
          <w:shd w:val="clear" w:color="auto" w:fill="FFFFFF"/>
        </w:rPr>
        <w:t>万元，与2023年度相比，减少192.12万元，下降32.0%，主要原因是落实政府</w:t>
      </w:r>
      <w:r>
        <w:rPr>
          <w:rFonts w:hint="default" w:ascii="Times New Roman" w:hAnsi="Times New Roman" w:eastAsia="仿宋_GB2312" w:cs="Times New Roman"/>
          <w:sz w:val="32"/>
          <w:szCs w:val="32"/>
        </w:rPr>
        <w:t>过“紧日子”要求，</w:t>
      </w:r>
      <w:r>
        <w:rPr>
          <w:rFonts w:hint="eastAsia" w:ascii="Times New Roman" w:hAnsi="Times New Roman" w:eastAsia="仿宋_GB2312" w:cs="Times New Roman"/>
          <w:sz w:val="32"/>
          <w:szCs w:val="32"/>
          <w:lang w:eastAsia="zh-CN"/>
        </w:rPr>
        <w:t>三公</w:t>
      </w:r>
      <w:r>
        <w:rPr>
          <w:rFonts w:hint="default" w:ascii="Times New Roman" w:hAnsi="Times New Roman" w:eastAsia="仿宋_GB2312" w:cs="Times New Roman"/>
          <w:sz w:val="32"/>
          <w:szCs w:val="32"/>
        </w:rPr>
        <w:t>经费等减少，资金支出结构不断优化。</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rPr>
        <w:t>办公费、印刷费、电费、邮电费、培训费、维修（护）费、公务接待费、劳务费、公务用车运行维护费、办公设备购置等。</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本年度无政府性基金预算财政拨款支出。本部门2024年度无政府性基金预算财政拨款收支。</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2024年度国有资本经营预算财政拨</w:t>
      </w:r>
      <w:r>
        <w:rPr>
          <w:rFonts w:hint="eastAsia" w:ascii="Times New Roman" w:hAnsi="Times New Roman" w:eastAsia="方正仿宋_GBK" w:cs="Times New Roman"/>
          <w:sz w:val="32"/>
          <w:szCs w:val="32"/>
          <w:shd w:val="clear" w:color="auto" w:fill="FFFFFF"/>
          <w:lang w:eastAsia="zh-CN"/>
        </w:rPr>
        <w:t>款</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18499.33</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18499.33</w:t>
      </w:r>
      <w:r>
        <w:rPr>
          <w:rFonts w:hint="default" w:ascii="Times New Roman" w:hAnsi="Times New Roman" w:eastAsia="方正仿宋_GBK" w:cs="Times New Roman"/>
          <w:sz w:val="32"/>
          <w:szCs w:val="32"/>
          <w:shd w:val="clear" w:color="auto" w:fill="FFFFFF"/>
        </w:rPr>
        <w:t>万元，主要用途用于</w:t>
      </w:r>
      <w:r>
        <w:rPr>
          <w:rFonts w:hint="default" w:ascii="Times New Roman" w:hAnsi="Times New Roman" w:eastAsia="仿宋_GB2312" w:cs="Times New Roman"/>
          <w:sz w:val="32"/>
          <w:szCs w:val="32"/>
        </w:rPr>
        <w:t>国有资产管理服务中心奖补资金和注入国企资本金。</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三、财政拨款</w:t>
      </w:r>
      <w:r>
        <w:rPr>
          <w:rStyle w:val="9"/>
          <w:rFonts w:hint="eastAsia" w:ascii="Times New Roman" w:hAnsi="Times New Roman" w:eastAsia="黑体" w:cs="Times New Roman"/>
          <w:sz w:val="32"/>
          <w:szCs w:val="32"/>
          <w:shd w:val="clear" w:color="auto" w:fill="FFFFFF"/>
          <w:lang w:eastAsia="zh-CN"/>
        </w:rPr>
        <w:t>三公</w:t>
      </w:r>
      <w:r>
        <w:rPr>
          <w:rStyle w:val="9"/>
          <w:rFonts w:hint="default" w:ascii="Times New Roman" w:hAnsi="Times New Roman" w:eastAsia="黑体" w:cs="Times New Roman"/>
          <w:sz w:val="32"/>
          <w:szCs w:val="32"/>
          <w:shd w:val="clear" w:color="auto" w:fill="FFFFFF"/>
        </w:rPr>
        <w:t>经费情况说明</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w:t>
      </w:r>
      <w:r>
        <w:rPr>
          <w:rFonts w:hint="eastAsia"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经费支出总体情况说明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三公</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28.40</w:t>
      </w:r>
      <w:r>
        <w:rPr>
          <w:rFonts w:hint="default" w:ascii="Times New Roman" w:hAnsi="Times New Roman" w:eastAsia="方正仿宋_GBK" w:cs="Times New Roman"/>
          <w:sz w:val="32"/>
          <w:szCs w:val="32"/>
          <w:shd w:val="clear" w:color="auto" w:fill="FFFFFF"/>
        </w:rPr>
        <w:t>万元，较年初预算数增加5.80万元，增长25.7%，主要原因是</w:t>
      </w:r>
      <w:r>
        <w:rPr>
          <w:rFonts w:hint="default" w:ascii="Times New Roman" w:hAnsi="Times New Roman" w:eastAsia="方正仿宋_GBK" w:cs="Times New Roman"/>
          <w:sz w:val="32"/>
          <w:szCs w:val="32"/>
        </w:rPr>
        <w:t>年中公务接待次数与公务车运行维护事项增加，导致年中预算追加。</w:t>
      </w:r>
      <w:r>
        <w:rPr>
          <w:rFonts w:hint="default" w:ascii="Times New Roman" w:hAnsi="Times New Roman" w:eastAsia="方正仿宋_GBK" w:cs="Times New Roman"/>
          <w:sz w:val="32"/>
          <w:szCs w:val="32"/>
          <w:shd w:val="clear" w:color="auto" w:fill="FFFFFF"/>
        </w:rPr>
        <w:t>较上年支出数减少12.35万元，下降30.3%，主要原因是</w:t>
      </w:r>
      <w:r>
        <w:rPr>
          <w:rFonts w:hint="default" w:ascii="Times New Roman" w:hAnsi="Times New Roman" w:eastAsia="方正仿宋_GBK" w:cs="Times New Roman"/>
          <w:sz w:val="32"/>
          <w:szCs w:val="32"/>
        </w:rPr>
        <w:t>认真贯彻落实中央八项规定精神和厉行节约要求，从严控制三公经费，全年实际支出较预算和</w:t>
      </w:r>
      <w:r>
        <w:rPr>
          <w:rFonts w:hint="eastAsia" w:ascii="Times New Roman" w:hAnsi="Times New Roman" w:eastAsia="方正仿宋_GBK" w:cs="Times New Roman"/>
          <w:sz w:val="32"/>
          <w:szCs w:val="32"/>
          <w:lang w:eastAsia="zh-CN"/>
        </w:rPr>
        <w:t>上年</w:t>
      </w:r>
      <w:r>
        <w:rPr>
          <w:rFonts w:hint="default" w:ascii="Times New Roman" w:hAnsi="Times New Roman" w:eastAsia="方正仿宋_GBK" w:cs="Times New Roman"/>
          <w:sz w:val="32"/>
          <w:szCs w:val="32"/>
        </w:rPr>
        <w:t>决算均有所下降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严格落实公车使用规定，严禁公车私用，公车运行维护成本下降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强化公务接待支出管理，严格遵守公务接待开支范围和开支标准，严格控制陪餐人数，对应由接待对象承担的费用一律由接待对象自行支付，公务接待费有所下降。</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eastAsia"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经费分项支出情况</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因公出国（境）费用0.00万元。费用支出较年初预算数无增减，主要原因是年初预算未安排因公出国（境）费用，也未发生因公出国（境）费用。较上年支出数无增减，主要原因是上年和本年均未发生因公出国（境）费用。</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14.74</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rPr>
        <w:t>市内因公出行、财政业务检查等工作所需车辆的燃料费、维修费、过桥过路费、保险费等。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费用支出较年初预算数增加2.74万元，增长22.8%，主要原因是</w:t>
      </w:r>
      <w:r>
        <w:rPr>
          <w:rFonts w:hint="default" w:ascii="Times New Roman" w:hAnsi="Times New Roman" w:eastAsia="方正仿宋_GBK" w:cs="Times New Roman"/>
          <w:sz w:val="32"/>
          <w:szCs w:val="32"/>
        </w:rPr>
        <w:t>公务车运行维护事项增加，导致年中预算追加</w:t>
      </w:r>
      <w:r>
        <w:rPr>
          <w:rFonts w:hint="default" w:ascii="Times New Roman" w:hAnsi="Times New Roman" w:eastAsia="方正仿宋_GBK" w:cs="Times New Roman"/>
          <w:sz w:val="32"/>
          <w:szCs w:val="32"/>
          <w:shd w:val="clear" w:color="auto" w:fill="FFFFFF"/>
        </w:rPr>
        <w:t>。较上年支出数减少0.54万元，下降3.5%，主要原因是严格落实公务车</w:t>
      </w:r>
      <w:r>
        <w:rPr>
          <w:rFonts w:hint="eastAsia" w:ascii="Times New Roman" w:hAnsi="Times New Roman" w:eastAsia="方正仿宋_GBK" w:cs="Times New Roman"/>
          <w:sz w:val="32"/>
          <w:szCs w:val="32"/>
          <w:shd w:val="clear" w:color="auto" w:fill="FFFFFF"/>
          <w:lang w:eastAsia="zh-CN"/>
        </w:rPr>
        <w:t>日常支出</w:t>
      </w:r>
      <w:r>
        <w:rPr>
          <w:rFonts w:hint="default" w:ascii="Times New Roman" w:hAnsi="Times New Roman" w:eastAsia="方正仿宋_GBK" w:cs="Times New Roman"/>
          <w:sz w:val="32"/>
          <w:szCs w:val="32"/>
          <w:shd w:val="clear" w:color="auto" w:fill="FFFFFF"/>
        </w:rPr>
        <w:t>，公务车维护成本降低。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13.65</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rPr>
        <w:t>按规定开支的各类公务接待支出和接受相关部门检查指导工作发生的接待支出</w:t>
      </w:r>
      <w:r>
        <w:rPr>
          <w:rFonts w:hint="default" w:ascii="Times New Roman" w:hAnsi="Times New Roman" w:eastAsia="方正仿宋_GBK" w:cs="Times New Roman"/>
          <w:sz w:val="32"/>
          <w:szCs w:val="32"/>
          <w:shd w:val="clear" w:color="auto" w:fill="FFFFFF"/>
        </w:rPr>
        <w:t>。费用支出较年初预算数增加3.05万元，增长28.8%，主要原因是</w:t>
      </w:r>
      <w:r>
        <w:rPr>
          <w:rFonts w:hint="default" w:ascii="Times New Roman" w:hAnsi="Times New Roman" w:eastAsia="方正仿宋_GBK" w:cs="Times New Roman"/>
          <w:sz w:val="32"/>
          <w:szCs w:val="32"/>
        </w:rPr>
        <w:t>公务接待次数增加，导致年中预算追加</w:t>
      </w:r>
      <w:r>
        <w:rPr>
          <w:rFonts w:hint="default" w:ascii="Times New Roman" w:hAnsi="Times New Roman" w:eastAsia="方正仿宋_GBK" w:cs="Times New Roman"/>
          <w:sz w:val="32"/>
          <w:szCs w:val="32"/>
          <w:shd w:val="clear" w:color="auto" w:fill="FFFFFF"/>
        </w:rPr>
        <w:t>。较上年支出数减少11.82万元，下降46.4%，主要原因是</w:t>
      </w:r>
      <w:r>
        <w:rPr>
          <w:rFonts w:hint="default" w:ascii="Times New Roman" w:hAnsi="Times New Roman" w:eastAsia="方正仿宋_GBK" w:cs="Times New Roman"/>
          <w:sz w:val="32"/>
          <w:szCs w:val="32"/>
        </w:rPr>
        <w:t>强化公务接待支出管理，严格遵守公务接待开支范围和开支标准，严格控制陪餐人数，对应由接待对象承担的费用一律由接待对象自行开支。</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w:t>
      </w:r>
      <w:r>
        <w:rPr>
          <w:rFonts w:hint="eastAsia"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经费实物量情况</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194</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1806</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75.61</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4.91</w:t>
      </w:r>
      <w:r>
        <w:rPr>
          <w:rFonts w:hint="default" w:ascii="Times New Roman" w:hAnsi="Times New Roman" w:eastAsia="方正仿宋_GBK" w:cs="Times New Roman"/>
          <w:sz w:val="32"/>
          <w:szCs w:val="32"/>
          <w:shd w:val="clear" w:color="auto" w:fill="FFFFFF"/>
        </w:rPr>
        <w:t>万元。</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四、其他需要说明的事项</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0.21</w:t>
      </w:r>
      <w:r>
        <w:rPr>
          <w:rFonts w:hint="default" w:ascii="Times New Roman" w:hAnsi="Times New Roman" w:eastAsia="方正仿宋_GBK" w:cs="Times New Roman"/>
          <w:sz w:val="32"/>
          <w:szCs w:val="32"/>
          <w:shd w:val="clear" w:color="auto" w:fill="FFFFFF"/>
        </w:rPr>
        <w:t>万元，与2023年度相比，减少1.10万元，下降84.0%，主要原因是会议减少导致会务服务费用减少。本年度培训费支出</w:t>
      </w:r>
      <w:r>
        <w:rPr>
          <w:rFonts w:hint="default" w:ascii="Times New Roman" w:hAnsi="Times New Roman" w:eastAsia="方正仿宋_GBK" w:cs="Times New Roman"/>
          <w:sz w:val="32"/>
          <w:szCs w:val="32"/>
        </w:rPr>
        <w:t>9.49</w:t>
      </w:r>
      <w:r>
        <w:rPr>
          <w:rFonts w:hint="default" w:ascii="Times New Roman" w:hAnsi="Times New Roman" w:eastAsia="方正仿宋_GBK" w:cs="Times New Roman"/>
          <w:sz w:val="32"/>
          <w:szCs w:val="32"/>
          <w:shd w:val="clear" w:color="auto" w:fill="FFFFFF"/>
        </w:rPr>
        <w:t>万元，与2023年度相比，减少0.92万元，下降8.8%，主要原因是本年培训减少，培训支出相应减少。</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396.39</w:t>
      </w:r>
      <w:r>
        <w:rPr>
          <w:rFonts w:hint="default" w:ascii="Times New Roman" w:hAnsi="Times New Roman" w:eastAsia="方正仿宋_GBK" w:cs="Times New Roman"/>
          <w:sz w:val="32"/>
          <w:szCs w:val="32"/>
          <w:shd w:val="clear" w:color="auto" w:fill="FFFFFF"/>
        </w:rPr>
        <w:t>万元，机关运行经费主要用于</w:t>
      </w:r>
      <w:r>
        <w:rPr>
          <w:rFonts w:hint="default" w:ascii="Times New Roman" w:hAnsi="Times New Roman" w:eastAsia="方正仿宋_GBK" w:cs="Times New Roman"/>
          <w:sz w:val="32"/>
          <w:szCs w:val="32"/>
        </w:rPr>
        <w:t>开支办公费、印刷费、维修（护）费、劳务费、办公设备购置等。</w:t>
      </w:r>
      <w:r>
        <w:rPr>
          <w:rFonts w:hint="default" w:ascii="Times New Roman" w:hAnsi="Times New Roman" w:eastAsia="方正仿宋_GBK" w:cs="Times New Roman"/>
          <w:sz w:val="32"/>
          <w:szCs w:val="32"/>
          <w:shd w:val="clear" w:color="auto" w:fill="FFFFFF"/>
        </w:rPr>
        <w:t>机关运行经费较上年支出数减少160.42万元，下降28.8%，主要原因是落实政府</w:t>
      </w:r>
      <w:r>
        <w:rPr>
          <w:rFonts w:hint="default" w:ascii="Times New Roman" w:hAnsi="Times New Roman" w:eastAsia="仿宋_GB2312" w:cs="Times New Roman"/>
          <w:sz w:val="32"/>
          <w:szCs w:val="32"/>
        </w:rPr>
        <w:t>过“紧日子”要求，压减不必要开支，资金支出结构不断优化。</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rPr>
        <w:t>10378.89</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2.19</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10226.70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150.00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10228.89万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98.55</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10228.89</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98.55</w:t>
      </w:r>
      <w:r>
        <w:rPr>
          <w:rFonts w:hint="default" w:ascii="Times New Roman" w:hAnsi="Times New Roman" w:eastAsia="方正仿宋_GBK" w:cs="Times New Roman"/>
          <w:sz w:val="32"/>
          <w:szCs w:val="32"/>
          <w:shd w:val="clear" w:color="auto" w:fill="FFFFFF"/>
        </w:rPr>
        <w:t>%。主要用于授予国企采购工程支出。</w:t>
      </w:r>
    </w:p>
    <w:p>
      <w:pPr>
        <w:pStyle w:val="13"/>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五、2024年度预算绩效管理情况说明</w:t>
      </w: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（一）部门自评情况</w:t>
      </w:r>
    </w:p>
    <w:p>
      <w:pPr>
        <w:pStyle w:val="13"/>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根据预算绩效管理要求，我部门对部门整体和17个二级项目开展了绩效自评，涉及财政拨款项目支出资金20302.36万元。</w:t>
      </w:r>
    </w:p>
    <w:p>
      <w:pPr>
        <w:pStyle w:val="13"/>
        <w:adjustRightInd w:val="0"/>
        <w:snapToGrid w:val="0"/>
        <w:spacing w:before="0" w:beforeAutospacing="0" w:after="0" w:afterAutospacing="0" w:line="594" w:lineRule="exact"/>
        <w:ind w:firstLine="480" w:firstLineChars="200"/>
        <w:rPr>
          <w:rFonts w:hint="default" w:ascii="Times New Roman" w:hAnsi="Times New Roman" w:eastAsia="方正仿宋_GBK" w:cs="Times New Roman"/>
          <w:b/>
          <w:bCs/>
          <w:sz w:val="32"/>
          <w:szCs w:val="32"/>
          <w:shd w:val="clear" w:color="auto" w:fill="FFFFFF"/>
        </w:rPr>
      </w:pPr>
      <w:r>
        <w:drawing>
          <wp:anchor distT="0" distB="0" distL="114300" distR="114300" simplePos="0" relativeHeight="251662336" behindDoc="0" locked="0" layoutInCell="1" allowOverlap="1">
            <wp:simplePos x="0" y="0"/>
            <wp:positionH relativeFrom="column">
              <wp:posOffset>17145</wp:posOffset>
            </wp:positionH>
            <wp:positionV relativeFrom="paragraph">
              <wp:posOffset>236220</wp:posOffset>
            </wp:positionV>
            <wp:extent cx="5081905" cy="3993515"/>
            <wp:effectExtent l="0" t="0" r="8255" b="1460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081905" cy="3993515"/>
                    </a:xfrm>
                    <a:prstGeom prst="rect">
                      <a:avLst/>
                    </a:prstGeom>
                    <a:noFill/>
                    <a:ln>
                      <a:noFill/>
                    </a:ln>
                  </pic:spPr>
                </pic:pic>
              </a:graphicData>
            </a:graphic>
          </wp:anchor>
        </w:drawing>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b/>
          <w:bCs/>
          <w:sz w:val="32"/>
          <w:szCs w:val="32"/>
          <w:shd w:val="clear" w:color="auto" w:fill="FFFFFF"/>
        </w:rPr>
      </w:pP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b/>
          <w:bCs/>
          <w:sz w:val="32"/>
          <w:szCs w:val="32"/>
          <w:shd w:val="clear" w:color="auto" w:fill="FFFFFF"/>
        </w:rPr>
      </w:pP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b/>
          <w:bCs/>
          <w:sz w:val="32"/>
          <w:szCs w:val="32"/>
          <w:shd w:val="clear" w:color="auto" w:fill="FFFFFF"/>
        </w:rPr>
      </w:pP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b/>
          <w:bCs/>
          <w:sz w:val="32"/>
          <w:szCs w:val="32"/>
          <w:shd w:val="clear" w:color="auto" w:fill="FFFFFF"/>
        </w:rPr>
      </w:pP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b/>
          <w:bCs/>
          <w:sz w:val="32"/>
          <w:szCs w:val="32"/>
          <w:shd w:val="clear" w:color="auto" w:fill="FFFFFF"/>
        </w:rPr>
      </w:pP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b/>
          <w:bCs/>
          <w:sz w:val="32"/>
          <w:szCs w:val="32"/>
          <w:shd w:val="clear" w:color="auto" w:fill="FFFFFF"/>
        </w:rPr>
      </w:pP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b/>
          <w:bCs/>
          <w:sz w:val="32"/>
          <w:szCs w:val="32"/>
          <w:shd w:val="clear" w:color="auto" w:fill="FFFFFF"/>
        </w:rPr>
      </w:pP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480" w:firstLineChars="200"/>
        <w:rPr>
          <w:rFonts w:hint="default" w:ascii="Times New Roman" w:hAnsi="Times New Roman" w:eastAsia="楷体" w:cs="Times New Roman"/>
          <w:b/>
          <w:bCs/>
          <w:sz w:val="32"/>
          <w:szCs w:val="32"/>
          <w:shd w:val="clear" w:color="auto" w:fill="FFFFFF"/>
        </w:rPr>
      </w:pPr>
      <w:r>
        <w:drawing>
          <wp:anchor distT="0" distB="0" distL="114300" distR="114300" simplePos="0" relativeHeight="251666432" behindDoc="0" locked="0" layoutInCell="1" allowOverlap="1">
            <wp:simplePos x="0" y="0"/>
            <wp:positionH relativeFrom="column">
              <wp:posOffset>119380</wp:posOffset>
            </wp:positionH>
            <wp:positionV relativeFrom="paragraph">
              <wp:posOffset>45085</wp:posOffset>
            </wp:positionV>
            <wp:extent cx="5275580" cy="3341370"/>
            <wp:effectExtent l="0" t="0" r="12700" b="1143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75580" cy="3341370"/>
                    </a:xfrm>
                    <a:prstGeom prst="rect">
                      <a:avLst/>
                    </a:prstGeom>
                    <a:noFill/>
                    <a:ln>
                      <a:noFill/>
                    </a:ln>
                  </pic:spPr>
                </pic:pic>
              </a:graphicData>
            </a:graphic>
          </wp:anchor>
        </w:drawing>
      </w: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480" w:firstLineChars="200"/>
        <w:rPr>
          <w:rFonts w:hint="default" w:ascii="Times New Roman" w:hAnsi="Times New Roman" w:eastAsia="楷体" w:cs="Times New Roman"/>
          <w:b/>
          <w:bCs/>
          <w:sz w:val="32"/>
          <w:szCs w:val="32"/>
          <w:shd w:val="clear" w:color="auto" w:fill="FFFFFF"/>
        </w:rPr>
      </w:pPr>
      <w:r>
        <w:drawing>
          <wp:anchor distT="0" distB="0" distL="114300" distR="114300" simplePos="0" relativeHeight="251668480" behindDoc="0" locked="0" layoutInCell="1" allowOverlap="1">
            <wp:simplePos x="0" y="0"/>
            <wp:positionH relativeFrom="column">
              <wp:posOffset>144780</wp:posOffset>
            </wp:positionH>
            <wp:positionV relativeFrom="paragraph">
              <wp:posOffset>196850</wp:posOffset>
            </wp:positionV>
            <wp:extent cx="5204460" cy="3576955"/>
            <wp:effectExtent l="0" t="0" r="7620" b="444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5204460" cy="3576955"/>
                    </a:xfrm>
                    <a:prstGeom prst="rect">
                      <a:avLst/>
                    </a:prstGeom>
                    <a:noFill/>
                    <a:ln>
                      <a:noFill/>
                    </a:ln>
                  </pic:spPr>
                </pic:pic>
              </a:graphicData>
            </a:graphic>
          </wp:anchor>
        </w:drawing>
      </w: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480" w:firstLineChars="200"/>
        <w:rPr>
          <w:rFonts w:hint="default" w:ascii="Times New Roman" w:hAnsi="Times New Roman" w:eastAsia="楷体" w:cs="Times New Roman"/>
          <w:b/>
          <w:bCs/>
          <w:sz w:val="32"/>
          <w:szCs w:val="32"/>
          <w:shd w:val="clear" w:color="auto" w:fill="FFFFFF"/>
        </w:rPr>
      </w:pPr>
      <w:bookmarkStart w:id="0" w:name="_GoBack"/>
      <w:r>
        <w:drawing>
          <wp:anchor distT="0" distB="0" distL="114300" distR="114300" simplePos="0" relativeHeight="251672576" behindDoc="0" locked="0" layoutInCell="1" allowOverlap="1">
            <wp:simplePos x="0" y="0"/>
            <wp:positionH relativeFrom="column">
              <wp:posOffset>109855</wp:posOffset>
            </wp:positionH>
            <wp:positionV relativeFrom="paragraph">
              <wp:posOffset>203835</wp:posOffset>
            </wp:positionV>
            <wp:extent cx="5276215" cy="3326765"/>
            <wp:effectExtent l="0" t="0" r="12065" b="10795"/>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5276215" cy="3326765"/>
                    </a:xfrm>
                    <a:prstGeom prst="rect">
                      <a:avLst/>
                    </a:prstGeom>
                    <a:noFill/>
                    <a:ln>
                      <a:noFill/>
                    </a:ln>
                  </pic:spPr>
                </pic:pic>
              </a:graphicData>
            </a:graphic>
          </wp:anchor>
        </w:drawing>
      </w:r>
      <w:bookmarkEnd w:id="0"/>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rPr>
          <w:rFonts w:hint="default" w:ascii="Times New Roman" w:hAnsi="Times New Roman" w:eastAsia="楷体" w:cs="Times New Roman"/>
          <w:b/>
          <w:bCs/>
          <w:sz w:val="32"/>
          <w:szCs w:val="32"/>
          <w:shd w:val="clear" w:color="auto" w:fill="FFFFFF"/>
        </w:rPr>
      </w:pP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（二）部门绩效评价情况</w:t>
      </w:r>
    </w:p>
    <w:p>
      <w:pPr>
        <w:pStyle w:val="12"/>
        <w:autoSpaceDE w:val="0"/>
        <w:adjustRightInd w:val="0"/>
        <w:snapToGrid w:val="0"/>
        <w:spacing w:line="594" w:lineRule="exact"/>
        <w:ind w:firstLine="640"/>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rPr>
        <w:t>2024年我部门未组织开展绩效评价。</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（三）财政绩效评价情况</w:t>
      </w:r>
    </w:p>
    <w:p>
      <w:pPr>
        <w:pStyle w:val="12"/>
        <w:autoSpaceDE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2024年县财政局未委托第三方对我部门开展绩效评价。</w:t>
      </w:r>
    </w:p>
    <w:p>
      <w:pPr>
        <w:pStyle w:val="13"/>
        <w:autoSpaceDE w:val="0"/>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4"/>
          <w:rFonts w:hint="eastAsia" w:ascii="方正仿宋_GBK" w:hAnsi="方正仿宋_GBK" w:eastAsia="方正仿宋_GBK" w:cs="方正仿宋_GBK"/>
          <w:sz w:val="32"/>
          <w:szCs w:val="32"/>
          <w:shd w:val="clear" w:color="auto" w:fill="FFFFFF"/>
        </w:rPr>
        <w:t xml:space="preserve">   </w:t>
      </w:r>
      <w:r>
        <w:rPr>
          <w:rStyle w:val="9"/>
          <w:rFonts w:hint="eastAsia" w:ascii="黑体" w:hAnsi="黑体" w:eastAsia="黑体" w:cs="黑体"/>
          <w:sz w:val="32"/>
          <w:szCs w:val="32"/>
          <w:shd w:val="clear" w:color="auto" w:fill="FFFFFF"/>
        </w:rPr>
        <w:t xml:space="preserve"> 六、专业名词解释</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（十二）</w:t>
      </w:r>
      <w:r>
        <w:rPr>
          <w:rStyle w:val="9"/>
          <w:rFonts w:hint="eastAsia" w:ascii="楷体" w:hAnsi="楷体" w:eastAsia="楷体" w:cs="楷体"/>
          <w:sz w:val="32"/>
          <w:szCs w:val="32"/>
          <w:shd w:val="clear" w:color="auto" w:fill="FFFFFF"/>
          <w:lang w:eastAsia="zh-CN"/>
        </w:rPr>
        <w:t>三公</w:t>
      </w:r>
      <w:r>
        <w:rPr>
          <w:rStyle w:val="9"/>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黑体" w:hAnsi="黑体" w:eastAsia="黑体" w:cs="黑体"/>
          <w:sz w:val="32"/>
          <w:szCs w:val="32"/>
          <w:shd w:val="clear" w:color="auto" w:fill="FFFFFF"/>
        </w:rPr>
        <w:t>七、决算公开联系方式及信息反馈渠道</w:t>
      </w:r>
    </w:p>
    <w:p>
      <w:pPr>
        <w:pStyle w:val="13"/>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autoSpaceDE w:val="0"/>
        <w:adjustRightInd w:val="0"/>
        <w:snapToGrid w:val="0"/>
        <w:spacing w:line="594" w:lineRule="exact"/>
        <w:ind w:firstLine="640"/>
        <w:jc w:val="both"/>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贺老师   023-74516510</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垫江县财政局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2,191.12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1,733.22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18,499.97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18,499.33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20,691.09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22,340.61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1,784.35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134.82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22,475.43</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22,475.43</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垫江县财政局</w:t>
            </w:r>
          </w:p>
        </w:tc>
        <w:tc>
          <w:tcPr>
            <w:tcW w:w="14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20,691.09</w:t>
            </w:r>
            <w:r>
              <w:rPr>
                <w:rFonts w:ascii="Times New Roman" w:hAnsi="Times New Roman"/>
                <w:b/>
                <w:color w:val="000000"/>
                <w:sz w:val="20"/>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20,691.09</w:t>
            </w:r>
            <w:r>
              <w:rPr>
                <w:rFonts w:ascii="Times New Roman" w:hAnsi="Times New Roman"/>
                <w:b/>
                <w:color w:val="000000"/>
                <w:sz w:val="20"/>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1,650.36</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1,650.36</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1,650.36</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1,650.36</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1,327.96</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1,327.96</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135.79</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135.79</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预算改革业务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财政委托业务支出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136.38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136.38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24.43</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24.43</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346.81</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346.81</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346.81</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346.81</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136.75</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136.75</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67.29</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67.29</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142.77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142.77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106.67</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106.67</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106.67</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106.67</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18,499.97</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18,499.97</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其他解决历史遗留问题及改革成本支出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国有企业资本金注入</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18,450.00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18,450.00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其他国有企业资本金注入</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18,450.00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18,450.00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垫江县财政局 </w:t>
            </w:r>
          </w:p>
        </w:tc>
        <w:tc>
          <w:tcPr>
            <w:tcW w:w="17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22,340.61</w:t>
            </w:r>
            <w:r>
              <w:rPr>
                <w:rFonts w:ascii="Times New Roman" w:hAnsi="Times New Roman"/>
                <w:b/>
                <w:color w:val="000000"/>
                <w:sz w:val="20"/>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2,038.89</w:t>
            </w:r>
            <w:r>
              <w:rPr>
                <w:rFonts w:ascii="Times New Roman" w:hAnsi="Times New Roman"/>
                <w:b/>
                <w:color w:val="000000"/>
                <w:sz w:val="20"/>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20,301.73</w:t>
            </w:r>
            <w:r>
              <w:rPr>
                <w:rFonts w:ascii="Times New Roman" w:hAnsi="Times New Roman"/>
                <w:b/>
                <w:color w:val="000000"/>
                <w:sz w:val="20"/>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1,733.22</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1,503.37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229.86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1,733.22</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1,503.37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229.86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1,360.82</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1,360.82</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185.79</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185.79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预算改革业务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财政委托业务支出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136.38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136.38</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24.43</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342.11</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342.11</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342.11</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342.11</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136.75</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136.75</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67.29</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67.29</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138.07</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76.18</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1,572.00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1,572.00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106.67</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106.67</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106.67</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18,499.33</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18,499.33</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49.33</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49.33</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其他解决历史遗留问题及改革成本支出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49.33</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49.33</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国有企业资本金注入</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18,450.00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18,450.00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其他国有企业资本金注入</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18,450.00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18,450.00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垫江县财政局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2,191.12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1,733.22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1,733.22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18,499.97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1,572.00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1,572.00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18,499.33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18,499.33</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20,691.09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22,340.61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3,841.28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18,499.33</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1,736.08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1,732.56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22,427.17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22,427.17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3,923.67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18,503.49</w:t>
            </w: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垫江县财政局</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3,841.28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2,038.89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1,802.39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1,733.22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1,503.37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229.86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1,733.22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1,503.37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229.86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1,360.82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185.79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185.79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预算改革业务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财政委托业务支出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136.38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136.38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342.11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342.11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342.11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342.11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136.75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136.75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76.18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76.18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106.67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106.67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垫江县财政局</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1,467.55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402.23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293.76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190.23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386.77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77.49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136.75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73.13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162.99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133.27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1,630.54</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408.35</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垫江县财政局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垫江县财政局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18,499.33</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18,499.33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18,499.33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18,499.33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49.33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49.33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其他解决历史遗留问题及改革成本支出</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49.33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49.33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国有企业资本金注入</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18,450.00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18,450.00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2230299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其他国有企业资本金注入</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18,450.00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18,450.00 </w:t>
            </w:r>
          </w:p>
        </w:tc>
      </w:tr>
    </w:tbl>
    <w:p>
      <w:pPr>
        <w:rPr>
          <w:rFonts w:hint="default" w:cs="宋体"/>
          <w:sz w:val="21"/>
          <w:szCs w:val="21"/>
        </w:rPr>
      </w:pPr>
      <w:r>
        <w:rPr>
          <w:rFonts w:cs="宋体"/>
          <w:sz w:val="20"/>
          <w:szCs w:val="20"/>
        </w:rPr>
        <w:t>备注：1.本表反映部门本年度国有资本经营预算财政拨款支出情况。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垫江县财政局</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396.39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28.40</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28.40</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268.32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128.07</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14.74</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14.74</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14.74</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14.74</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13.65</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13.65</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13.65</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194</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10,378.89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1,806</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10,226.70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150.00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10,228.89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10,228.89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0.21</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9.49</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74.83</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adjustRightInd w:val="0"/>
        <w:snapToGrid w:val="0"/>
        <w:spacing w:line="594" w:lineRule="exact"/>
        <w:ind w:firstLine="360" w:firstLineChars="200"/>
        <w:rPr>
          <w:rFonts w:hint="default" w:cs="宋体"/>
          <w:sz w:val="18"/>
          <w:szCs w:val="18"/>
        </w:rPr>
      </w:pPr>
      <w:r>
        <w:rPr>
          <w:rFonts w:cs="宋体"/>
          <w:sz w:val="18"/>
          <w:szCs w:val="18"/>
        </w:rPr>
        <w:t>备注：1.本表反映部门本年度财政拨款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765E2"/>
    <w:rsid w:val="000C01CC"/>
    <w:rsid w:val="000D7702"/>
    <w:rsid w:val="000F6721"/>
    <w:rsid w:val="001632EC"/>
    <w:rsid w:val="00261065"/>
    <w:rsid w:val="00266A4F"/>
    <w:rsid w:val="002D0E5A"/>
    <w:rsid w:val="002D71F4"/>
    <w:rsid w:val="002E1481"/>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730B0"/>
    <w:rsid w:val="00893689"/>
    <w:rsid w:val="008C5956"/>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2105A"/>
    <w:rsid w:val="00B40138"/>
    <w:rsid w:val="00BD6FAA"/>
    <w:rsid w:val="00BF5A85"/>
    <w:rsid w:val="00C307F6"/>
    <w:rsid w:val="00C96B11"/>
    <w:rsid w:val="00C97747"/>
    <w:rsid w:val="00CC6B99"/>
    <w:rsid w:val="00DF7706"/>
    <w:rsid w:val="00E05175"/>
    <w:rsid w:val="00E654E2"/>
    <w:rsid w:val="00E76362"/>
    <w:rsid w:val="00E86B80"/>
    <w:rsid w:val="00E86F0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259A0"/>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0F7B4A"/>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6453022"/>
    <w:rsid w:val="267701A4"/>
    <w:rsid w:val="26DC128D"/>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585673"/>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8F3DD9"/>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E64149A"/>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before="61"/>
      <w:ind w:left="117"/>
    </w:pPr>
    <w:rPr>
      <w:szCs w:val="30"/>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8"/>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 w:type="paragraph" w:customStyle="1" w:styleId="18">
    <w:name w:val="正文-公1"/>
    <w:basedOn w:val="19"/>
    <w:next w:val="1"/>
    <w:qFormat/>
    <w:uiPriority w:val="0"/>
    <w:pPr>
      <w:ind w:firstLine="200" w:firstLineChars="200"/>
    </w:p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8"/>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2709</Words>
  <Characters>15443</Characters>
  <Lines>128</Lines>
  <Paragraphs>36</Paragraphs>
  <TotalTime>0</TotalTime>
  <ScaleCrop>false</ScaleCrop>
  <LinksUpToDate>false</LinksUpToDate>
  <CharactersWithSpaces>18116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贺馨瑶</cp:lastModifiedBy>
  <dcterms:modified xsi:type="dcterms:W3CDTF">2025-09-18T06:49:32Z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