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垫江县财政局（本级）</w:t>
      </w:r>
    </w:p>
    <w:p>
      <w:pPr>
        <w:pStyle w:val="7"/>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一、单位基本情况</w:t>
      </w:r>
    </w:p>
    <w:p>
      <w:pPr>
        <w:pStyle w:val="7"/>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贯彻执行财税法律、法规、规章和方针政策；起草全县财政、税收、行政事业单位国有资产、财务、会计和非贸易外汇收支管理方面的地方性法规、规章，制定有关政策和管理制度并组织实施；拟订和执行财政分配政策和分级财政管理体制；参与拟订全县宏观经济政策，提出运用财税政策实施经济调节的建议，拟订推进统筹城乡改革和发展的财税政策；管理全县财政收支，承担县级各项财政收支管理的责任，负责编制县级年度预决算草案，组织执行县级年度预算，完善转移支付制度；负责政府非税收入管理，负责政府性基金管理，按规定管理行政事业性收费；组织执行国库管理制度、国库集中收付制度；组织实施政府采购制度；组织执行行政事业单位国有资产管理规章制度；负责审核和汇总编制县级国有资本经营预决算草案，执行国有资本经营预算的制度和办法；负责办理和监督县级财政的经济发展支出、县级政府性投资项目的财政拨款，负责财政投资评审管理工作；会同有关部门管理县级财政社会保障和就业及医疗卫生支出；拟订和执行政府债务管理的制度和政策。</w:t>
      </w:r>
    </w:p>
    <w:p>
      <w:pPr>
        <w:pStyle w:val="7"/>
        <w:shd w:val="clear" w:color="auto" w:fill="FFFFFF"/>
        <w:adjustRightInd w:val="0"/>
        <w:snapToGrid w:val="0"/>
        <w:spacing w:before="0" w:beforeAutospacing="0" w:after="0" w:afterAutospacing="0" w:line="594" w:lineRule="exact"/>
        <w:ind w:firstLine="643" w:firstLineChars="200"/>
        <w:rPr>
          <w:rFonts w:hint="default" w:ascii="Times New Roman" w:hAnsi="Times New Roman" w:eastAsia="楷体" w:cs="Times New Roman"/>
          <w:sz w:val="32"/>
          <w:szCs w:val="32"/>
        </w:rPr>
      </w:pPr>
      <w:r>
        <w:rPr>
          <w:rStyle w:val="9"/>
          <w:rFonts w:hint="default" w:ascii="Times New Roman" w:hAnsi="Times New Roman" w:eastAsia="楷体" w:cs="Times New Roman"/>
          <w:sz w:val="32"/>
          <w:szCs w:val="32"/>
          <w:shd w:val="clear" w:color="auto" w:fill="FFFFFF"/>
        </w:rPr>
        <w:t>（二）机构设置</w:t>
      </w:r>
    </w:p>
    <w:p>
      <w:pPr>
        <w:pStyle w:val="13"/>
        <w:autoSpaceDE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垫江县财政局行政编制24人，现在编在岗共计20人。内设12个职能科室:办公室、预算科、国库科、综合科、行财科、社保科、采购科、企业科、农业科、经建科、金融债务科、监督科。</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二、单位决算收支情况说明</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7"/>
        <w:shd w:val="clear" w:color="auto" w:fill="FFFFFF"/>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2024年度收入总计1008.98万元，支出总计</w:t>
      </w:r>
      <w:r>
        <w:rPr>
          <w:rFonts w:hint="default" w:ascii="Times New Roman" w:hAnsi="Times New Roman" w:eastAsia="方正仿宋_GBK" w:cs="Times New Roman"/>
          <w:sz w:val="32"/>
          <w:szCs w:val="32"/>
        </w:rPr>
        <w:t>1008.98</w:t>
      </w:r>
      <w:r>
        <w:rPr>
          <w:rFonts w:hint="default" w:ascii="Times New Roman" w:hAnsi="Times New Roman" w:eastAsia="方正仿宋_GBK" w:cs="Times New Roman"/>
          <w:sz w:val="32"/>
          <w:szCs w:val="32"/>
          <w:shd w:val="clear" w:color="auto" w:fill="FFFFFF"/>
        </w:rPr>
        <w:t>万元。收、支与2023年度相比，减少202.61万元，下降16.7%，主要原因是</w:t>
      </w:r>
      <w:r>
        <w:rPr>
          <w:rFonts w:hint="default" w:ascii="Times New Roman" w:hAnsi="Times New Roman" w:eastAsia="仿宋_GB2312" w:cs="Times New Roman"/>
          <w:sz w:val="32"/>
          <w:szCs w:val="32"/>
        </w:rPr>
        <w:t>落实政府过“紧日子”要求，</w:t>
      </w:r>
      <w:r>
        <w:rPr>
          <w:rFonts w:hint="default" w:ascii="Times New Roman" w:hAnsi="Times New Roman" w:eastAsia="方正仿宋_GBK" w:cs="Times New Roman"/>
          <w:sz w:val="32"/>
          <w:szCs w:val="32"/>
          <w:shd w:val="clear" w:color="auto" w:fill="FFFFFF"/>
        </w:rPr>
        <w:t>日常公用经费与项目经费减少。</w:t>
      </w:r>
    </w:p>
    <w:p>
      <w:pPr>
        <w:pStyle w:val="7"/>
        <w:shd w:val="clear" w:color="auto" w:fill="FFFFFF"/>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2024年度收入合计906.00万元，与2023年度相比，减少261.32万元，下降22.4%，主要原因是</w:t>
      </w:r>
      <w:r>
        <w:rPr>
          <w:rFonts w:hint="default" w:ascii="Times New Roman" w:hAnsi="Times New Roman" w:eastAsia="仿宋_GB2312" w:cs="Times New Roman"/>
          <w:sz w:val="32"/>
          <w:szCs w:val="32"/>
        </w:rPr>
        <w:t>落实政府过“紧日子”要求，财政拨款预算收入中基本支出与项目支出均减少</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906.00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102.98</w:t>
      </w:r>
      <w:r>
        <w:rPr>
          <w:rFonts w:hint="default" w:ascii="Times New Roman" w:hAnsi="Times New Roman" w:eastAsia="方正仿宋_GBK" w:cs="Times New Roman"/>
          <w:sz w:val="32"/>
          <w:szCs w:val="32"/>
          <w:shd w:val="clear" w:color="auto" w:fill="FFFFFF"/>
        </w:rPr>
        <w:t>万元。</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984.20</w:t>
      </w:r>
      <w:r>
        <w:rPr>
          <w:rFonts w:hint="default" w:ascii="Times New Roman" w:hAnsi="Times New Roman" w:eastAsia="方正仿宋_GBK" w:cs="Times New Roman"/>
          <w:sz w:val="32"/>
          <w:szCs w:val="32"/>
          <w:shd w:val="clear" w:color="auto" w:fill="FFFFFF"/>
        </w:rPr>
        <w:t>万元，与2023年度相比，减少208.11万元，下降17.5%，主要原因是</w:t>
      </w:r>
      <w:r>
        <w:rPr>
          <w:rFonts w:hint="default" w:ascii="Times New Roman" w:hAnsi="Times New Roman" w:eastAsia="仿宋_GB2312" w:cs="Times New Roman"/>
          <w:sz w:val="32"/>
          <w:szCs w:val="32"/>
        </w:rPr>
        <w:t>基本支出与项目支出均减少。</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805.83</w:t>
      </w:r>
      <w:r>
        <w:rPr>
          <w:rFonts w:hint="default" w:ascii="Times New Roman" w:hAnsi="Times New Roman" w:eastAsia="方正仿宋_GBK" w:cs="Times New Roman"/>
          <w:sz w:val="32"/>
          <w:szCs w:val="32"/>
          <w:shd w:val="clear" w:color="auto" w:fill="FFFFFF"/>
        </w:rPr>
        <w:t>万元，占81.9%；项目支出</w:t>
      </w:r>
      <w:r>
        <w:rPr>
          <w:rFonts w:hint="default" w:ascii="Times New Roman" w:hAnsi="Times New Roman" w:eastAsia="方正仿宋_GBK" w:cs="Times New Roman"/>
          <w:sz w:val="32"/>
          <w:szCs w:val="32"/>
        </w:rPr>
        <w:t>178.37</w:t>
      </w:r>
      <w:r>
        <w:rPr>
          <w:rFonts w:hint="default" w:ascii="Times New Roman" w:hAnsi="Times New Roman" w:eastAsia="方正仿宋_GBK" w:cs="Times New Roman"/>
          <w:sz w:val="32"/>
          <w:szCs w:val="32"/>
          <w:shd w:val="clear" w:color="auto" w:fill="FFFFFF"/>
        </w:rPr>
        <w:t>万元，占18.1%；经营支出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24.78</w:t>
      </w:r>
      <w:r>
        <w:rPr>
          <w:rFonts w:hint="default" w:ascii="Times New Roman" w:hAnsi="Times New Roman" w:eastAsia="方正仿宋_GBK" w:cs="Times New Roman"/>
          <w:sz w:val="32"/>
          <w:szCs w:val="32"/>
          <w:shd w:val="clear" w:color="auto" w:fill="FFFFFF"/>
        </w:rPr>
        <w:t>万元，与2023年度相比，增加5.51万元，增长28.6%，主要原因是年末日常公用经费结转结余。</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2024年度财政拨款收、支总计1008.98万元。与2023年相比，财政拨款收、支总计各减少202.61万元，下降16.7%。主要原因是</w:t>
      </w:r>
      <w:r>
        <w:rPr>
          <w:rFonts w:hint="default" w:ascii="Times New Roman" w:hAnsi="Times New Roman" w:eastAsia="仿宋_GB2312" w:cs="Times New Roman"/>
          <w:sz w:val="32"/>
          <w:szCs w:val="32"/>
        </w:rPr>
        <w:t>落实政府过“紧日子”要求，</w:t>
      </w:r>
      <w:r>
        <w:rPr>
          <w:rFonts w:hint="default" w:ascii="Times New Roman" w:hAnsi="Times New Roman" w:eastAsia="方正仿宋_GBK" w:cs="Times New Roman"/>
          <w:sz w:val="32"/>
          <w:szCs w:val="32"/>
          <w:shd w:val="clear" w:color="auto" w:fill="FFFFFF"/>
        </w:rPr>
        <w:t>日常公用经费与项目经费减少。</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906.00</w:t>
      </w:r>
      <w:r>
        <w:rPr>
          <w:rFonts w:hint="default" w:ascii="Times New Roman" w:hAnsi="Times New Roman" w:eastAsia="方正仿宋_GBK" w:cs="Times New Roman"/>
          <w:sz w:val="32"/>
          <w:szCs w:val="32"/>
          <w:shd w:val="clear" w:color="auto" w:fill="FFFFFF"/>
        </w:rPr>
        <w:t>万元，与2023年度相比，减少261.32万元，下降22.4%。主要原因是落实政府</w:t>
      </w:r>
      <w:r>
        <w:rPr>
          <w:rFonts w:hint="default" w:ascii="Times New Roman" w:hAnsi="Times New Roman" w:eastAsia="仿宋_GB2312" w:cs="Times New Roman"/>
          <w:sz w:val="32"/>
          <w:szCs w:val="32"/>
        </w:rPr>
        <w:t>过“紧日子”要求，不断优化支出结构，压减一般性支出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较年初预算数增加198.67万元，增长28.1%。主要原因是新进人员增加导致追加基本支出等。此外，年初财政拨款结转和结余</w:t>
      </w:r>
      <w:r>
        <w:rPr>
          <w:rFonts w:hint="default" w:ascii="Times New Roman" w:hAnsi="Times New Roman" w:eastAsia="方正仿宋_GBK" w:cs="Times New Roman"/>
          <w:sz w:val="32"/>
          <w:szCs w:val="32"/>
        </w:rPr>
        <w:t>102.98</w:t>
      </w:r>
      <w:r>
        <w:rPr>
          <w:rFonts w:hint="default" w:ascii="Times New Roman" w:hAnsi="Times New Roman" w:eastAsia="方正仿宋_GBK" w:cs="Times New Roman"/>
          <w:sz w:val="32"/>
          <w:szCs w:val="32"/>
          <w:shd w:val="clear" w:color="auto" w:fill="FFFFFF"/>
        </w:rPr>
        <w:t>万元。</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984.20</w:t>
      </w:r>
      <w:r>
        <w:rPr>
          <w:rFonts w:hint="default" w:ascii="Times New Roman" w:hAnsi="Times New Roman" w:eastAsia="方正仿宋_GBK" w:cs="Times New Roman"/>
          <w:sz w:val="32"/>
          <w:szCs w:val="32"/>
          <w:shd w:val="clear" w:color="auto" w:fill="FFFFFF"/>
        </w:rPr>
        <w:t>万元，与2023年度相比，减少208.11万元，下降17.5%。主要原因是落实政府</w:t>
      </w:r>
      <w:r>
        <w:rPr>
          <w:rFonts w:hint="default" w:ascii="Times New Roman" w:hAnsi="Times New Roman" w:eastAsia="仿宋_GB2312" w:cs="Times New Roman"/>
          <w:sz w:val="32"/>
          <w:szCs w:val="32"/>
        </w:rPr>
        <w:t>过“紧日子”要求，预算绩效管理不断强化。</w:t>
      </w:r>
      <w:r>
        <w:rPr>
          <w:rFonts w:hint="default" w:ascii="Times New Roman" w:hAnsi="Times New Roman" w:eastAsia="方正仿宋_GBK" w:cs="Times New Roman"/>
          <w:sz w:val="32"/>
          <w:szCs w:val="32"/>
          <w:shd w:val="clear" w:color="auto" w:fill="FFFFFF"/>
        </w:rPr>
        <w:t>较年初预算数增加276.87万元，增长39.1%。主要原因是新进人员增加导致追加基本支出等。</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24.78</w:t>
      </w:r>
      <w:r>
        <w:rPr>
          <w:rFonts w:hint="default" w:ascii="Times New Roman" w:hAnsi="Times New Roman" w:eastAsia="方正仿宋_GBK" w:cs="Times New Roman"/>
          <w:sz w:val="32"/>
          <w:szCs w:val="32"/>
          <w:shd w:val="clear" w:color="auto" w:fill="FFFFFF"/>
        </w:rPr>
        <w:t>万元，与2023年度相比，增加5.51万元，增长28.6%，主要原因是年末日常公用经费结转结余。</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9"/>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773.31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78.6%</w:t>
      </w:r>
      <w:r>
        <w:rPr>
          <w:rFonts w:hint="default" w:ascii="Times New Roman" w:hAnsi="Times New Roman" w:eastAsia="方正仿宋_GBK" w:cs="Times New Roman"/>
          <w:sz w:val="32"/>
          <w:szCs w:val="32"/>
          <w:shd w:val="clear" w:color="auto" w:fill="FFFFFF"/>
        </w:rPr>
        <w:t>，较年初预算数增加269.11万元，增长53.4%，主要原因是项目与日常机关运行需求增加，年中进行预算追加。</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（2）教育支出</w:t>
      </w:r>
      <w:r>
        <w:rPr>
          <w:rFonts w:hint="default" w:ascii="Times New Roman" w:hAnsi="Times New Roman" w:eastAsia="方正仿宋_GBK" w:cs="Times New Roman"/>
          <w:sz w:val="32"/>
          <w:szCs w:val="32"/>
        </w:rPr>
        <w:t>0.77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w:t>
      </w:r>
      <w:r>
        <w:rPr>
          <w:rFonts w:hint="default" w:ascii="Times New Roman" w:hAnsi="Times New Roman" w:eastAsia="方正仿宋_GBK" w:cs="Times New Roman"/>
          <w:sz w:val="32"/>
          <w:szCs w:val="32"/>
          <w:shd w:val="clear" w:color="auto" w:fill="FFFFFF"/>
        </w:rPr>
        <w:t>，较年初预算数减少0.42万元，下降35.3%，主要原因是本年培训次数减少，培训支出相应减少。</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（3）社会保障与就业支出</w:t>
      </w:r>
      <w:r>
        <w:rPr>
          <w:rFonts w:hint="default" w:ascii="Times New Roman" w:hAnsi="Times New Roman" w:eastAsia="方正仿宋_GBK" w:cs="Times New Roman"/>
          <w:sz w:val="32"/>
          <w:szCs w:val="32"/>
        </w:rPr>
        <w:t>157.38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16.0%</w:t>
      </w:r>
      <w:r>
        <w:rPr>
          <w:rFonts w:hint="default" w:ascii="Times New Roman" w:hAnsi="Times New Roman" w:eastAsia="方正仿宋_GBK" w:cs="Times New Roman"/>
          <w:sz w:val="32"/>
          <w:szCs w:val="32"/>
          <w:shd w:val="clear" w:color="auto" w:fill="FFFFFF"/>
        </w:rPr>
        <w:t>，较年初预算数增加7.20万元，增长4.8%，主要原因是本年新进人员3人，社保支出增加。</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（4）卫生健康支出</w:t>
      </w:r>
      <w:r>
        <w:rPr>
          <w:rFonts w:hint="default" w:ascii="Times New Roman" w:hAnsi="Times New Roman" w:eastAsia="方正仿宋_GBK" w:cs="Times New Roman"/>
          <w:sz w:val="32"/>
          <w:szCs w:val="32"/>
        </w:rPr>
        <w:t>22.53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2.3%</w:t>
      </w:r>
      <w:r>
        <w:rPr>
          <w:rFonts w:hint="default" w:ascii="Times New Roman" w:hAnsi="Times New Roman" w:eastAsia="方正仿宋_GBK" w:cs="Times New Roman"/>
          <w:sz w:val="32"/>
          <w:szCs w:val="32"/>
          <w:shd w:val="clear" w:color="auto" w:fill="FFFFFF"/>
        </w:rPr>
        <w:t>，较年初预算数增加0.47万元，增长2.1%，主要原因是本年新进人员3人，医保支出增加。</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（5）农林水支出</w:t>
      </w:r>
      <w:r>
        <w:rPr>
          <w:rFonts w:hint="default" w:ascii="Times New Roman" w:hAnsi="Times New Roman" w:eastAsia="方正仿宋_GBK" w:cs="Times New Roman"/>
          <w:sz w:val="32"/>
          <w:szCs w:val="32"/>
        </w:rPr>
        <w:t>0.54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w:t>
      </w:r>
      <w:r>
        <w:rPr>
          <w:rFonts w:hint="default" w:ascii="Times New Roman" w:hAnsi="Times New Roman" w:eastAsia="方正仿宋_GBK" w:cs="Times New Roman"/>
          <w:sz w:val="32"/>
          <w:szCs w:val="32"/>
          <w:shd w:val="clear" w:color="auto" w:fill="FFFFFF"/>
        </w:rPr>
        <w:t>，较年初预算数增加0.54万元</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主要原因是年中下达市级农业产业发展（种粮大户补贴及工作经费）项目。</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（6）</w:t>
      </w:r>
      <w:r>
        <w:rPr>
          <w:rFonts w:hint="default" w:ascii="Times New Roman" w:hAnsi="Times New Roman" w:eastAsia="方正仿宋_GBK" w:cs="Times New Roman"/>
          <w:sz w:val="32"/>
          <w:szCs w:val="32"/>
        </w:rPr>
        <w:t>住房保障支出29.68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3.0%</w:t>
      </w:r>
      <w:r>
        <w:rPr>
          <w:rFonts w:hint="default" w:ascii="Times New Roman" w:hAnsi="Times New Roman" w:eastAsia="方正仿宋_GBK" w:cs="Times New Roman"/>
          <w:sz w:val="32"/>
          <w:szCs w:val="32"/>
          <w:shd w:val="clear" w:color="auto" w:fill="FFFFFF"/>
        </w:rPr>
        <w:t>，较年初预算数减少0.03万元，下降0.1%，</w:t>
      </w:r>
      <w:r>
        <w:rPr>
          <w:rFonts w:hint="default" w:ascii="Times New Roman" w:hAnsi="Times New Roman" w:eastAsia="方正仿宋_GBK" w:cs="Times New Roman"/>
          <w:sz w:val="32"/>
          <w:szCs w:val="32"/>
        </w:rPr>
        <w:t>主要原因是本年新进人员3人，缴费基数发生变化导致住房公积金支出</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805.83</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537.52</w:t>
      </w:r>
      <w:r>
        <w:rPr>
          <w:rFonts w:hint="default" w:ascii="Times New Roman" w:hAnsi="Times New Roman" w:eastAsia="方正仿宋_GBK" w:cs="Times New Roman"/>
          <w:sz w:val="32"/>
          <w:szCs w:val="32"/>
          <w:shd w:val="clear" w:color="auto" w:fill="FFFFFF"/>
        </w:rPr>
        <w:t>万元，与2023年度相比，减少48.10万元，下降8.2%，主要原因是本年人员变动幅度较上年小，工资性支出等减少。人员经费用途主要包括</w:t>
      </w:r>
      <w:r>
        <w:rPr>
          <w:rFonts w:hint="default" w:ascii="Times New Roman" w:hAnsi="Times New Roman" w:eastAsia="方正仿宋_GBK" w:cs="Times New Roman"/>
          <w:sz w:val="32"/>
          <w:szCs w:val="32"/>
        </w:rPr>
        <w:t>基本工资、津贴补贴、奖金、社会保障缴费、医疗费、住房公积金等。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268.32</w:t>
      </w:r>
      <w:r>
        <w:rPr>
          <w:rFonts w:hint="default" w:ascii="Times New Roman" w:hAnsi="Times New Roman" w:eastAsia="方正仿宋_GBK" w:cs="Times New Roman"/>
          <w:sz w:val="32"/>
          <w:szCs w:val="32"/>
          <w:shd w:val="clear" w:color="auto" w:fill="FFFFFF"/>
        </w:rPr>
        <w:t>万元，与2023年度相比，减少84.77万元，下降24.0%，主要原因是落实政府</w:t>
      </w:r>
      <w:r>
        <w:rPr>
          <w:rFonts w:hint="default" w:ascii="Times New Roman" w:hAnsi="Times New Roman" w:eastAsia="仿宋_GB2312" w:cs="Times New Roman"/>
          <w:sz w:val="32"/>
          <w:szCs w:val="32"/>
        </w:rPr>
        <w:t>过“紧日子”要求，</w:t>
      </w:r>
      <w:r>
        <w:rPr>
          <w:rFonts w:hint="eastAsia" w:ascii="Times New Roman" w:hAnsi="Times New Roman" w:eastAsia="仿宋_GB2312" w:cs="Times New Roman"/>
          <w:sz w:val="32"/>
          <w:szCs w:val="32"/>
          <w:lang w:eastAsia="zh-CN"/>
        </w:rPr>
        <w:t>三公</w:t>
      </w:r>
      <w:r>
        <w:rPr>
          <w:rFonts w:hint="default" w:ascii="Times New Roman" w:hAnsi="Times New Roman" w:eastAsia="仿宋_GB2312" w:cs="Times New Roman"/>
          <w:sz w:val="32"/>
          <w:szCs w:val="32"/>
        </w:rPr>
        <w:t>经费等减少，资金支出结构不断优化。</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rPr>
        <w:t>办公费、印刷费、电费、邮电费、培训费、维修（护）费、公务接待费、劳务费、公务用车运行维护费、办公设备购置等。</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本年度无政府性基金预算财政拨款支出。本单位2024年度无政府性基金预算财政拨款收支。</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2024年度国有资本经营预算财政拨</w:t>
      </w:r>
      <w:r>
        <w:rPr>
          <w:rFonts w:hint="eastAsia" w:ascii="Times New Roman" w:hAnsi="Times New Roman" w:eastAsia="方正仿宋_GBK" w:cs="Times New Roman"/>
          <w:sz w:val="32"/>
          <w:szCs w:val="32"/>
          <w:shd w:val="clear" w:color="auto" w:fill="FFFFFF"/>
          <w:lang w:eastAsia="zh-CN"/>
        </w:rPr>
        <w:t>款</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三、财政拨款</w:t>
      </w:r>
      <w:r>
        <w:rPr>
          <w:rStyle w:val="9"/>
          <w:rFonts w:hint="eastAsia" w:ascii="Times New Roman" w:hAnsi="Times New Roman" w:eastAsia="黑体" w:cs="Times New Roman"/>
          <w:sz w:val="32"/>
          <w:szCs w:val="32"/>
          <w:shd w:val="clear" w:color="auto" w:fill="FFFFFF"/>
          <w:lang w:eastAsia="zh-CN"/>
        </w:rPr>
        <w:t>三公</w:t>
      </w:r>
      <w:r>
        <w:rPr>
          <w:rStyle w:val="9"/>
          <w:rFonts w:hint="default" w:ascii="Times New Roman" w:hAnsi="Times New Roman" w:eastAsia="黑体" w:cs="Times New Roman"/>
          <w:sz w:val="32"/>
          <w:szCs w:val="32"/>
          <w:shd w:val="clear" w:color="auto" w:fill="FFFFFF"/>
        </w:rPr>
        <w:t>经费情况说明</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w:t>
      </w:r>
      <w:r>
        <w:rPr>
          <w:rFonts w:hint="eastAsia" w:ascii="Times New Roman" w:hAnsi="Times New Roman" w:eastAsia="楷体" w:cs="Times New Roman"/>
          <w:b/>
          <w:bCs/>
          <w:sz w:val="32"/>
          <w:szCs w:val="32"/>
          <w:shd w:val="clear" w:color="auto" w:fill="FFFFFF"/>
          <w:lang w:eastAsia="zh-CN"/>
        </w:rPr>
        <w:t>三公</w:t>
      </w:r>
      <w:r>
        <w:rPr>
          <w:rFonts w:hint="default" w:ascii="Times New Roman" w:hAnsi="Times New Roman" w:eastAsia="楷体" w:cs="Times New Roman"/>
          <w:b/>
          <w:bCs/>
          <w:sz w:val="32"/>
          <w:szCs w:val="32"/>
          <w:shd w:val="clear" w:color="auto" w:fill="FFFFFF"/>
        </w:rPr>
        <w:t>经费支出总体情况说明</w:t>
      </w:r>
    </w:p>
    <w:p>
      <w:pPr>
        <w:pStyle w:val="13"/>
        <w:autoSpaceDE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三公</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25.11</w:t>
      </w:r>
      <w:r>
        <w:rPr>
          <w:rFonts w:hint="default" w:ascii="Times New Roman" w:hAnsi="Times New Roman" w:eastAsia="方正仿宋_GBK" w:cs="Times New Roman"/>
          <w:sz w:val="32"/>
          <w:szCs w:val="32"/>
          <w:shd w:val="clear" w:color="auto" w:fill="FFFFFF"/>
        </w:rPr>
        <w:t>万元，较年初预算数增加8.11万元，增长47.7%，</w:t>
      </w:r>
      <w:r>
        <w:rPr>
          <w:rFonts w:hint="default" w:ascii="Times New Roman" w:hAnsi="Times New Roman" w:eastAsia="方正仿宋_GBK" w:cs="Times New Roman"/>
          <w:sz w:val="32"/>
          <w:szCs w:val="32"/>
        </w:rPr>
        <w:t>主要原因是公务接待次数与公务车运行维护事项增加，导致年中预算追加。</w:t>
      </w:r>
      <w:r>
        <w:rPr>
          <w:rFonts w:hint="default" w:ascii="Times New Roman" w:hAnsi="Times New Roman" w:eastAsia="方正仿宋_GBK" w:cs="Times New Roman"/>
          <w:sz w:val="32"/>
          <w:szCs w:val="32"/>
          <w:shd w:val="clear" w:color="auto" w:fill="FFFFFF"/>
        </w:rPr>
        <w:t>较上年支出数减少8.62万元，下降25.6%，主要原因是</w:t>
      </w:r>
      <w:r>
        <w:rPr>
          <w:rFonts w:hint="default" w:ascii="Times New Roman" w:hAnsi="Times New Roman" w:eastAsia="方正仿宋_GBK" w:cs="Times New Roman"/>
          <w:sz w:val="32"/>
          <w:szCs w:val="32"/>
        </w:rPr>
        <w:t>认真贯彻落实中央八项规定精神和厉行节约要求，从严控制</w:t>
      </w:r>
      <w:r>
        <w:rPr>
          <w:rFonts w:hint="eastAsia" w:ascii="Times New Roman" w:hAnsi="Times New Roman" w:eastAsia="方正仿宋_GBK" w:cs="Times New Roman"/>
          <w:sz w:val="32"/>
          <w:szCs w:val="32"/>
          <w:lang w:eastAsia="zh-CN"/>
        </w:rPr>
        <w:t>三公</w:t>
      </w:r>
      <w:r>
        <w:rPr>
          <w:rFonts w:hint="default" w:ascii="Times New Roman" w:hAnsi="Times New Roman" w:eastAsia="方正仿宋_GBK" w:cs="Times New Roman"/>
          <w:sz w:val="32"/>
          <w:szCs w:val="32"/>
        </w:rPr>
        <w:t>经费，全年实际支出较预算和决算均有所下降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严格落实公车使用规定，严禁公车私用，公车运行维护成本下降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强化公务接待支出管理，严格遵守公务接待开支范围和开支标准，严格控制陪餐人数，对应由接待对象承担的费用一律由接待对象自行支付，公务接待费有所下降。</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w:t>
      </w:r>
      <w:r>
        <w:rPr>
          <w:rFonts w:hint="eastAsia" w:ascii="Times New Roman" w:hAnsi="Times New Roman" w:eastAsia="楷体" w:cs="Times New Roman"/>
          <w:b/>
          <w:bCs/>
          <w:sz w:val="32"/>
          <w:szCs w:val="32"/>
          <w:shd w:val="clear" w:color="auto" w:fill="FFFFFF"/>
          <w:lang w:eastAsia="zh-CN"/>
        </w:rPr>
        <w:t>三公</w:t>
      </w:r>
      <w:r>
        <w:rPr>
          <w:rFonts w:hint="default" w:ascii="Times New Roman" w:hAnsi="Times New Roman" w:eastAsia="楷体" w:cs="Times New Roman"/>
          <w:b/>
          <w:bCs/>
          <w:sz w:val="32"/>
          <w:szCs w:val="32"/>
          <w:shd w:val="clear" w:color="auto" w:fill="FFFFFF"/>
        </w:rPr>
        <w:t>经费分项支出情况</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14.74</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rPr>
        <w:t>市内因公出行、财政业务检查等工作所需车辆的燃料费、维修费、过桥过路费、保险费等。</w:t>
      </w:r>
      <w:r>
        <w:rPr>
          <w:rFonts w:hint="default" w:ascii="Times New Roman" w:hAnsi="Times New Roman" w:eastAsia="方正仿宋_GBK" w:cs="Times New Roman"/>
          <w:sz w:val="32"/>
          <w:szCs w:val="32"/>
          <w:shd w:val="clear" w:color="auto" w:fill="FFFFFF"/>
        </w:rPr>
        <w:t>费用支出较年初预算数增加2.74万元，增长22.8%，主要原因是</w:t>
      </w:r>
      <w:r>
        <w:rPr>
          <w:rFonts w:hint="default" w:ascii="Times New Roman" w:hAnsi="Times New Roman" w:eastAsia="方正仿宋_GBK" w:cs="Times New Roman"/>
          <w:sz w:val="32"/>
          <w:szCs w:val="32"/>
        </w:rPr>
        <w:t>公务车运行维护事项增加，导致年中预算追加</w:t>
      </w:r>
      <w:r>
        <w:rPr>
          <w:rFonts w:hint="default" w:ascii="Times New Roman" w:hAnsi="Times New Roman" w:eastAsia="方正仿宋_GBK" w:cs="Times New Roman"/>
          <w:sz w:val="32"/>
          <w:szCs w:val="32"/>
          <w:shd w:val="clear" w:color="auto" w:fill="FFFFFF"/>
        </w:rPr>
        <w:t>。较上年支出数减少0.54万元，下降3.5%，主要原因是严格落实公务车</w:t>
      </w:r>
      <w:r>
        <w:rPr>
          <w:rFonts w:hint="eastAsia" w:ascii="Times New Roman" w:hAnsi="Times New Roman" w:eastAsia="方正仿宋_GBK" w:cs="Times New Roman"/>
          <w:sz w:val="32"/>
          <w:szCs w:val="32"/>
          <w:shd w:val="clear" w:color="auto" w:fill="FFFFFF"/>
          <w:lang w:eastAsia="zh-CN"/>
        </w:rPr>
        <w:t>日常管理</w:t>
      </w:r>
      <w:r>
        <w:rPr>
          <w:rFonts w:hint="default" w:ascii="Times New Roman" w:hAnsi="Times New Roman" w:eastAsia="方正仿宋_GBK" w:cs="Times New Roman"/>
          <w:sz w:val="32"/>
          <w:szCs w:val="32"/>
          <w:shd w:val="clear" w:color="auto" w:fill="FFFFFF"/>
        </w:rPr>
        <w:t>，公务车维护成本降低。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10.37</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rPr>
        <w:t>按规定开支的各类公务接待支出和接受相关部门检查指导工作发生的接待支出</w:t>
      </w:r>
      <w:r>
        <w:rPr>
          <w:rFonts w:hint="default" w:ascii="Times New Roman" w:hAnsi="Times New Roman" w:eastAsia="方正仿宋_GBK" w:cs="Times New Roman"/>
          <w:sz w:val="32"/>
          <w:szCs w:val="32"/>
          <w:shd w:val="clear" w:color="auto" w:fill="FFFFFF"/>
        </w:rPr>
        <w:t>。费用支出较年初预算数增加5.37万元，增长107.4%，主要原因是</w:t>
      </w:r>
      <w:r>
        <w:rPr>
          <w:rFonts w:hint="default" w:ascii="Times New Roman" w:hAnsi="Times New Roman" w:eastAsia="方正仿宋_GBK" w:cs="Times New Roman"/>
          <w:sz w:val="32"/>
          <w:szCs w:val="32"/>
        </w:rPr>
        <w:t>公务接待次数增加，导致年中预算追加。</w:t>
      </w:r>
      <w:r>
        <w:rPr>
          <w:rFonts w:hint="default" w:ascii="Times New Roman" w:hAnsi="Times New Roman" w:eastAsia="方正仿宋_GBK" w:cs="Times New Roman"/>
          <w:sz w:val="32"/>
          <w:szCs w:val="32"/>
          <w:shd w:val="clear" w:color="auto" w:fill="FFFFFF"/>
        </w:rPr>
        <w:t>较上年支出数减少8.08万元，下降43.8%，主要原因是</w:t>
      </w:r>
      <w:r>
        <w:rPr>
          <w:rFonts w:hint="default" w:ascii="Times New Roman" w:hAnsi="Times New Roman" w:eastAsia="方正仿宋_GBK" w:cs="Times New Roman"/>
          <w:sz w:val="32"/>
          <w:szCs w:val="32"/>
        </w:rPr>
        <w:t>强化公务接待支出管理，严格遵守公务接待开支范围和开支标准，严格控制陪餐人数。</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w:t>
      </w:r>
      <w:r>
        <w:rPr>
          <w:rFonts w:hint="eastAsia" w:ascii="Times New Roman" w:hAnsi="Times New Roman" w:eastAsia="楷体" w:cs="Times New Roman"/>
          <w:b/>
          <w:bCs/>
          <w:sz w:val="32"/>
          <w:szCs w:val="32"/>
          <w:shd w:val="clear" w:color="auto" w:fill="FFFFFF"/>
          <w:lang w:eastAsia="zh-CN"/>
        </w:rPr>
        <w:t>三公</w:t>
      </w:r>
      <w:r>
        <w:rPr>
          <w:rFonts w:hint="default" w:ascii="Times New Roman" w:hAnsi="Times New Roman" w:eastAsia="楷体" w:cs="Times New Roman"/>
          <w:b/>
          <w:bCs/>
          <w:sz w:val="32"/>
          <w:szCs w:val="32"/>
          <w:shd w:val="clear" w:color="auto" w:fill="FFFFFF"/>
        </w:rPr>
        <w:t>经费实物量情况</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156</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1404</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73.84</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4.91</w:t>
      </w:r>
      <w:r>
        <w:rPr>
          <w:rFonts w:hint="default" w:ascii="Times New Roman" w:hAnsi="Times New Roman" w:eastAsia="方正仿宋_GBK" w:cs="Times New Roman"/>
          <w:sz w:val="32"/>
          <w:szCs w:val="32"/>
          <w:shd w:val="clear" w:color="auto" w:fill="FFFFFF"/>
        </w:rPr>
        <w:t>万元。</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四、其他需要说明的事项</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（一）财政拨款会议费和培训费情况说明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0.21</w:t>
      </w:r>
      <w:r>
        <w:rPr>
          <w:rFonts w:hint="default" w:ascii="Times New Roman" w:hAnsi="Times New Roman" w:eastAsia="方正仿宋_GBK" w:cs="Times New Roman"/>
          <w:sz w:val="32"/>
          <w:szCs w:val="32"/>
          <w:shd w:val="clear" w:color="auto" w:fill="FFFFFF"/>
        </w:rPr>
        <w:t>万元，与2023年度相比，减少0.56万元，下降72.7%，主要原因是会议减少导致会务服务费用减少。本年度培训费支出</w:t>
      </w:r>
      <w:r>
        <w:rPr>
          <w:rFonts w:hint="default" w:ascii="Times New Roman" w:hAnsi="Times New Roman" w:eastAsia="方正仿宋_GBK" w:cs="Times New Roman"/>
          <w:sz w:val="32"/>
          <w:szCs w:val="32"/>
        </w:rPr>
        <w:t>1.26</w:t>
      </w:r>
      <w:r>
        <w:rPr>
          <w:rFonts w:hint="default" w:ascii="Times New Roman" w:hAnsi="Times New Roman" w:eastAsia="方正仿宋_GBK" w:cs="Times New Roman"/>
          <w:sz w:val="32"/>
          <w:szCs w:val="32"/>
          <w:shd w:val="clear" w:color="auto" w:fill="FFFFFF"/>
        </w:rPr>
        <w:t>万元，与2023年度相比，减少0.51万元，下降28.8%，主要原因是本年培训减少。</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268.32</w:t>
      </w:r>
      <w:r>
        <w:rPr>
          <w:rFonts w:hint="default" w:ascii="Times New Roman" w:hAnsi="Times New Roman" w:eastAsia="方正仿宋_GBK" w:cs="Times New Roman"/>
          <w:sz w:val="32"/>
          <w:szCs w:val="32"/>
          <w:shd w:val="clear" w:color="auto" w:fill="FFFFFF"/>
        </w:rPr>
        <w:t>万元，机关运行经费主要用于</w:t>
      </w:r>
      <w:r>
        <w:rPr>
          <w:rFonts w:hint="default" w:ascii="Times New Roman" w:hAnsi="Times New Roman" w:eastAsia="方正仿宋_GBK" w:cs="Times New Roman"/>
          <w:sz w:val="32"/>
          <w:szCs w:val="32"/>
        </w:rPr>
        <w:t>开支办公费、印刷费、维修（护）费、劳务费、办公设备购置等。</w:t>
      </w:r>
      <w:r>
        <w:rPr>
          <w:rFonts w:hint="default" w:ascii="Times New Roman" w:hAnsi="Times New Roman" w:eastAsia="方正仿宋_GBK" w:cs="Times New Roman"/>
          <w:sz w:val="32"/>
          <w:szCs w:val="32"/>
          <w:shd w:val="clear" w:color="auto" w:fill="FFFFFF"/>
        </w:rPr>
        <w:t>机关运行经费较上年支出数减少84.77万元，下降24.0%，主要原因是落实政府</w:t>
      </w:r>
      <w:r>
        <w:rPr>
          <w:rFonts w:hint="default" w:ascii="Times New Roman" w:hAnsi="Times New Roman" w:eastAsia="仿宋_GB2312" w:cs="Times New Roman"/>
          <w:sz w:val="32"/>
          <w:szCs w:val="32"/>
        </w:rPr>
        <w:t>过“紧日子”要求，压减不必要开支，资金支出结构不断优化。</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152.19</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2.19</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150.00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2.19万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1.44</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2.19</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1.44</w:t>
      </w:r>
      <w:r>
        <w:rPr>
          <w:rFonts w:hint="default" w:ascii="Times New Roman" w:hAnsi="Times New Roman" w:eastAsia="方正仿宋_GBK" w:cs="Times New Roman"/>
          <w:sz w:val="32"/>
          <w:szCs w:val="32"/>
          <w:shd w:val="clear" w:color="auto" w:fill="FFFFFF"/>
        </w:rPr>
        <w:t xml:space="preserve"> %。主要用于采购网络软件运维服务及办公用品等。</w:t>
      </w:r>
    </w:p>
    <w:p>
      <w:pPr>
        <w:pStyle w:val="13"/>
        <w:adjustRightInd w:val="0"/>
        <w:snapToGrid w:val="0"/>
        <w:spacing w:before="0" w:beforeAutospacing="0" w:after="0" w:afterAutospacing="0" w:line="594" w:lineRule="exact"/>
        <w:ind w:firstLine="643" w:firstLineChars="200"/>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五、2024年度预算绩效管理情况说明</w:t>
      </w: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pPr>
        <w:pStyle w:val="13"/>
        <w:autoSpaceDE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根据预算绩效管理要求，我单位对6个二级项目开展了绩效自评，涉及财政拨款项目支出资金178.37万元。</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项目支出绩效自评表</w:t>
      </w: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480" w:firstLineChars="200"/>
        <w:rPr>
          <w:rFonts w:hint="default" w:ascii="Times New Roman" w:hAnsi="Times New Roman" w:eastAsia="楷体" w:cs="Times New Roman"/>
          <w:b/>
          <w:bCs/>
          <w:sz w:val="32"/>
          <w:szCs w:val="32"/>
          <w:shd w:val="clear" w:color="auto" w:fill="FFFFFF"/>
        </w:rPr>
      </w:pPr>
      <w:r>
        <w:drawing>
          <wp:anchor distT="0" distB="0" distL="114300" distR="114300" simplePos="0" relativeHeight="251660288" behindDoc="0" locked="0" layoutInCell="1" allowOverlap="1">
            <wp:simplePos x="0" y="0"/>
            <wp:positionH relativeFrom="column">
              <wp:posOffset>85090</wp:posOffset>
            </wp:positionH>
            <wp:positionV relativeFrom="paragraph">
              <wp:posOffset>53340</wp:posOffset>
            </wp:positionV>
            <wp:extent cx="5081905" cy="3993515"/>
            <wp:effectExtent l="0" t="0" r="8255" b="1460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5081905" cy="3993515"/>
                    </a:xfrm>
                    <a:prstGeom prst="rect">
                      <a:avLst/>
                    </a:prstGeom>
                    <a:noFill/>
                    <a:ln>
                      <a:noFill/>
                    </a:ln>
                  </pic:spPr>
                </pic:pic>
              </a:graphicData>
            </a:graphic>
          </wp:anchor>
        </w:drawing>
      </w: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480" w:firstLineChars="200"/>
        <w:rPr>
          <w:rFonts w:hint="default" w:ascii="Times New Roman" w:hAnsi="Times New Roman" w:eastAsia="楷体" w:cs="Times New Roman"/>
          <w:b/>
          <w:bCs/>
          <w:sz w:val="32"/>
          <w:szCs w:val="32"/>
          <w:shd w:val="clear" w:color="auto" w:fill="FFFFFF"/>
        </w:rPr>
      </w:pPr>
      <w:r>
        <w:drawing>
          <wp:anchor distT="0" distB="0" distL="114300" distR="114300" simplePos="0" relativeHeight="251661312" behindDoc="0" locked="0" layoutInCell="1" allowOverlap="1">
            <wp:simplePos x="0" y="0"/>
            <wp:positionH relativeFrom="column">
              <wp:posOffset>34925</wp:posOffset>
            </wp:positionH>
            <wp:positionV relativeFrom="paragraph">
              <wp:posOffset>90170</wp:posOffset>
            </wp:positionV>
            <wp:extent cx="5275580" cy="3341370"/>
            <wp:effectExtent l="0" t="0" r="12700" b="11430"/>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5275580" cy="3341370"/>
                    </a:xfrm>
                    <a:prstGeom prst="rect">
                      <a:avLst/>
                    </a:prstGeom>
                    <a:noFill/>
                    <a:ln>
                      <a:noFill/>
                    </a:ln>
                  </pic:spPr>
                </pic:pic>
              </a:graphicData>
            </a:graphic>
          </wp:anchor>
        </w:drawing>
      </w: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pPr>
        <w:pStyle w:val="12"/>
        <w:autoSpaceDE w:val="0"/>
        <w:adjustRightInd w:val="0"/>
        <w:snapToGrid w:val="0"/>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bidi="ar"/>
        </w:rPr>
        <w:t>我单位未组织开展绩效评价。</w:t>
      </w:r>
    </w:p>
    <w:p>
      <w:pPr>
        <w:pStyle w:val="17"/>
        <w:autoSpaceDE w:val="0"/>
        <w:adjustRightInd w:val="0"/>
        <w:snapToGrid w:val="0"/>
        <w:spacing w:line="594"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楷体" w:cs="Times New Roman"/>
          <w:b/>
          <w:bCs/>
          <w:sz w:val="32"/>
          <w:szCs w:val="32"/>
          <w:shd w:val="clear" w:color="auto" w:fill="FFFFFF"/>
          <w:lang w:bidi="ar"/>
        </w:rPr>
        <w:t>（三）财政绩效评价情况</w:t>
      </w:r>
    </w:p>
    <w:p>
      <w:pPr>
        <w:pStyle w:val="12"/>
        <w:autoSpaceDE w:val="0"/>
        <w:adjustRightInd w:val="0"/>
        <w:snapToGrid w:val="0"/>
        <w:spacing w:line="594" w:lineRule="exact"/>
        <w:ind w:firstLine="640"/>
        <w:rPr>
          <w:rFonts w:ascii="Times New Roman" w:hAnsi="Times New Roman" w:eastAsia="方正仿宋_GBK"/>
          <w:sz w:val="32"/>
          <w:szCs w:val="32"/>
          <w:shd w:val="clear" w:color="auto" w:fill="FFFFFF"/>
        </w:rPr>
      </w:pPr>
      <w:r>
        <w:rPr>
          <w:rFonts w:hint="default" w:ascii="Times New Roman" w:hAnsi="Times New Roman" w:eastAsia="方正仿宋_GBK" w:cs="Times New Roman"/>
          <w:sz w:val="32"/>
          <w:szCs w:val="32"/>
          <w:shd w:val="clear" w:color="auto" w:fill="FFFFFF"/>
          <w:lang w:bidi="ar"/>
        </w:rPr>
        <w:t>县财政局未委托第三方对我单位开展绩效评价。</w:t>
      </w:r>
    </w:p>
    <w:p>
      <w:pPr>
        <w:pStyle w:val="13"/>
        <w:autoSpaceDE w:val="0"/>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4"/>
          <w:rFonts w:hint="eastAsia" w:ascii="方正仿宋_GBK" w:hAnsi="方正仿宋_GBK" w:eastAsia="方正仿宋_GBK" w:cs="方正仿宋_GBK"/>
          <w:sz w:val="32"/>
          <w:szCs w:val="32"/>
          <w:shd w:val="clear" w:color="auto" w:fill="FFFFFF"/>
        </w:rPr>
        <w:t xml:space="preserve">   </w:t>
      </w:r>
      <w:r>
        <w:rPr>
          <w:rStyle w:val="9"/>
          <w:rFonts w:hint="eastAsia" w:ascii="黑体" w:hAnsi="黑体" w:eastAsia="黑体" w:cs="黑体"/>
          <w:sz w:val="32"/>
          <w:szCs w:val="32"/>
          <w:shd w:val="clear" w:color="auto" w:fill="FFFFFF"/>
        </w:rPr>
        <w:t xml:space="preserve"> 六、专业名词解释</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（十二）</w:t>
      </w:r>
      <w:r>
        <w:rPr>
          <w:rStyle w:val="9"/>
          <w:rFonts w:hint="eastAsia" w:ascii="楷体" w:hAnsi="楷体" w:eastAsia="楷体" w:cs="楷体"/>
          <w:sz w:val="32"/>
          <w:szCs w:val="32"/>
          <w:shd w:val="clear" w:color="auto" w:fill="FFFFFF"/>
          <w:lang w:eastAsia="zh-CN"/>
        </w:rPr>
        <w:t>三公</w:t>
      </w:r>
      <w:r>
        <w:rPr>
          <w:rStyle w:val="9"/>
          <w:rFonts w:hint="eastAsia" w:ascii="楷体" w:hAnsi="楷体" w:eastAsia="楷体" w:cs="楷体"/>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w:t>
      </w:r>
      <w:bookmarkStart w:id="0" w:name="_GoBack"/>
      <w:bookmarkEnd w:id="0"/>
      <w:r>
        <w:rPr>
          <w:rFonts w:hint="eastAsia" w:ascii="方正仿宋_GBK" w:hAnsi="方正仿宋_GBK" w:eastAsia="方正仿宋_GBK" w:cs="方正仿宋_GBK"/>
          <w:sz w:val="32"/>
          <w:szCs w:val="32"/>
          <w:shd w:val="clear" w:color="auto" w:fill="FFFFFF"/>
        </w:rPr>
        <w:t>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黑体" w:hAnsi="黑体" w:eastAsia="黑体" w:cs="黑体"/>
          <w:sz w:val="32"/>
          <w:szCs w:val="32"/>
          <w:shd w:val="clear" w:color="auto" w:fill="FFFFFF"/>
        </w:rPr>
        <w:t>七、决算公开联系方式及信息反馈渠道</w:t>
      </w:r>
    </w:p>
    <w:p>
      <w:pPr>
        <w:pStyle w:val="13"/>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3"/>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shd w:val="clear" w:color="auto" w:fill="FFFFFF"/>
        </w:rPr>
        <w:t>贺老师   023-74516510</w:t>
      </w:r>
    </w:p>
    <w:p>
      <w:pPr>
        <w:pStyle w:val="12"/>
        <w:autoSpaceDE w:val="0"/>
        <w:adjustRightInd w:val="0"/>
        <w:snapToGrid w:val="0"/>
        <w:spacing w:line="594" w:lineRule="exact"/>
        <w:ind w:firstLine="643"/>
        <w:jc w:val="both"/>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垫江县财政局（本级）</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906.00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773.31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906.00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984.20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1,008.98</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1,008.98</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垫江县财政局（本级）</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906.00</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906.00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690.42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690.42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690.42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690.42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559.55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559.55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126.88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126.88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162.08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162.08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162.08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162.08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垫江县财政局（本级）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984.20</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805.83</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178.37</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773.31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595.48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177.83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773.31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595.48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177.83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592.44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592.44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176.88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176.88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157.38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157.38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157.38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157.38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垫江县财政局（本级）</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906.00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773.31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773.31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157.38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157.38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906.00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102.98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102.98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1,008.98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1,008.98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1,008.98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垫江县财政局（本级）</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984.20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805.83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178.37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773.31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595.48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177.83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773.31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595.48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177.83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592.44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592.44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176.88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176.88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157.38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157.38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157.38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157.38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22.53</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垫江县财政局（本级）</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414.81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262.20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83.86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59.96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122.48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122.70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103.91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537.52</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268.32</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垫江县财政局（本级）</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垫江县财政局（本级）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垫江县财政局（本级）</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268.32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25.11</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25.11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268.32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14.74</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14.74</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14.74</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14.74</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10.37</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156</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152.19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1,404</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150.00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20.63</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adjustRightInd w:val="0"/>
        <w:snapToGrid w:val="0"/>
        <w:spacing w:line="594" w:lineRule="exact"/>
        <w:ind w:firstLine="360" w:firstLineChars="200"/>
        <w:rPr>
          <w:rFonts w:hint="default"/>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4B4B38"/>
    <w:rsid w:val="0051712B"/>
    <w:rsid w:val="00550ABE"/>
    <w:rsid w:val="00623A85"/>
    <w:rsid w:val="006F73CC"/>
    <w:rsid w:val="00770383"/>
    <w:rsid w:val="007819D4"/>
    <w:rsid w:val="00794FC2"/>
    <w:rsid w:val="007A592E"/>
    <w:rsid w:val="007B419D"/>
    <w:rsid w:val="007B7C4B"/>
    <w:rsid w:val="007D3D39"/>
    <w:rsid w:val="008D41CE"/>
    <w:rsid w:val="00984C6A"/>
    <w:rsid w:val="00994AF7"/>
    <w:rsid w:val="009B67B8"/>
    <w:rsid w:val="009C14C9"/>
    <w:rsid w:val="009D2B67"/>
    <w:rsid w:val="009E1452"/>
    <w:rsid w:val="00A566F9"/>
    <w:rsid w:val="00A65F4C"/>
    <w:rsid w:val="00AF2751"/>
    <w:rsid w:val="00B03CCD"/>
    <w:rsid w:val="00B54FE7"/>
    <w:rsid w:val="00BE2B89"/>
    <w:rsid w:val="00BF0D89"/>
    <w:rsid w:val="00C10E9E"/>
    <w:rsid w:val="00C20C3E"/>
    <w:rsid w:val="00C5163E"/>
    <w:rsid w:val="00CA5AAA"/>
    <w:rsid w:val="00CF2ACF"/>
    <w:rsid w:val="00D03AAF"/>
    <w:rsid w:val="00DD0539"/>
    <w:rsid w:val="00E055D6"/>
    <w:rsid w:val="00E07662"/>
    <w:rsid w:val="00E368E9"/>
    <w:rsid w:val="00EE1E33"/>
    <w:rsid w:val="00F73F90"/>
    <w:rsid w:val="00FB4B3B"/>
    <w:rsid w:val="01474EBF"/>
    <w:rsid w:val="01F3521E"/>
    <w:rsid w:val="03496923"/>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85B1D"/>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1A7570"/>
    <w:rsid w:val="235417B6"/>
    <w:rsid w:val="24B92327"/>
    <w:rsid w:val="24C14514"/>
    <w:rsid w:val="252D4D73"/>
    <w:rsid w:val="2533755C"/>
    <w:rsid w:val="25791755"/>
    <w:rsid w:val="26396DF4"/>
    <w:rsid w:val="26D54827"/>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CE74F79"/>
    <w:rsid w:val="2E0B4C2F"/>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3FD25F87"/>
    <w:rsid w:val="4004000C"/>
    <w:rsid w:val="40760DD1"/>
    <w:rsid w:val="40BD5482"/>
    <w:rsid w:val="411B6CE5"/>
    <w:rsid w:val="412070D7"/>
    <w:rsid w:val="41314E40"/>
    <w:rsid w:val="41E0734B"/>
    <w:rsid w:val="426C1EA8"/>
    <w:rsid w:val="42736402"/>
    <w:rsid w:val="42E86A87"/>
    <w:rsid w:val="43307B09"/>
    <w:rsid w:val="434028AE"/>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AFE33F9"/>
    <w:rsid w:val="5BF41F67"/>
    <w:rsid w:val="5C263CE4"/>
    <w:rsid w:val="5C5D2777"/>
    <w:rsid w:val="5CF66BF3"/>
    <w:rsid w:val="5D290C69"/>
    <w:rsid w:val="5DA80C2C"/>
    <w:rsid w:val="5E094831"/>
    <w:rsid w:val="5F2D4A41"/>
    <w:rsid w:val="5F56372A"/>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0965D9"/>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B77D4A"/>
    <w:rsid w:val="72DB435C"/>
    <w:rsid w:val="72E2613A"/>
    <w:rsid w:val="72F771F4"/>
    <w:rsid w:val="73934AD2"/>
    <w:rsid w:val="750837F0"/>
    <w:rsid w:val="754758CF"/>
    <w:rsid w:val="75595ECD"/>
    <w:rsid w:val="764F62AB"/>
    <w:rsid w:val="765C45EC"/>
    <w:rsid w:val="768A7619"/>
    <w:rsid w:val="76BD23AB"/>
    <w:rsid w:val="772E1EBA"/>
    <w:rsid w:val="77B1040A"/>
    <w:rsid w:val="781926BC"/>
    <w:rsid w:val="78685760"/>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before="61"/>
      <w:ind w:left="117"/>
    </w:pPr>
    <w:rPr>
      <w:szCs w:val="30"/>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8"/>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8"/>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2346</Words>
  <Characters>13373</Characters>
  <Lines>111</Lines>
  <Paragraphs>31</Paragraphs>
  <TotalTime>10</TotalTime>
  <ScaleCrop>false</ScaleCrop>
  <LinksUpToDate>false</LinksUpToDate>
  <CharactersWithSpaces>15688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贺馨瑶</cp:lastModifiedBy>
  <dcterms:modified xsi:type="dcterms:W3CDTF">2025-09-18T03:30:14Z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