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垫江县国库集中支付中心</w:t>
      </w:r>
    </w:p>
    <w:p>
      <w:pPr>
        <w:pStyle w:val="7"/>
        <w:adjustRightInd w:val="0"/>
        <w:snapToGrid w:val="0"/>
        <w:spacing w:before="0" w:beforeAutospacing="0" w:after="0" w:afterAutospacing="0" w:line="594" w:lineRule="exact"/>
        <w:ind w:firstLine="880" w:firstLineChars="200"/>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一、单位基本情况</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（一）职能职责</w:t>
      </w:r>
    </w:p>
    <w:p>
      <w:pPr>
        <w:pStyle w:val="13"/>
        <w:autoSpaceDE w:val="0"/>
        <w:adjustRightInd w:val="0"/>
        <w:snapToGrid w:val="0"/>
        <w:spacing w:before="0" w:beforeAutospacing="0" w:after="62" w:afterLines="20" w:afterAutospacing="0" w:line="594" w:lineRule="exact"/>
        <w:ind w:firstLine="640" w:firstLineChars="200"/>
        <w:rPr>
          <w:rFonts w:hint="default" w:ascii="Times New Roman" w:hAnsi="Times New Roman" w:cs="Times New Roman"/>
        </w:rPr>
      </w:pPr>
      <w:r>
        <w:rPr>
          <w:rFonts w:hint="default" w:ascii="Times New Roman" w:hAnsi="Times New Roman" w:eastAsia="方正仿宋_GBK" w:cs="Times New Roman"/>
          <w:sz w:val="32"/>
          <w:szCs w:val="32"/>
        </w:rPr>
        <w:t>管理和使用财政零余额账户，监督和管理预算单位零余额账户和代管资金账户；受理审核预算单位财政直接支付和财政授权支付申请，办理财政直接支付；与县财政局、国家金库长寿区支库、代理银行、预算单位对账。</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楷体" w:cs="Times New Roman"/>
          <w:sz w:val="32"/>
          <w:szCs w:val="32"/>
          <w:shd w:val="clear" w:color="auto" w:fill="FFFFFF"/>
        </w:rPr>
      </w:pPr>
      <w:r>
        <w:rPr>
          <w:rStyle w:val="9"/>
          <w:rFonts w:hint="default" w:ascii="Times New Roman" w:hAnsi="Times New Roman" w:eastAsia="楷体" w:cs="Times New Roman"/>
          <w:sz w:val="32"/>
          <w:szCs w:val="32"/>
          <w:shd w:val="clear" w:color="auto" w:fill="FFFFFF"/>
        </w:rPr>
        <w:t>（二）机构设置</w:t>
      </w:r>
    </w:p>
    <w:p>
      <w:pPr>
        <w:pStyle w:val="17"/>
        <w:autoSpaceDE w:val="0"/>
        <w:adjustRightInd w:val="0"/>
        <w:snapToGrid w:val="0"/>
        <w:spacing w:after="62" w:afterLines="20" w:line="594" w:lineRule="exact"/>
        <w:ind w:firstLine="640"/>
        <w:rPr>
          <w:rStyle w:val="9"/>
          <w:rFonts w:hint="default" w:ascii="Times New Roman" w:hAnsi="Times New Roman" w:eastAsia="楷体" w:cs="Times New Roman"/>
          <w:sz w:val="32"/>
          <w:szCs w:val="32"/>
          <w:shd w:val="clear" w:color="auto" w:fill="FFFFFF"/>
        </w:rPr>
      </w:pPr>
      <w:r>
        <w:rPr>
          <w:rFonts w:hint="default" w:ascii="Times New Roman" w:hAnsi="Times New Roman" w:eastAsia="方正仿宋_GBK" w:cs="Times New Roman"/>
          <w:sz w:val="32"/>
          <w:szCs w:val="32"/>
          <w:lang w:bidi="ar"/>
        </w:rPr>
        <w:t>垫江县国库集中支付中心事业编制15人，现在编在岗共计12人。内设3个职能科室，分别是办公室、资金支付科、会计核算科。</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二、单位决算收支情况说明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highlight w:val="none"/>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2024年度收入总计308.93万元，支出总计</w:t>
      </w:r>
      <w:r>
        <w:rPr>
          <w:rFonts w:hint="default" w:ascii="Times New Roman" w:hAnsi="Times New Roman" w:eastAsia="方正仿宋_GBK" w:cs="Times New Roman"/>
          <w:sz w:val="32"/>
          <w:szCs w:val="32"/>
        </w:rPr>
        <w:t>308.93</w:t>
      </w:r>
      <w:r>
        <w:rPr>
          <w:rFonts w:hint="default" w:ascii="Times New Roman" w:hAnsi="Times New Roman" w:eastAsia="方正仿宋_GBK" w:cs="Times New Roman"/>
          <w:sz w:val="32"/>
          <w:szCs w:val="32"/>
          <w:shd w:val="clear" w:color="auto" w:fill="FFFFFF"/>
        </w:rPr>
        <w:t>万元。收、支与2023年度相比，减少20.05万元，下降6.1%，主要原因是</w:t>
      </w:r>
      <w:r>
        <w:rPr>
          <w:rFonts w:hint="default" w:ascii="Times New Roman" w:hAnsi="Times New Roman" w:eastAsia="仿宋_GB2312" w:cs="Times New Roman"/>
          <w:sz w:val="32"/>
          <w:szCs w:val="32"/>
        </w:rPr>
        <w:t>落实政府过“紧日子”要求,日常公用经费与项目经费均减少</w:t>
      </w:r>
      <w:r>
        <w:rPr>
          <w:rFonts w:hint="default" w:ascii="Times New Roman" w:hAnsi="Times New Roman" w:eastAsia="方正仿宋_GBK" w:cs="Times New Roman"/>
          <w:sz w:val="32"/>
          <w:szCs w:val="32"/>
          <w:highlight w:val="none"/>
          <w:shd w:val="clear" w:color="auto" w:fill="FFFFFF"/>
        </w:rPr>
        <w:t>。</w:t>
      </w:r>
    </w:p>
    <w:p>
      <w:pPr>
        <w:keepNext w:val="0"/>
        <w:keepLines w:val="0"/>
        <w:widowControl/>
        <w:suppressLineNumbers w:val="0"/>
        <w:adjustRightInd w:val="0"/>
        <w:snapToGrid w:val="0"/>
        <w:spacing w:before="0" w:beforeAutospacing="0" w:after="0" w:afterAutospacing="0" w:line="594" w:lineRule="exact"/>
        <w:ind w:left="0" w:right="0" w:firstLine="643" w:firstLineChars="200"/>
        <w:jc w:val="left"/>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2024年度收入合计308.38万元，与2023年度相比，减少19.60万元，下降6.0%</w:t>
      </w:r>
      <w:r>
        <w:rPr>
          <w:rFonts w:hint="default" w:ascii="Times New Roman" w:hAnsi="Times New Roman" w:eastAsia="方正仿宋_GBK" w:cs="Times New Roman"/>
          <w:sz w:val="32"/>
          <w:szCs w:val="32"/>
          <w:highlight w:val="none"/>
          <w:shd w:val="clear" w:color="auto" w:fill="FFFFFF"/>
        </w:rPr>
        <w:t>，主要原因是落实政府</w:t>
      </w:r>
      <w:r>
        <w:rPr>
          <w:rFonts w:hint="default" w:ascii="Times New Roman" w:hAnsi="Times New Roman" w:eastAsia="仿宋_GB2312" w:cs="Times New Roman"/>
          <w:sz w:val="32"/>
          <w:szCs w:val="32"/>
          <w:highlight w:val="none"/>
        </w:rPr>
        <w:t>过“紧日子”要求，日常公用经费支出与项目经费支出</w:t>
      </w:r>
      <w:r>
        <w:rPr>
          <w:rFonts w:hint="default" w:ascii="Times New Roman" w:hAnsi="Times New Roman" w:eastAsia="方正仿宋_GBK" w:cs="Times New Roman"/>
          <w:kern w:val="0"/>
          <w:sz w:val="32"/>
          <w:szCs w:val="32"/>
          <w:shd w:val="clear" w:fill="FFFFFF"/>
          <w:lang w:eastAsia="zh-CN" w:bidi="ar"/>
        </w:rPr>
        <w:t>减少</w:t>
      </w:r>
      <w:r>
        <w:rPr>
          <w:rFonts w:hint="default" w:ascii="Times New Roman" w:hAnsi="Times New Roman" w:eastAsia="仿宋_GB2312" w:cs="Times New Roman"/>
          <w:sz w:val="32"/>
          <w:szCs w:val="32"/>
          <w:highlight w:val="none"/>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308.38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0.55</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308.35</w:t>
      </w:r>
      <w:r>
        <w:rPr>
          <w:rFonts w:hint="default" w:ascii="Times New Roman" w:hAnsi="Times New Roman" w:eastAsia="方正仿宋_GBK" w:cs="Times New Roman"/>
          <w:sz w:val="32"/>
          <w:szCs w:val="32"/>
          <w:shd w:val="clear" w:color="auto" w:fill="FFFFFF"/>
        </w:rPr>
        <w:t>万元，与2023年度相比，减少20.08万元，下降6.1%，</w:t>
      </w:r>
      <w:r>
        <w:rPr>
          <w:rFonts w:hint="default" w:ascii="Times New Roman" w:hAnsi="Times New Roman" w:eastAsia="方正仿宋_GBK" w:cs="Times New Roman"/>
          <w:sz w:val="32"/>
          <w:szCs w:val="32"/>
          <w:highlight w:val="none"/>
          <w:shd w:val="clear" w:color="auto" w:fill="FFFFFF"/>
        </w:rPr>
        <w:t>主要原因是落实政府</w:t>
      </w:r>
      <w:r>
        <w:rPr>
          <w:rFonts w:hint="default" w:ascii="Times New Roman" w:hAnsi="Times New Roman" w:eastAsia="仿宋_GB2312" w:cs="Times New Roman"/>
          <w:sz w:val="32"/>
          <w:szCs w:val="32"/>
          <w:highlight w:val="none"/>
        </w:rPr>
        <w:t>过“紧日子”要求，基本支出中日常公用支出以及项目经费减少。</w:t>
      </w:r>
      <w:r>
        <w:rPr>
          <w:rFonts w:hint="default" w:ascii="Times New Roman" w:hAnsi="Times New Roman" w:eastAsia="方正仿宋_GBK" w:cs="Times New Roman"/>
          <w:sz w:val="32"/>
          <w:szCs w:val="32"/>
          <w:highlight w:val="none"/>
          <w:shd w:val="clear" w:color="auto" w:fill="FFFFFF"/>
        </w:rPr>
        <w:t>其</w:t>
      </w:r>
      <w:r>
        <w:rPr>
          <w:rFonts w:hint="default" w:ascii="Times New Roman" w:hAnsi="Times New Roman" w:eastAsia="方正仿宋_GBK" w:cs="Times New Roman"/>
          <w:sz w:val="32"/>
          <w:szCs w:val="32"/>
          <w:shd w:val="clear" w:color="auto" w:fill="FFFFFF"/>
        </w:rPr>
        <w:t>中：基本支出</w:t>
      </w:r>
      <w:r>
        <w:rPr>
          <w:rFonts w:hint="default" w:ascii="Times New Roman" w:hAnsi="Times New Roman" w:eastAsia="方正仿宋_GBK" w:cs="Times New Roman"/>
          <w:sz w:val="32"/>
          <w:szCs w:val="32"/>
        </w:rPr>
        <w:t>302.08</w:t>
      </w:r>
      <w:r>
        <w:rPr>
          <w:rFonts w:hint="default" w:ascii="Times New Roman" w:hAnsi="Times New Roman" w:eastAsia="方正仿宋_GBK" w:cs="Times New Roman"/>
          <w:sz w:val="32"/>
          <w:szCs w:val="32"/>
          <w:shd w:val="clear" w:color="auto" w:fill="FFFFFF"/>
        </w:rPr>
        <w:t>万元，占98.0%；项目支出</w:t>
      </w:r>
      <w:r>
        <w:rPr>
          <w:rFonts w:hint="default" w:ascii="Times New Roman" w:hAnsi="Times New Roman" w:eastAsia="方正仿宋_GBK" w:cs="Times New Roman"/>
          <w:sz w:val="32"/>
          <w:szCs w:val="32"/>
        </w:rPr>
        <w:t>6.28</w:t>
      </w:r>
      <w:r>
        <w:rPr>
          <w:rFonts w:hint="default" w:ascii="Times New Roman" w:hAnsi="Times New Roman" w:eastAsia="方正仿宋_GBK" w:cs="Times New Roman"/>
          <w:sz w:val="32"/>
          <w:szCs w:val="32"/>
          <w:shd w:val="clear" w:color="auto" w:fill="FFFFFF"/>
        </w:rPr>
        <w:t>万元，占2.0%；经营支出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0.58</w:t>
      </w:r>
      <w:r>
        <w:rPr>
          <w:rFonts w:hint="default" w:ascii="Times New Roman" w:hAnsi="Times New Roman" w:eastAsia="方正仿宋_GBK" w:cs="Times New Roman"/>
          <w:sz w:val="32"/>
          <w:szCs w:val="32"/>
          <w:shd w:val="clear" w:color="auto" w:fill="FFFFFF"/>
        </w:rPr>
        <w:t>万元，与2023年度相比，增加0.03万元，增长5.5%，主要原因是年末日常公用</w:t>
      </w:r>
      <w:r>
        <w:rPr>
          <w:rFonts w:hint="default" w:ascii="Times New Roman" w:hAnsi="Times New Roman" w:eastAsia="方正仿宋_GBK" w:cs="Times New Roman"/>
          <w:sz w:val="32"/>
          <w:szCs w:val="32"/>
        </w:rPr>
        <w:t>经费结转增加。</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2024年度财政拨款收、支总计308.93万元。与2023年相比，财政拨款收、支总计各减少20.05万元，下降6.1%。主要原因是</w:t>
      </w:r>
      <w:r>
        <w:rPr>
          <w:rFonts w:hint="default" w:ascii="Times New Roman" w:hAnsi="Times New Roman" w:eastAsia="仿宋_GB2312" w:cs="Times New Roman"/>
          <w:sz w:val="32"/>
          <w:szCs w:val="32"/>
        </w:rPr>
        <w:t>落实政府过“紧日子”要求，</w:t>
      </w:r>
      <w:r>
        <w:rPr>
          <w:rFonts w:hint="default" w:ascii="Times New Roman" w:hAnsi="Times New Roman" w:eastAsia="方正仿宋_GBK" w:cs="Times New Roman"/>
          <w:sz w:val="32"/>
          <w:szCs w:val="32"/>
          <w:shd w:val="clear" w:color="auto" w:fill="FFFFFF"/>
        </w:rPr>
        <w:t>日常公用经费与项目经费减少。</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308.38</w:t>
      </w:r>
      <w:r>
        <w:rPr>
          <w:rFonts w:hint="default" w:ascii="Times New Roman" w:hAnsi="Times New Roman" w:eastAsia="方正仿宋_GBK" w:cs="Times New Roman"/>
          <w:sz w:val="32"/>
          <w:szCs w:val="32"/>
          <w:shd w:val="clear" w:color="auto" w:fill="FFFFFF"/>
        </w:rPr>
        <w:t>万元，与2023年度相比，减少19.60万元，下降6.0%。主要原因是落实政府</w:t>
      </w:r>
      <w:r>
        <w:rPr>
          <w:rFonts w:hint="default" w:ascii="Times New Roman" w:hAnsi="Times New Roman" w:eastAsia="仿宋_GB2312" w:cs="Times New Roman"/>
          <w:sz w:val="32"/>
          <w:szCs w:val="32"/>
        </w:rPr>
        <w:t>过“紧日子”要求，不断优化支出结构，压减一般性支出。</w:t>
      </w:r>
      <w:r>
        <w:rPr>
          <w:rFonts w:hint="default" w:ascii="Times New Roman" w:hAnsi="Times New Roman" w:eastAsia="方正仿宋_GBK" w:cs="Times New Roman"/>
          <w:sz w:val="32"/>
          <w:szCs w:val="32"/>
          <w:shd w:val="clear" w:color="auto" w:fill="FFFFFF"/>
        </w:rPr>
        <w:t>较年初预算数增加17.30万元，增长5.9%。主要原因是日常机关运行需求增加，年中进行预算追加。此外，年初财政拨款结转和结余</w:t>
      </w:r>
      <w:r>
        <w:rPr>
          <w:rFonts w:hint="default" w:ascii="Times New Roman" w:hAnsi="Times New Roman" w:eastAsia="方正仿宋_GBK" w:cs="Times New Roman"/>
          <w:sz w:val="32"/>
          <w:szCs w:val="32"/>
        </w:rPr>
        <w:t>0.55</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308.35</w:t>
      </w:r>
      <w:r>
        <w:rPr>
          <w:rFonts w:hint="default" w:ascii="Times New Roman" w:hAnsi="Times New Roman" w:eastAsia="方正仿宋_GBK" w:cs="Times New Roman"/>
          <w:sz w:val="32"/>
          <w:szCs w:val="32"/>
          <w:shd w:val="clear" w:color="auto" w:fill="FFFFFF"/>
        </w:rPr>
        <w:t>万元，与2023年度相比，减少20.08万元，下降6.1%。主要原因是落实政府</w:t>
      </w:r>
      <w:r>
        <w:rPr>
          <w:rFonts w:hint="default" w:ascii="Times New Roman" w:hAnsi="Times New Roman" w:eastAsia="仿宋_GB2312" w:cs="Times New Roman"/>
          <w:sz w:val="32"/>
          <w:szCs w:val="32"/>
        </w:rPr>
        <w:t>过“紧日子”要求，预算绩效管理不断强化。</w:t>
      </w:r>
      <w:r>
        <w:rPr>
          <w:rFonts w:hint="default" w:ascii="Times New Roman" w:hAnsi="Times New Roman" w:eastAsia="方正仿宋_GBK" w:cs="Times New Roman"/>
          <w:sz w:val="32"/>
          <w:szCs w:val="32"/>
          <w:shd w:val="clear" w:color="auto" w:fill="FFFFFF"/>
        </w:rPr>
        <w:t>较年初预算数增加17.27万元，增长5.9%。主要原因是日常机关运行支出增加，年中进行预算追加。</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0.58</w:t>
      </w:r>
      <w:r>
        <w:rPr>
          <w:rFonts w:hint="default" w:ascii="Times New Roman" w:hAnsi="Times New Roman" w:eastAsia="方正仿宋_GBK" w:cs="Times New Roman"/>
          <w:sz w:val="32"/>
          <w:szCs w:val="32"/>
          <w:shd w:val="clear" w:color="auto" w:fill="FFFFFF"/>
        </w:rPr>
        <w:t>万元，与2023年度相比，增加0.03万元，增长5.5%，主要原因是年末日常公用</w:t>
      </w:r>
      <w:r>
        <w:rPr>
          <w:rFonts w:hint="default" w:ascii="Times New Roman" w:hAnsi="Times New Roman" w:eastAsia="方正仿宋_GBK" w:cs="Times New Roman"/>
          <w:sz w:val="32"/>
          <w:szCs w:val="32"/>
        </w:rPr>
        <w:t>经费结转增加。</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keepNext w:val="0"/>
        <w:keepLines w:val="0"/>
        <w:widowControl/>
        <w:suppressLineNumbers w:val="0"/>
        <w:adjustRightInd w:val="0"/>
        <w:snapToGrid w:val="0"/>
        <w:spacing w:before="0" w:beforeAutospacing="0" w:after="0" w:afterAutospacing="0" w:line="594" w:lineRule="exact"/>
        <w:ind w:left="0" w:right="0" w:firstLine="640" w:firstLineChars="200"/>
        <w:jc w:val="left"/>
        <w:rPr>
          <w:rFonts w:hint="default" w:ascii="Times New Roman" w:hAnsi="Times New Roman" w:eastAsia="方正仿宋_GBK" w:cs="Times New Roman"/>
          <w:kern w:val="0"/>
          <w:sz w:val="32"/>
          <w:szCs w:val="32"/>
          <w:shd w:val="clear" w:fill="FFFFFF"/>
          <w:lang w:eastAsia="zh-CN" w:bidi="ar"/>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225.01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73.0%</w:t>
      </w:r>
      <w:r>
        <w:rPr>
          <w:rFonts w:hint="default" w:ascii="Times New Roman" w:hAnsi="Times New Roman" w:eastAsia="方正仿宋_GBK" w:cs="Times New Roman"/>
          <w:sz w:val="32"/>
          <w:szCs w:val="32"/>
          <w:shd w:val="clear" w:color="auto" w:fill="FFFFFF"/>
        </w:rPr>
        <w:t>，较年初预算数增加13.15万元，增长6.2%，</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kern w:val="0"/>
          <w:sz w:val="32"/>
          <w:szCs w:val="32"/>
          <w:highlight w:val="none"/>
          <w:shd w:val="clear" w:fill="FFFFFF"/>
          <w:lang w:val="en-US" w:eastAsia="zh-CN" w:bidi="ar"/>
        </w:rPr>
        <w:t>日常机关运行需求增加，年中进行预算追加</w:t>
      </w:r>
      <w:r>
        <w:rPr>
          <w:rFonts w:hint="default" w:ascii="Times New Roman" w:hAnsi="Times New Roman" w:eastAsia="方正仿宋_GBK" w:cs="Times New Roman"/>
          <w:kern w:val="0"/>
          <w:sz w:val="32"/>
          <w:szCs w:val="32"/>
          <w:highlight w:val="none"/>
          <w:shd w:val="clear" w:fill="FFFFFF"/>
          <w:lang w:eastAsia="zh-CN" w:bidi="ar"/>
        </w:rPr>
        <w:t>。</w:t>
      </w:r>
    </w:p>
    <w:p>
      <w:pPr>
        <w:keepNext w:val="0"/>
        <w:keepLines w:val="0"/>
        <w:widowControl/>
        <w:suppressLineNumbers w:val="0"/>
        <w:adjustRightInd w:val="0"/>
        <w:snapToGrid w:val="0"/>
        <w:spacing w:before="0" w:beforeAutospacing="0" w:after="0" w:afterAutospacing="0" w:line="594" w:lineRule="exact"/>
        <w:ind w:left="0" w:right="0" w:firstLine="640" w:firstLineChars="200"/>
        <w:jc w:val="left"/>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，较年初预算数减少0.37万元，下降51.4%，主要原因是本年培训次数减少，培训支出相应减少。</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45.02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14.6%</w:t>
      </w:r>
      <w:r>
        <w:rPr>
          <w:rFonts w:hint="default" w:ascii="Times New Roman" w:hAnsi="Times New Roman" w:eastAsia="方正仿宋_GBK" w:cs="Times New Roman"/>
          <w:sz w:val="32"/>
          <w:szCs w:val="32"/>
          <w:shd w:val="clear" w:color="auto" w:fill="FFFFFF"/>
        </w:rPr>
        <w:t>，较年初预算数减少1.64万元，下降3.5%，主要原因是本年基数调整。</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19.53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w:t>
      </w:r>
      <w:r>
        <w:rPr>
          <w:rFonts w:hint="default" w:ascii="Times New Roman" w:hAnsi="Times New Roman" w:eastAsia="方正仿宋_GBK" w:cs="Times New Roman"/>
          <w:sz w:val="32"/>
          <w:szCs w:val="32"/>
          <w:shd w:val="clear" w:color="auto" w:fill="FFFFFF"/>
        </w:rPr>
        <w:t>，较年初预算数增加6.04万元，增长44.8%，主要原因是本年基数调整。</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住房保障支出18.44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w:t>
      </w:r>
      <w:r>
        <w:rPr>
          <w:rFonts w:hint="default" w:ascii="Times New Roman" w:hAnsi="Times New Roman" w:eastAsia="方正仿宋_GBK" w:cs="Times New Roman"/>
          <w:sz w:val="32"/>
          <w:szCs w:val="32"/>
          <w:shd w:val="clear" w:color="auto" w:fill="FFFFFF"/>
        </w:rPr>
        <w:t>，较年初预算数增加0.10万元，增长0.6%，主要原因是本年缴费基数发生变化。</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302.08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273.00</w:t>
      </w:r>
      <w:r>
        <w:rPr>
          <w:rFonts w:hint="default" w:ascii="Times New Roman" w:hAnsi="Times New Roman" w:eastAsia="方正仿宋_GBK" w:cs="Times New Roman"/>
          <w:sz w:val="32"/>
          <w:szCs w:val="32"/>
          <w:shd w:val="clear" w:color="auto" w:fill="FFFFFF"/>
        </w:rPr>
        <w:t>万元，与2023年度相比，增加14.01万元，增长5.4%，主要原因是部分人员</w:t>
      </w:r>
      <w:r>
        <w:rPr>
          <w:rFonts w:hint="default" w:ascii="Times New Roman" w:hAnsi="Times New Roman" w:eastAsia="方正仿宋_GBK" w:cs="Times New Roman"/>
          <w:sz w:val="32"/>
          <w:szCs w:val="32"/>
        </w:rPr>
        <w:t>缴费基数变化</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rPr>
        <w:t>基本工资、津贴补贴、奖金、社会保障缴费、医疗费、住房公积金等。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29.08</w:t>
      </w:r>
      <w:r>
        <w:rPr>
          <w:rFonts w:hint="default" w:ascii="Times New Roman" w:hAnsi="Times New Roman" w:eastAsia="方正仿宋_GBK" w:cs="Times New Roman"/>
          <w:sz w:val="32"/>
          <w:szCs w:val="32"/>
          <w:shd w:val="clear" w:color="auto" w:fill="FFFFFF"/>
        </w:rPr>
        <w:t>万元，与2023年度相比，减少24.32万元，下降45.5%，主要原因是落实政府</w:t>
      </w:r>
      <w:r>
        <w:rPr>
          <w:rFonts w:hint="default" w:ascii="Times New Roman" w:hAnsi="Times New Roman" w:eastAsia="仿宋_GB2312" w:cs="Times New Roman"/>
          <w:sz w:val="32"/>
          <w:szCs w:val="32"/>
        </w:rPr>
        <w:t>过“紧日子”要求，</w:t>
      </w:r>
      <w:r>
        <w:rPr>
          <w:rFonts w:hint="default" w:ascii="Times New Roman" w:hAnsi="Times New Roman" w:eastAsia="仿宋_GB2312" w:cs="Times New Roman"/>
          <w:sz w:val="32"/>
          <w:szCs w:val="32"/>
          <w:lang w:eastAsia="zh-CN"/>
        </w:rPr>
        <w:t>三公</w:t>
      </w:r>
      <w:r>
        <w:rPr>
          <w:rFonts w:hint="default" w:ascii="Times New Roman" w:hAnsi="Times New Roman" w:eastAsia="仿宋_GB2312" w:cs="Times New Roman"/>
          <w:sz w:val="32"/>
          <w:szCs w:val="32"/>
        </w:rPr>
        <w:t>经费等减少，资金支出结构不断优化。</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办公费、印刷费、电费、邮电费、培训费、维修（护）费、公务接待费、劳务费、公务用车运行维护费、办公设备购置等。</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12"/>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shd w:val="clear" w:color="auto" w:fill="FFFFFF"/>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w:t>
      </w:r>
      <w:r>
        <w:rPr>
          <w:rFonts w:hint="default"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三、财政拨款</w:t>
      </w:r>
      <w:r>
        <w:rPr>
          <w:rStyle w:val="9"/>
          <w:rFonts w:hint="default" w:ascii="Times New Roman" w:hAnsi="Times New Roman" w:eastAsia="黑体" w:cs="Times New Roman"/>
          <w:sz w:val="32"/>
          <w:szCs w:val="32"/>
          <w:shd w:val="clear" w:color="auto" w:fill="FFFFFF"/>
          <w:lang w:eastAsia="zh-CN"/>
        </w:rPr>
        <w:t>三公</w:t>
      </w:r>
      <w:r>
        <w:rPr>
          <w:rStyle w:val="9"/>
          <w:rFonts w:hint="default" w:ascii="Times New Roman" w:hAnsi="Times New Roman" w:eastAsia="黑体" w:cs="Times New Roman"/>
          <w:sz w:val="32"/>
          <w:szCs w:val="32"/>
          <w:shd w:val="clear" w:color="auto" w:fill="FFFFFF"/>
        </w:rPr>
        <w:t>经费情况说明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经费支出总体情况说明</w:t>
      </w:r>
    </w:p>
    <w:p>
      <w:pPr>
        <w:pStyle w:val="13"/>
        <w:autoSpaceDE w:val="0"/>
        <w:adjustRightInd w:val="0"/>
        <w:snapToGrid w:val="0"/>
        <w:spacing w:before="0" w:beforeAutospacing="0" w:after="62" w:afterLines="2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shd w:val="clear" w:color="auto" w:fill="FFFFFF"/>
        </w:rPr>
        <w:t>万元，较年初预算数减少0.77万元，下降77.0%，主要原因是公务接待次数减少，费用相应减少。较上年支出数减少0.05万元，下降17.9%，主要原因是</w:t>
      </w:r>
      <w:r>
        <w:rPr>
          <w:rFonts w:hint="default" w:ascii="Times New Roman" w:hAnsi="Times New Roman" w:eastAsia="方正仿宋_GBK" w:cs="Times New Roman"/>
          <w:sz w:val="32"/>
          <w:szCs w:val="32"/>
        </w:rPr>
        <w:t>认真贯彻落实中央八项规定精神和厉行节约要求，从严控制三公经费，全年实际支出较预算和决算均有所下降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强化公务接待支出管理，严格遵守公务接待开支范围和开支标准，严格控制陪餐人数，对应由接待对象承担的费用一律由接待对象自行支付，公务接待费有所下降。</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经费分项支出情况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13"/>
        <w:autoSpaceDE w:val="0"/>
        <w:adjustRightInd w:val="0"/>
        <w:snapToGrid w:val="0"/>
        <w:spacing w:before="0" w:beforeAutospacing="0" w:after="62" w:afterLines="2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shd w:val="clear" w:color="auto" w:fill="FFFFFF"/>
        </w:rPr>
        <w:t>万元，主要用于按</w:t>
      </w:r>
      <w:r>
        <w:rPr>
          <w:rFonts w:hint="default" w:ascii="Times New Roman" w:hAnsi="Times New Roman" w:eastAsia="方正仿宋_GBK" w:cs="Times New Roman"/>
          <w:sz w:val="32"/>
          <w:szCs w:val="32"/>
        </w:rPr>
        <w:t>规定开支的各类公务接待支出。</w:t>
      </w:r>
      <w:r>
        <w:rPr>
          <w:rFonts w:hint="default" w:ascii="Times New Roman" w:hAnsi="Times New Roman" w:eastAsia="方正仿宋_GBK" w:cs="Times New Roman"/>
          <w:sz w:val="32"/>
          <w:szCs w:val="32"/>
          <w:shd w:val="clear" w:color="auto" w:fill="FFFFFF"/>
        </w:rPr>
        <w:t>费用支出较年初预算数减少0.77万元，下降77.0%，主要原因是年公务接待次数减少，公务接待费用减少。较上年支出数减少0.05万元，下降17.9%，主要原因是</w:t>
      </w:r>
      <w:r>
        <w:rPr>
          <w:rFonts w:hint="default" w:ascii="Times New Roman" w:hAnsi="Times New Roman" w:eastAsia="方正仿宋_GBK" w:cs="Times New Roman"/>
          <w:sz w:val="32"/>
          <w:szCs w:val="32"/>
        </w:rPr>
        <w:t>强化公务接待支出管理，严格遵守公务接待开支范围和开支标准。</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经费实物量情况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54.33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万元，与2023年度相比，与上年持平，主要原因是本年无会议活动。本年度培训费支出</w:t>
      </w:r>
      <w:r>
        <w:rPr>
          <w:rFonts w:hint="default" w:ascii="Times New Roman" w:hAnsi="Times New Roman" w:eastAsia="方正仿宋_GBK" w:cs="Times New Roman"/>
          <w:sz w:val="32"/>
          <w:szCs w:val="32"/>
        </w:rPr>
        <w:t>0.35</w:t>
      </w:r>
      <w:r>
        <w:rPr>
          <w:rFonts w:hint="default" w:ascii="Times New Roman" w:hAnsi="Times New Roman" w:eastAsia="方正仿宋_GBK" w:cs="Times New Roman"/>
          <w:sz w:val="32"/>
          <w:szCs w:val="32"/>
          <w:shd w:val="clear" w:color="auto" w:fill="FFFFFF"/>
        </w:rPr>
        <w:t>万元，与2023年度相比，增加0.25万元，增长250.0%，</w:t>
      </w:r>
      <w:r>
        <w:rPr>
          <w:rFonts w:hint="default" w:ascii="Times New Roman" w:hAnsi="Times New Roman" w:eastAsia="方正仿宋_GBK" w:cs="Times New Roman"/>
          <w:sz w:val="32"/>
          <w:szCs w:val="32"/>
          <w:highlight w:val="none"/>
          <w:shd w:val="clear" w:color="auto" w:fill="FFFFFF"/>
        </w:rPr>
        <w:t>主要原因是2024年秋季学期主体班培训等培训费用增加。</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29.08</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办公费、邮电费、培训费、维修（护）费、劳务费、办公设备购置等。</w:t>
      </w:r>
      <w:r>
        <w:rPr>
          <w:rFonts w:hint="default" w:ascii="Times New Roman" w:hAnsi="Times New Roman" w:eastAsia="方正仿宋_GBK" w:cs="Times New Roman"/>
          <w:sz w:val="32"/>
          <w:szCs w:val="32"/>
          <w:shd w:val="clear" w:color="auto" w:fill="FFFFFF"/>
        </w:rPr>
        <w:t>机关运行经费较上年支出数减少24.32万元，下降45.5%，主要原因是落实政府</w:t>
      </w:r>
      <w:r>
        <w:rPr>
          <w:rFonts w:hint="default" w:ascii="Times New Roman" w:hAnsi="Times New Roman" w:eastAsia="仿宋_GB2312" w:cs="Times New Roman"/>
          <w:sz w:val="32"/>
          <w:szCs w:val="32"/>
        </w:rPr>
        <w:t>过“紧日子”要求，压减不必要开支，支出结构不断优化。</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3"/>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五、2024年度预算绩效管理情况说明</w:t>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根据预算绩效管理要求，我单位对1个二级项目开展了绩效自评，涉及财政拨款项目支出资金6.28万元</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项目支出绩效自评表</w:t>
      </w:r>
    </w:p>
    <w:p>
      <w:pPr>
        <w:pStyle w:val="13"/>
        <w:autoSpaceDE w:val="0"/>
        <w:adjustRightInd w:val="0"/>
        <w:snapToGrid w:val="0"/>
        <w:spacing w:before="0" w:beforeAutospacing="0" w:after="0" w:afterAutospacing="0" w:line="594" w:lineRule="exact"/>
        <w:ind w:firstLine="480" w:firstLineChars="200"/>
        <w:rPr>
          <w:rFonts w:hint="default" w:ascii="Times New Roman" w:hAnsi="Times New Roman" w:eastAsia="楷体" w:cs="Times New Roman"/>
          <w:b/>
          <w:bCs/>
          <w:sz w:val="32"/>
          <w:szCs w:val="32"/>
          <w:shd w:val="clear" w:color="auto" w:fill="FFFFFF"/>
        </w:rPr>
      </w:pPr>
      <w:r>
        <w:drawing>
          <wp:anchor distT="0" distB="0" distL="114300" distR="114300" simplePos="0" relativeHeight="251658240" behindDoc="0" locked="0" layoutInCell="1" allowOverlap="1">
            <wp:simplePos x="0" y="0"/>
            <wp:positionH relativeFrom="column">
              <wp:posOffset>287020</wp:posOffset>
            </wp:positionH>
            <wp:positionV relativeFrom="paragraph">
              <wp:posOffset>48260</wp:posOffset>
            </wp:positionV>
            <wp:extent cx="4768850" cy="2890520"/>
            <wp:effectExtent l="0" t="0" r="1270" b="508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768850" cy="2890520"/>
                    </a:xfrm>
                    <a:prstGeom prst="rect">
                      <a:avLst/>
                    </a:prstGeom>
                    <a:noFill/>
                    <a:ln>
                      <a:noFill/>
                    </a:ln>
                  </pic:spPr>
                </pic:pic>
              </a:graphicData>
            </a:graphic>
          </wp:anchor>
        </w:drawing>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bookmarkStart w:id="0" w:name="_GoBack"/>
      <w:bookmarkEnd w:id="0"/>
    </w:p>
    <w:p>
      <w:pPr>
        <w:pStyle w:val="12"/>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bidi="ar"/>
        </w:rPr>
        <w:t>我单位未组织开展绩效评价。</w:t>
      </w:r>
    </w:p>
    <w:p>
      <w:pPr>
        <w:pStyle w:val="17"/>
        <w:autoSpaceDE w:val="0"/>
        <w:adjustRightInd w:val="0"/>
        <w:snapToGrid w:val="0"/>
        <w:spacing w:line="594"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pPr>
        <w:pStyle w:val="13"/>
        <w:autoSpaceDE w:val="0"/>
        <w:adjustRightInd w:val="0"/>
        <w:snapToGrid w:val="0"/>
        <w:spacing w:before="0" w:beforeAutospacing="0" w:after="0" w:afterAutospacing="0" w:line="594" w:lineRule="exact"/>
        <w:ind w:left="720" w:left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bidi="ar"/>
        </w:rPr>
        <w:t>县财政局未委托第三方对我单位开展绩效评价。</w:t>
      </w:r>
      <w:r>
        <w:rPr>
          <w:rStyle w:val="14"/>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 xml:space="preserve"> </w:t>
      </w:r>
      <w:r>
        <w:rPr>
          <w:rStyle w:val="14"/>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 xml:space="preserve"> 六、专业名词解释</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w:t>
      </w:r>
      <w:r>
        <w:rPr>
          <w:rFonts w:hint="eastAsia" w:ascii="方正仿宋_GBK" w:hAnsi="方正仿宋_GBK" w:eastAsia="方正仿宋_GBK" w:cs="方正仿宋_GBK"/>
          <w:sz w:val="32"/>
          <w:szCs w:val="32"/>
          <w:shd w:val="clear" w:color="auto" w:fill="FFFFFF"/>
        </w:rPr>
        <w:t>财政拨款。</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（十二）</w:t>
      </w:r>
      <w:r>
        <w:rPr>
          <w:rStyle w:val="9"/>
          <w:rFonts w:hint="eastAsia" w:ascii="楷体" w:hAnsi="楷体" w:eastAsia="楷体" w:cs="楷体"/>
          <w:sz w:val="32"/>
          <w:szCs w:val="32"/>
          <w:shd w:val="clear" w:color="auto" w:fill="FFFFFF"/>
          <w:lang w:eastAsia="zh-CN"/>
        </w:rPr>
        <w:t>三公</w:t>
      </w:r>
      <w:r>
        <w:rPr>
          <w:rStyle w:val="9"/>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9"/>
          <w:rFonts w:hint="eastAsia" w:ascii="黑体" w:hAnsi="黑体" w:eastAsia="黑体" w:cs="黑体"/>
          <w:sz w:val="32"/>
          <w:szCs w:val="32"/>
          <w:shd w:val="clear" w:color="auto" w:fill="FFFFFF"/>
        </w:rPr>
        <w:t>七、决算公开联系方式及信息反馈渠道</w:t>
      </w:r>
    </w:p>
    <w:p>
      <w:pPr>
        <w:pStyle w:val="13"/>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autoSpaceDE w:val="0"/>
        <w:adjustRightInd w:val="0"/>
        <w:snapToGrid w:val="0"/>
        <w:spacing w:line="594" w:lineRule="exact"/>
        <w:ind w:firstLine="64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贺老师   023-74516510</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垫江县国库集中支付中心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308.93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308.93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垫江县国库集中支付中心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308.38</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308.38</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215.63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215.63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垫江县国库集中支付中心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308.35</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302.08</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218.73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218.73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215.61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215.61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垫江县国库集中支付中心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308.38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308.38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308.35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垫江县国库集中支付中心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302.08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218.73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218.73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215.61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垫江县国库集中支付中心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273.00</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垫江县国库集中支付中心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垫江县国库集中支付中心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垫江县国库集中支付中心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11.22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360" w:firstLineChars="200"/>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365861"/>
    <w:rsid w:val="00430CB0"/>
    <w:rsid w:val="0044504F"/>
    <w:rsid w:val="00466C9B"/>
    <w:rsid w:val="00486CFC"/>
    <w:rsid w:val="00491DDD"/>
    <w:rsid w:val="00550ABE"/>
    <w:rsid w:val="005728DE"/>
    <w:rsid w:val="00623A85"/>
    <w:rsid w:val="00770383"/>
    <w:rsid w:val="007819D4"/>
    <w:rsid w:val="007B419D"/>
    <w:rsid w:val="007B7C4B"/>
    <w:rsid w:val="007D3D39"/>
    <w:rsid w:val="00984C6A"/>
    <w:rsid w:val="00994AF7"/>
    <w:rsid w:val="009B67B8"/>
    <w:rsid w:val="009C14C9"/>
    <w:rsid w:val="009D2B67"/>
    <w:rsid w:val="009E1452"/>
    <w:rsid w:val="00A566F9"/>
    <w:rsid w:val="00AE2A9B"/>
    <w:rsid w:val="00AF2751"/>
    <w:rsid w:val="00B03CCD"/>
    <w:rsid w:val="00BC6581"/>
    <w:rsid w:val="00BE2B89"/>
    <w:rsid w:val="00BF0D89"/>
    <w:rsid w:val="00C10E9E"/>
    <w:rsid w:val="00C20C3E"/>
    <w:rsid w:val="00C5163E"/>
    <w:rsid w:val="00CF2ACF"/>
    <w:rsid w:val="00D03AAF"/>
    <w:rsid w:val="00DD0539"/>
    <w:rsid w:val="00E07662"/>
    <w:rsid w:val="00E368E9"/>
    <w:rsid w:val="00EE1E33"/>
    <w:rsid w:val="00F73F90"/>
    <w:rsid w:val="00FB4B3B"/>
    <w:rsid w:val="00FD2593"/>
    <w:rsid w:val="01474EBF"/>
    <w:rsid w:val="01F3521E"/>
    <w:rsid w:val="03B87EA0"/>
    <w:rsid w:val="03E3214F"/>
    <w:rsid w:val="044C50BA"/>
    <w:rsid w:val="05BC6D49"/>
    <w:rsid w:val="06194FF1"/>
    <w:rsid w:val="064F1AAA"/>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3A53"/>
    <w:rsid w:val="3E787ED9"/>
    <w:rsid w:val="3F032E93"/>
    <w:rsid w:val="3F0527E5"/>
    <w:rsid w:val="3F4C52C6"/>
    <w:rsid w:val="3F694D83"/>
    <w:rsid w:val="3F885DCC"/>
    <w:rsid w:val="3FCD675E"/>
    <w:rsid w:val="3FCF3B3F"/>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BF3EBC"/>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2922D4"/>
    <w:rsid w:val="696C0310"/>
    <w:rsid w:val="6A6C7940"/>
    <w:rsid w:val="6A9F1565"/>
    <w:rsid w:val="6AAD2300"/>
    <w:rsid w:val="6B474EF5"/>
    <w:rsid w:val="6BC938E5"/>
    <w:rsid w:val="6C0A5AC5"/>
    <w:rsid w:val="6C3E8BC9"/>
    <w:rsid w:val="6C560CAE"/>
    <w:rsid w:val="6C576495"/>
    <w:rsid w:val="6D903FF5"/>
    <w:rsid w:val="6DA955B8"/>
    <w:rsid w:val="6DE346AB"/>
    <w:rsid w:val="6DE5391A"/>
    <w:rsid w:val="6EFD1324"/>
    <w:rsid w:val="6F5A53AC"/>
    <w:rsid w:val="6FAC003D"/>
    <w:rsid w:val="6FD926BF"/>
    <w:rsid w:val="6FE55E12"/>
    <w:rsid w:val="6FFB2E76"/>
    <w:rsid w:val="708F6F7F"/>
    <w:rsid w:val="70D94BD3"/>
    <w:rsid w:val="70D979B7"/>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9E7D04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before="61"/>
      <w:ind w:left="117"/>
    </w:pPr>
    <w:rPr>
      <w:szCs w:val="30"/>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2125</Words>
  <Characters>12118</Characters>
  <Lines>1</Lines>
  <Paragraphs>1</Paragraphs>
  <TotalTime>9</TotalTime>
  <ScaleCrop>false</ScaleCrop>
  <LinksUpToDate>false</LinksUpToDate>
  <CharactersWithSpaces>14215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贺馨瑶</cp:lastModifiedBy>
  <dcterms:modified xsi:type="dcterms:W3CDTF">2025-09-18T03:39:43Z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