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垫江县会计管理核算中心</w:t>
      </w:r>
    </w:p>
    <w:p>
      <w:pPr>
        <w:pStyle w:val="7"/>
        <w:adjustRightInd w:val="0"/>
        <w:snapToGrid w:val="0"/>
        <w:spacing w:before="0" w:beforeAutospacing="0" w:after="0" w:afterAutospacing="0" w:line="594" w:lineRule="exact"/>
        <w:ind w:firstLine="880" w:firstLineChars="200"/>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sz w:val="32"/>
          <w:szCs w:val="32"/>
          <w:shd w:val="clear" w:color="auto" w:fill="FFFFFF"/>
        </w:rPr>
      </w:pPr>
      <w:r>
        <w:rPr>
          <w:rStyle w:val="9"/>
          <w:rFonts w:hint="default" w:ascii="Times New Roman" w:hAnsi="Times New Roman" w:eastAsia="黑体"/>
          <w:sz w:val="32"/>
          <w:szCs w:val="32"/>
          <w:shd w:val="clear" w:color="auto" w:fill="FFFFFF"/>
        </w:rPr>
        <w:t>一、单位基本情况</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sz w:val="32"/>
          <w:szCs w:val="32"/>
        </w:rPr>
      </w:pPr>
      <w:r>
        <w:rPr>
          <w:rStyle w:val="9"/>
          <w:rFonts w:hint="default" w:ascii="Times New Roman" w:hAnsi="Times New Roman" w:eastAsia="楷体"/>
          <w:sz w:val="32"/>
          <w:szCs w:val="32"/>
          <w:shd w:val="clear" w:color="auto" w:fill="FFFFFF"/>
        </w:rPr>
        <w:t>（一）职能职责</w:t>
      </w:r>
    </w:p>
    <w:p>
      <w:pPr>
        <w:pStyle w:val="7"/>
        <w:shd w:val="clear" w:color="auto" w:fill="FFFFFF"/>
        <w:adjustRightInd w:val="0"/>
        <w:snapToGrid w:val="0"/>
        <w:spacing w:before="0" w:beforeAutospacing="0" w:after="0" w:afterAutospacing="0" w:line="594" w:lineRule="exact"/>
        <w:ind w:firstLine="640" w:firstLineChars="200"/>
        <w:rPr>
          <w:rStyle w:val="9"/>
          <w:rFonts w:hint="default" w:ascii="Times New Roman" w:hAnsi="Times New Roman" w:eastAsia="楷体"/>
          <w:sz w:val="32"/>
          <w:szCs w:val="32"/>
          <w:shd w:val="clear" w:color="auto" w:fill="FFFFFF"/>
        </w:rPr>
      </w:pPr>
      <w:r>
        <w:rPr>
          <w:rFonts w:hint="default" w:ascii="Times New Roman" w:hAnsi="Times New Roman" w:eastAsia="方正仿宋_GBK"/>
          <w:sz w:val="32"/>
          <w:szCs w:val="32"/>
        </w:rPr>
        <w:t>会计人员培训和会计证年审，会计从业资格培训及考试，会计信息化管理；代理记账机构和其他社会会计机构特种执业资格管理和监督；乡镇财政财务管理和业务培训；“乡财县管”日常管理；指导乡镇财政会计核算、乡镇编制部门预算草案和预决算报表。</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楷体"/>
          <w:sz w:val="32"/>
          <w:szCs w:val="32"/>
        </w:rPr>
      </w:pPr>
      <w:r>
        <w:rPr>
          <w:rStyle w:val="9"/>
          <w:rFonts w:hint="default" w:ascii="Times New Roman" w:hAnsi="Times New Roman" w:eastAsia="楷体"/>
          <w:sz w:val="32"/>
          <w:szCs w:val="32"/>
          <w:shd w:val="clear" w:color="auto" w:fill="FFFFFF"/>
        </w:rPr>
        <w:t>（二）机构设置</w:t>
      </w:r>
    </w:p>
    <w:p>
      <w:pPr>
        <w:pStyle w:val="7"/>
        <w:shd w:val="clear" w:color="auto" w:fill="FFFFFF"/>
        <w:adjustRightInd w:val="0"/>
        <w:snapToGrid w:val="0"/>
        <w:spacing w:before="0" w:beforeAutospacing="0" w:after="0" w:afterAutospacing="0" w:line="594" w:lineRule="exact"/>
        <w:ind w:firstLine="640" w:firstLineChars="200"/>
        <w:rPr>
          <w:rStyle w:val="9"/>
          <w:rFonts w:hint="default" w:ascii="Times New Roman" w:hAnsi="Times New Roman" w:eastAsia="楷体"/>
          <w:sz w:val="32"/>
          <w:szCs w:val="32"/>
          <w:shd w:val="clear" w:color="auto" w:fill="FFFFFF"/>
        </w:rPr>
      </w:pPr>
      <w:r>
        <w:rPr>
          <w:rFonts w:hint="default" w:ascii="Times New Roman" w:hAnsi="Times New Roman" w:eastAsia="方正仿宋_GBK"/>
          <w:sz w:val="32"/>
          <w:szCs w:val="32"/>
        </w:rPr>
        <w:t>垫江县会计管理核算中心事业编制14人，现在编在岗共计</w:t>
      </w:r>
      <w:r>
        <w:rPr>
          <w:rFonts w:ascii="Times New Roman" w:hAnsi="Times New Roman" w:eastAsia="方正仿宋_GBK"/>
          <w:sz w:val="32"/>
          <w:szCs w:val="32"/>
        </w:rPr>
        <w:t>11</w:t>
      </w:r>
      <w:r>
        <w:rPr>
          <w:rFonts w:hint="default" w:ascii="Times New Roman" w:hAnsi="Times New Roman" w:eastAsia="方正仿宋_GBK"/>
          <w:sz w:val="32"/>
          <w:szCs w:val="32"/>
        </w:rPr>
        <w:t>人。内设4个职能科室，分别是办公室、会计核算科、会计管理科、乡镇财政管理科。</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sz w:val="32"/>
          <w:szCs w:val="32"/>
        </w:rPr>
      </w:pPr>
      <w:r>
        <w:rPr>
          <w:rStyle w:val="9"/>
          <w:rFonts w:hint="default" w:ascii="Times New Roman" w:hAnsi="Times New Roman" w:eastAsia="黑体"/>
          <w:sz w:val="32"/>
          <w:szCs w:val="32"/>
          <w:shd w:val="clear" w:color="auto" w:fill="FFFFFF"/>
        </w:rPr>
        <w:t>二、单位决算收支情况说明</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2024年度收入总计376.15万元，支出总计</w:t>
      </w:r>
      <w:r>
        <w:rPr>
          <w:rFonts w:hint="default" w:ascii="Times New Roman" w:hAnsi="Times New Roman" w:eastAsia="方正仿宋_GBK"/>
          <w:sz w:val="32"/>
          <w:szCs w:val="32"/>
        </w:rPr>
        <w:t>376.15</w:t>
      </w:r>
      <w:r>
        <w:rPr>
          <w:rFonts w:hint="default" w:ascii="Times New Roman" w:hAnsi="Times New Roman" w:eastAsia="方正仿宋_GBK"/>
          <w:sz w:val="32"/>
          <w:szCs w:val="32"/>
          <w:shd w:val="clear" w:color="auto" w:fill="FFFFFF"/>
        </w:rPr>
        <w:t>万元。收、支与2023年度相比，减少56.73万元，下降13.1%，主要原因是</w:t>
      </w:r>
      <w:r>
        <w:rPr>
          <w:rFonts w:hint="default" w:ascii="Times New Roman" w:hAnsi="Times New Roman" w:eastAsia="仿宋_GB2312"/>
          <w:sz w:val="32"/>
          <w:szCs w:val="32"/>
        </w:rPr>
        <w:t>落实政府过“紧日子”要求，</w:t>
      </w:r>
      <w:r>
        <w:rPr>
          <w:rFonts w:hint="default" w:ascii="Times New Roman" w:hAnsi="Times New Roman" w:eastAsia="方正仿宋_GBK"/>
          <w:sz w:val="32"/>
          <w:szCs w:val="32"/>
          <w:shd w:val="clear" w:color="auto" w:fill="FFFFFF"/>
        </w:rPr>
        <w:t>日常公用经费与项目经费减少。</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2024年度收入合计327.88万元，与2023年度相比，减少56.34万元，下降14.7%，主要原因是</w:t>
      </w:r>
      <w:r>
        <w:rPr>
          <w:rFonts w:hint="default" w:ascii="Times New Roman" w:hAnsi="Times New Roman" w:eastAsia="仿宋_GB2312"/>
          <w:sz w:val="32"/>
          <w:szCs w:val="32"/>
        </w:rPr>
        <w:t>落实政府过“紧日子”要求，</w:t>
      </w:r>
      <w:r>
        <w:rPr>
          <w:rFonts w:hint="default" w:ascii="Times New Roman" w:hAnsi="Times New Roman" w:eastAsia="方正仿宋_GBK"/>
          <w:sz w:val="32"/>
          <w:szCs w:val="32"/>
          <w:shd w:val="clear" w:color="auto" w:fill="FFFFFF"/>
        </w:rPr>
        <w:t>日常公用经费与项目经费减少。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327.88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48.27</w:t>
      </w:r>
      <w:r>
        <w:rPr>
          <w:rFonts w:ascii="方正仿宋_GBK" w:hAnsi="方正仿宋_GBK" w:eastAsia="方正仿宋_GBK" w:cs="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327.88</w:t>
      </w:r>
      <w:r>
        <w:rPr>
          <w:rFonts w:hint="default" w:ascii="Times New Roman" w:hAnsi="Times New Roman" w:eastAsia="方正仿宋_GBK"/>
          <w:sz w:val="32"/>
          <w:szCs w:val="32"/>
          <w:shd w:val="clear" w:color="auto" w:fill="FFFFFF"/>
        </w:rPr>
        <w:t>万元，与2023年度相比，减少56.73万元，下降14.8%，主要原因是基本支出与项目支出均减少。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313.11</w:t>
      </w:r>
      <w:r>
        <w:rPr>
          <w:rFonts w:ascii="方正仿宋_GBK" w:hAnsi="方正仿宋_GBK" w:eastAsia="方正仿宋_GBK" w:cs="方正仿宋_GBK"/>
          <w:sz w:val="32"/>
          <w:szCs w:val="32"/>
          <w:shd w:val="clear" w:color="auto" w:fill="FFFFFF"/>
        </w:rPr>
        <w:t>万元，占95.5%；项目支出</w:t>
      </w:r>
      <w:r>
        <w:rPr>
          <w:rFonts w:ascii="方正仿宋_GBK" w:hAnsi="方正仿宋_GBK" w:eastAsia="方正仿宋_GBK" w:cs="方正仿宋_GBK"/>
          <w:sz w:val="32"/>
          <w:szCs w:val="32"/>
        </w:rPr>
        <w:t>14.77</w:t>
      </w:r>
      <w:r>
        <w:rPr>
          <w:rFonts w:ascii="方正仿宋_GBK" w:hAnsi="方正仿宋_GBK" w:eastAsia="方正仿宋_GBK" w:cs="方正仿宋_GBK"/>
          <w:sz w:val="32"/>
          <w:szCs w:val="32"/>
          <w:shd w:val="clear" w:color="auto" w:fill="FFFFFF"/>
        </w:rPr>
        <w:t>万元，占4.5%；经营支出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48.27</w:t>
      </w:r>
      <w:r>
        <w:rPr>
          <w:rFonts w:hint="default" w:ascii="Times New Roman" w:hAnsi="Times New Roman" w:eastAsia="方正仿宋_GBK"/>
          <w:sz w:val="32"/>
          <w:szCs w:val="32"/>
          <w:shd w:val="clear" w:color="auto" w:fill="FFFFFF"/>
        </w:rPr>
        <w:t>万元，与上年持平，主要原因是</w:t>
      </w:r>
      <w:r>
        <w:rPr>
          <w:rFonts w:ascii="Times New Roman" w:hAnsi="Times New Roman" w:eastAsia="方正仿宋_GBK"/>
          <w:sz w:val="32"/>
          <w:szCs w:val="32"/>
          <w:shd w:val="clear" w:color="auto" w:fill="FFFFFF"/>
        </w:rPr>
        <w:t>本年度未</w:t>
      </w:r>
      <w:r>
        <w:rPr>
          <w:rFonts w:hint="default" w:ascii="Times New Roman" w:hAnsi="Times New Roman" w:eastAsia="方正仿宋_GBK"/>
          <w:sz w:val="32"/>
          <w:szCs w:val="32"/>
          <w:shd w:val="clear" w:color="auto" w:fill="FFFFFF"/>
        </w:rPr>
        <w:t>使用结转结余。</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2024年度财政拨款收、支总计327.89万元。与2023年相比，财政拨款收、支总计各减少56.73万元，下降14.8%。主要原因是</w:t>
      </w:r>
      <w:r>
        <w:rPr>
          <w:rFonts w:hint="default" w:ascii="Times New Roman" w:hAnsi="Times New Roman" w:eastAsia="仿宋_GB2312"/>
          <w:sz w:val="32"/>
          <w:szCs w:val="32"/>
        </w:rPr>
        <w:t>落实政府过“紧日子”要求，</w:t>
      </w:r>
      <w:r>
        <w:rPr>
          <w:rFonts w:hint="default" w:ascii="Times New Roman" w:hAnsi="Times New Roman" w:eastAsia="方正仿宋_GBK"/>
          <w:sz w:val="32"/>
          <w:szCs w:val="32"/>
          <w:shd w:val="clear" w:color="auto" w:fill="FFFFFF"/>
        </w:rPr>
        <w:t>日常公用经费与项目经费减少。</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327.88</w:t>
      </w:r>
      <w:r>
        <w:rPr>
          <w:rFonts w:hint="default" w:ascii="Times New Roman" w:hAnsi="Times New Roman" w:eastAsia="方正仿宋_GBK"/>
          <w:sz w:val="32"/>
          <w:szCs w:val="32"/>
          <w:shd w:val="clear" w:color="auto" w:fill="FFFFFF"/>
        </w:rPr>
        <w:t>万元，与2023年度相比，减少56.34万元，下降14.7%。主要原因是落实政府</w:t>
      </w:r>
      <w:r>
        <w:rPr>
          <w:rFonts w:hint="default" w:ascii="Times New Roman" w:hAnsi="Times New Roman" w:eastAsia="仿宋_GB2312"/>
          <w:sz w:val="32"/>
          <w:szCs w:val="32"/>
        </w:rPr>
        <w:t>过“紧日子”要求，不断优化支出结构，压减一般性支出</w:t>
      </w:r>
      <w:r>
        <w:rPr>
          <w:rFonts w:hint="default" w:ascii="Times New Roman" w:hAnsi="Times New Roman" w:eastAsia="方正仿宋_GBK"/>
          <w:sz w:val="32"/>
          <w:szCs w:val="32"/>
        </w:rPr>
        <w:t>。</w:t>
      </w:r>
      <w:r>
        <w:rPr>
          <w:rFonts w:hint="default" w:ascii="Times New Roman" w:hAnsi="Times New Roman" w:eastAsia="方正仿宋_GBK"/>
          <w:sz w:val="32"/>
          <w:szCs w:val="32"/>
          <w:shd w:val="clear" w:color="auto" w:fill="FFFFFF"/>
        </w:rPr>
        <w:t>较年初预算数减少1.67万元，下降0.5%。主要原因是本年度有人员退休，基本支出减少。此外，年初财政拨款结转和结余</w:t>
      </w:r>
      <w:r>
        <w:rPr>
          <w:rFonts w:hint="default" w:ascii="Times New Roman" w:hAnsi="Times New Roman" w:eastAsia="方正仿宋_GBK"/>
          <w:sz w:val="32"/>
          <w:szCs w:val="32"/>
        </w:rPr>
        <w:t>0.01</w:t>
      </w:r>
      <w:r>
        <w:rPr>
          <w:rFonts w:hint="default" w:ascii="Times New Roman" w:hAnsi="Times New Roman" w:eastAsia="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327.88</w:t>
      </w:r>
      <w:r>
        <w:rPr>
          <w:rFonts w:hint="default" w:ascii="Times New Roman" w:hAnsi="Times New Roman" w:eastAsia="方正仿宋_GBK"/>
          <w:sz w:val="32"/>
          <w:szCs w:val="32"/>
          <w:shd w:val="clear" w:color="auto" w:fill="FFFFFF"/>
        </w:rPr>
        <w:t>万元，与2023年度相比，减少56.73万元，下降14.8%。主要原因是落实政府</w:t>
      </w:r>
      <w:r>
        <w:rPr>
          <w:rFonts w:hint="default" w:ascii="Times New Roman" w:hAnsi="Times New Roman" w:eastAsia="仿宋_GB2312"/>
          <w:sz w:val="32"/>
          <w:szCs w:val="32"/>
        </w:rPr>
        <w:t>过“紧日子”要求，预算绩效管理不断强化。</w:t>
      </w:r>
      <w:r>
        <w:rPr>
          <w:rFonts w:hint="default" w:ascii="Times New Roman" w:hAnsi="Times New Roman" w:eastAsia="方正仿宋_GBK"/>
          <w:sz w:val="32"/>
          <w:szCs w:val="32"/>
          <w:shd w:val="clear" w:color="auto" w:fill="FFFFFF"/>
        </w:rPr>
        <w:t>较年初预算数减少1.67万元，下降0.5%。主要原因是本年度有人员退休，基本支出减少。</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0.01</w:t>
      </w:r>
      <w:r>
        <w:rPr>
          <w:rFonts w:hint="default" w:ascii="Times New Roman" w:hAnsi="Times New Roman" w:eastAsia="方正仿宋_GBK"/>
          <w:sz w:val="32"/>
          <w:szCs w:val="32"/>
          <w:shd w:val="clear" w:color="auto" w:fill="FFFFFF"/>
        </w:rPr>
        <w:t>万元，与2023年度相比，与上年持平，主要原因是</w:t>
      </w:r>
      <w:r>
        <w:rPr>
          <w:rFonts w:ascii="Times New Roman" w:hAnsi="Times New Roman" w:eastAsia="方正仿宋_GBK"/>
          <w:sz w:val="32"/>
          <w:szCs w:val="32"/>
          <w:shd w:val="clear" w:color="auto" w:fill="FFFFFF"/>
        </w:rPr>
        <w:t>本年度未</w:t>
      </w:r>
      <w:r>
        <w:rPr>
          <w:rFonts w:hint="default" w:ascii="Times New Roman" w:hAnsi="Times New Roman" w:eastAsia="方正仿宋_GBK"/>
          <w:sz w:val="32"/>
          <w:szCs w:val="32"/>
          <w:shd w:val="clear" w:color="auto" w:fill="FFFFFF"/>
        </w:rPr>
        <w:t>使用结转结余。</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9"/>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244.98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74.7%</w:t>
      </w:r>
      <w:r>
        <w:rPr>
          <w:rFonts w:ascii="方正仿宋_GBK" w:hAnsi="方正仿宋_GBK" w:eastAsia="方正仿宋_GBK" w:cs="方正仿宋_GBK"/>
          <w:sz w:val="32"/>
          <w:szCs w:val="32"/>
          <w:shd w:val="clear" w:color="auto" w:fill="FFFFFF"/>
        </w:rPr>
        <w:t>，较年初预算数增加4.54万元，增长1.9%，</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日常机关运行需求增加，</w:t>
      </w:r>
      <w:r>
        <w:rPr>
          <w:rFonts w:hint="default" w:ascii="Times New Roman" w:hAnsi="Times New Roman" w:eastAsia="方正仿宋_GBK"/>
          <w:sz w:val="32"/>
          <w:szCs w:val="32"/>
          <w:shd w:val="clear" w:color="auto" w:fill="FFFFFF"/>
        </w:rPr>
        <w:t>年中进行预算追加</w:t>
      </w:r>
      <w:r>
        <w:rPr>
          <w:rFonts w:ascii="Times New Roman" w:hAnsi="Times New Roman" w:eastAsia="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，较年初预算数减少0.71万元，下降81.6%，</w:t>
      </w:r>
      <w:r>
        <w:rPr>
          <w:rFonts w:hint="default" w:ascii="Times New Roman" w:hAnsi="Times New Roman" w:eastAsia="方正仿宋_GBK"/>
          <w:sz w:val="32"/>
          <w:szCs w:val="32"/>
          <w:shd w:val="clear" w:color="auto" w:fill="FFFFFF"/>
        </w:rPr>
        <w:t>主要原因是本年培训次数减少，培训支出相应减少。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50.71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，较年初预算数减少0.94万元，下降1.8%，</w:t>
      </w:r>
      <w:r>
        <w:rPr>
          <w:rFonts w:hint="default" w:ascii="Times New Roman" w:hAnsi="Times New Roman" w:eastAsia="方正仿宋_GBK"/>
          <w:sz w:val="32"/>
          <w:szCs w:val="32"/>
          <w:shd w:val="clear" w:color="auto" w:fill="FFFFFF"/>
        </w:rPr>
        <w:t>主要原因是本年退休3人，新进1人，社保支出减少。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13.78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，较年初预算数减少1.78万元，下降11.4%，</w:t>
      </w:r>
      <w:r>
        <w:rPr>
          <w:rFonts w:hint="default" w:ascii="Times New Roman" w:hAnsi="Times New Roman" w:eastAsia="方正仿宋_GBK"/>
          <w:sz w:val="32"/>
          <w:szCs w:val="32"/>
          <w:shd w:val="clear" w:color="auto" w:fill="FFFFFF"/>
        </w:rPr>
        <w:t>主要原因是本年退休3人，新进1人，医保支出减少。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rPr>
        <w:t>住房保障支出18.25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w:t>
      </w:r>
      <w:r>
        <w:rPr>
          <w:rFonts w:ascii="方正仿宋_GBK" w:hAnsi="方正仿宋_GBK" w:eastAsia="方正仿宋_GBK" w:cs="方正仿宋_GBK"/>
          <w:sz w:val="32"/>
          <w:szCs w:val="32"/>
          <w:shd w:val="clear" w:color="auto" w:fill="FFFFFF"/>
        </w:rPr>
        <w:t>，较年初预算数减少2.77万元，下降13.2%，</w:t>
      </w:r>
      <w:r>
        <w:rPr>
          <w:rFonts w:hint="default" w:ascii="Times New Roman" w:hAnsi="Times New Roman" w:eastAsia="方正仿宋_GBK"/>
          <w:sz w:val="32"/>
          <w:szCs w:val="32"/>
          <w:shd w:val="clear" w:color="auto" w:fill="FFFFFF"/>
        </w:rPr>
        <w:t>主要原因是本年退休3人，新进1人，住房公积金支出减少。</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313.11</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284.88</w:t>
      </w:r>
      <w:r>
        <w:rPr>
          <w:rFonts w:hint="default" w:ascii="Times New Roman" w:hAnsi="Times New Roman" w:eastAsia="方正仿宋_GBK"/>
          <w:sz w:val="32"/>
          <w:szCs w:val="32"/>
          <w:shd w:val="clear" w:color="auto" w:fill="FFFFFF"/>
        </w:rPr>
        <w:t>万元，与2023年度相比，减少17.45万元，下降5.8%，主要原因是本年退休3人，工资性支出等减少。人员经费用途主要包括</w:t>
      </w:r>
      <w:r>
        <w:rPr>
          <w:rFonts w:hint="default" w:ascii="Times New Roman" w:hAnsi="Times New Roman" w:eastAsia="方正仿宋_GBK"/>
          <w:sz w:val="32"/>
          <w:szCs w:val="32"/>
        </w:rPr>
        <w:t>基本工资、津贴补贴、奖金、社会保障缴费、医疗费、住房公积金等。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28.22</w:t>
      </w:r>
      <w:r>
        <w:rPr>
          <w:rFonts w:hint="default" w:ascii="Times New Roman" w:hAnsi="Times New Roman" w:eastAsia="方正仿宋_GBK"/>
          <w:sz w:val="32"/>
          <w:szCs w:val="32"/>
          <w:shd w:val="clear" w:color="auto" w:fill="FFFFFF"/>
        </w:rPr>
        <w:t>万元，与2023年度相比，减少37.83万元，下降57.3%，主要原因是落实政府</w:t>
      </w:r>
      <w:r>
        <w:rPr>
          <w:rFonts w:hint="default" w:ascii="Times New Roman" w:hAnsi="Times New Roman" w:eastAsia="仿宋_GB2312"/>
          <w:sz w:val="32"/>
          <w:szCs w:val="32"/>
        </w:rPr>
        <w:t>过“紧日子”要求，</w:t>
      </w:r>
      <w:r>
        <w:rPr>
          <w:rFonts w:hint="eastAsia" w:ascii="Times New Roman" w:hAnsi="Times New Roman" w:eastAsia="仿宋_GB2312"/>
          <w:sz w:val="32"/>
          <w:szCs w:val="32"/>
          <w:lang w:eastAsia="zh-CN"/>
        </w:rPr>
        <w:t>三公</w:t>
      </w:r>
      <w:r>
        <w:rPr>
          <w:rFonts w:hint="default" w:ascii="Times New Roman" w:hAnsi="Times New Roman" w:eastAsia="仿宋_GB2312"/>
          <w:sz w:val="32"/>
          <w:szCs w:val="32"/>
        </w:rPr>
        <w:t>经费等减少，资金支出结构不断优化。</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szCs w:val="32"/>
        </w:rPr>
        <w:t>办公费、印刷费、电费、邮电费、培训费、维修（护）费、公务接待费、劳务费、公务用车运行维护费、办公设备购置等。</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sz w:val="32"/>
          <w:szCs w:val="32"/>
          <w:shd w:val="clear" w:color="auto" w:fill="FFFFFF"/>
        </w:rPr>
      </w:pPr>
      <w:r>
        <w:rPr>
          <w:rStyle w:val="9"/>
          <w:rFonts w:hint="default" w:ascii="Times New Roman" w:hAnsi="Times New Roman" w:eastAsia="黑体"/>
          <w:sz w:val="32"/>
          <w:szCs w:val="32"/>
          <w:shd w:val="clear" w:color="auto" w:fill="FFFFFF"/>
        </w:rPr>
        <w:t>三、财政拨款</w:t>
      </w:r>
      <w:r>
        <w:rPr>
          <w:rStyle w:val="9"/>
          <w:rFonts w:hint="eastAsia" w:ascii="Times New Roman" w:hAnsi="Times New Roman" w:eastAsia="黑体"/>
          <w:sz w:val="32"/>
          <w:szCs w:val="32"/>
          <w:shd w:val="clear" w:color="auto" w:fill="FFFFFF"/>
          <w:lang w:eastAsia="zh-CN"/>
        </w:rPr>
        <w:t>三公</w:t>
      </w:r>
      <w:r>
        <w:rPr>
          <w:rStyle w:val="9"/>
          <w:rFonts w:hint="default" w:ascii="Times New Roman" w:hAnsi="Times New Roman" w:eastAsia="黑体"/>
          <w:sz w:val="32"/>
          <w:szCs w:val="32"/>
          <w:shd w:val="clear" w:color="auto" w:fill="FFFFFF"/>
        </w:rPr>
        <w:t>经费情况说明</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13"/>
        <w:autoSpaceDE w:val="0"/>
        <w:adjustRightInd w:val="0"/>
        <w:snapToGrid w:val="0"/>
        <w:spacing w:before="0" w:beforeAutospacing="0" w:after="62" w:afterLines="2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ascii="Times New Roman" w:hAnsi="Times New Roman" w:eastAsia="方正仿宋_GBK"/>
          <w:sz w:val="32"/>
          <w:szCs w:val="32"/>
          <w:shd w:val="clear" w:color="auto" w:fill="FFFFFF"/>
        </w:rPr>
        <w:t>经费支出共计</w:t>
      </w:r>
      <w:r>
        <w:rPr>
          <w:rFonts w:ascii="Times New Roman" w:hAnsi="Times New Roman" w:eastAsia="方正仿宋_GBK"/>
          <w:sz w:val="32"/>
          <w:szCs w:val="32"/>
        </w:rPr>
        <w:t>0.53</w:t>
      </w:r>
      <w:r>
        <w:rPr>
          <w:rFonts w:ascii="Times New Roman" w:hAnsi="Times New Roman" w:eastAsia="方正仿宋_GBK"/>
          <w:sz w:val="32"/>
          <w:szCs w:val="32"/>
          <w:shd w:val="clear" w:color="auto" w:fill="FFFFFF"/>
        </w:rPr>
        <w:t>万元，较年初预算数减少0.47万元，下降47.0%，主要原因是公务接待次数减少，费用相应减少。较上年支出数减少0.10万元，下降15.9%，主要原因是</w:t>
      </w:r>
      <w:r>
        <w:rPr>
          <w:rFonts w:ascii="Times New Roman" w:hAnsi="Times New Roman" w:eastAsia="方正仿宋_GBK"/>
          <w:sz w:val="32"/>
          <w:szCs w:val="32"/>
        </w:rPr>
        <w:t>认真贯彻落实中央八项规定精神和厉行节约要求，从严控制三公经费，全年实际支出较预算和决算均有所下降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强化公务接待支出管理，严格遵守公务接待开支范围和开支标准，严格控制陪餐人数，对应由接待对象承担的费用一律由接待对象自行支付，公务接待费有所下降。</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13"/>
        <w:autoSpaceDE w:val="0"/>
        <w:adjustRightInd w:val="0"/>
        <w:snapToGrid w:val="0"/>
        <w:spacing w:before="0" w:beforeAutospacing="0" w:after="62" w:afterLines="20" w:afterAutospacing="0" w:line="594"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0.53</w:t>
      </w:r>
      <w:r>
        <w:rPr>
          <w:rFonts w:hint="default" w:ascii="Times New Roman" w:hAnsi="Times New Roman" w:eastAsia="方正仿宋_GBK"/>
          <w:sz w:val="32"/>
          <w:szCs w:val="32"/>
          <w:shd w:val="clear" w:color="auto" w:fill="FFFFFF"/>
        </w:rPr>
        <w:t>万元，主要用于按</w:t>
      </w:r>
      <w:r>
        <w:rPr>
          <w:rFonts w:hint="default" w:ascii="Times New Roman" w:hAnsi="Times New Roman" w:eastAsia="方正仿宋_GBK"/>
          <w:sz w:val="32"/>
          <w:szCs w:val="32"/>
        </w:rPr>
        <w:t>规定开支的各类公务接待支出。</w:t>
      </w:r>
      <w:r>
        <w:rPr>
          <w:rFonts w:hint="default" w:ascii="Times New Roman" w:hAnsi="Times New Roman" w:eastAsia="方正仿宋_GBK"/>
          <w:sz w:val="32"/>
          <w:szCs w:val="32"/>
          <w:shd w:val="clear" w:color="auto" w:fill="FFFFFF"/>
        </w:rPr>
        <w:t>费用支出较年初预算数减少0.47万元，下降47.0%，主要原因是本年公务接待次数减少，公务接待费用减少。较上年支出数减少0.10万元，下降15.9%，主要原因是</w:t>
      </w:r>
      <w:r>
        <w:rPr>
          <w:rFonts w:hint="default" w:ascii="Times New Roman" w:hAnsi="Times New Roman" w:eastAsia="方正仿宋_GBK"/>
          <w:sz w:val="32"/>
          <w:szCs w:val="32"/>
        </w:rPr>
        <w:t>强化公务接待支出管理，严格遵守公务接待开支范围和开支标准。</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8</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89</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59.37</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sz w:val="32"/>
          <w:szCs w:val="32"/>
          <w:shd w:val="clear" w:color="auto" w:fill="FFFFFF"/>
        </w:rPr>
      </w:pPr>
      <w:r>
        <w:rPr>
          <w:rStyle w:val="9"/>
          <w:rFonts w:hint="default" w:ascii="Times New Roman" w:hAnsi="Times New Roman" w:eastAsia="黑体"/>
          <w:sz w:val="32"/>
          <w:szCs w:val="32"/>
          <w:shd w:val="clear" w:color="auto" w:fill="FFFFFF"/>
        </w:rPr>
        <w:t>四、其他需要说明的事项</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Times New Roman" w:hAnsi="Times New Roman" w:eastAsia="方正仿宋_GBK"/>
          <w:sz w:val="32"/>
          <w:szCs w:val="32"/>
          <w:shd w:val="clear" w:color="auto" w:fill="FFFFFF"/>
        </w:rPr>
        <w:t>主要原因是本年无会议活动。本年度培训费支出</w:t>
      </w:r>
      <w:r>
        <w:rPr>
          <w:rFonts w:hint="default" w:ascii="Times New Roman" w:hAnsi="Times New Roman" w:eastAsia="方正仿宋_GBK"/>
          <w:sz w:val="32"/>
          <w:szCs w:val="32"/>
        </w:rPr>
        <w:t>7.72</w:t>
      </w:r>
      <w:r>
        <w:rPr>
          <w:rFonts w:hint="default" w:ascii="Times New Roman" w:hAnsi="Times New Roman" w:eastAsia="方正仿宋_GBK"/>
          <w:sz w:val="32"/>
          <w:szCs w:val="32"/>
          <w:shd w:val="clear" w:color="auto" w:fill="FFFFFF"/>
        </w:rPr>
        <w:t>万元，与2023年度相比，减少0.05万元，下降0.6%，主要原因是本年培训次数减少。</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28.22</w:t>
      </w:r>
      <w:r>
        <w:rPr>
          <w:rFonts w:hint="default" w:ascii="Times New Roman" w:hAnsi="Times New Roman" w:eastAsia="方正仿宋_GBK"/>
          <w:sz w:val="32"/>
          <w:szCs w:val="32"/>
          <w:shd w:val="clear" w:color="auto" w:fill="FFFFFF"/>
        </w:rPr>
        <w:t>万元，机关运行经费主要用于开支</w:t>
      </w:r>
      <w:r>
        <w:rPr>
          <w:rFonts w:hint="default" w:ascii="Times New Roman" w:hAnsi="Times New Roman" w:eastAsia="方正仿宋_GBK"/>
          <w:sz w:val="32"/>
          <w:szCs w:val="32"/>
        </w:rPr>
        <w:t>办公费、邮电费、培训费、维修（护）费、劳务费、办公设备购置等。</w:t>
      </w:r>
      <w:r>
        <w:rPr>
          <w:rFonts w:hint="default" w:ascii="Times New Roman" w:hAnsi="Times New Roman" w:eastAsia="方正仿宋_GBK"/>
          <w:sz w:val="32"/>
          <w:szCs w:val="32"/>
          <w:shd w:val="clear" w:color="auto" w:fill="FFFFFF"/>
        </w:rPr>
        <w:t>机关运行经费较上年支出数减少37.83万元，下降57.3%，主要原因是落实政府</w:t>
      </w:r>
      <w:r>
        <w:rPr>
          <w:rFonts w:hint="default" w:ascii="Times New Roman" w:hAnsi="Times New Roman" w:eastAsia="仿宋_GB2312"/>
          <w:sz w:val="32"/>
          <w:szCs w:val="32"/>
        </w:rPr>
        <w:t>过“紧日子”要求，压减不必要开支，支出结构不断优化。</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%。2024年度我单位未发生政府采购事项，无相关经费支出。</w:t>
      </w:r>
    </w:p>
    <w:p>
      <w:pPr>
        <w:pStyle w:val="13"/>
        <w:adjustRightInd w:val="0"/>
        <w:snapToGrid w:val="0"/>
        <w:spacing w:before="0" w:beforeAutospacing="0" w:after="0" w:afterAutospacing="0" w:line="594" w:lineRule="exact"/>
        <w:ind w:firstLine="643" w:firstLineChars="200"/>
        <w:rPr>
          <w:rStyle w:val="9"/>
          <w:rFonts w:ascii="Times New Roman" w:hAnsi="Times New Roman" w:eastAsia="黑体"/>
          <w:sz w:val="32"/>
          <w:szCs w:val="32"/>
          <w:shd w:val="clear" w:color="auto" w:fill="FFFFFF"/>
        </w:rPr>
      </w:pPr>
      <w:r>
        <w:rPr>
          <w:rStyle w:val="9"/>
          <w:rFonts w:ascii="Times New Roman" w:hAnsi="Times New Roman" w:eastAsia="黑体"/>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rPr>
        <w:t>14.77</w:t>
      </w:r>
      <w:r>
        <w:rPr>
          <w:rFonts w:ascii="Times New Roman" w:hAnsi="Times New Roman" w:eastAsia="方正仿宋_GBK"/>
          <w:sz w:val="32"/>
          <w:szCs w:val="32"/>
          <w:shd w:val="clear" w:color="auto" w:fill="FFFFFF"/>
        </w:rPr>
        <w:t>万元</w:t>
      </w:r>
    </w:p>
    <w:p>
      <w:pPr>
        <w:pStyle w:val="13"/>
        <w:adjustRightInd w:val="0"/>
        <w:snapToGrid w:val="0"/>
        <w:spacing w:before="0" w:beforeAutospacing="0" w:after="0" w:afterAutospacing="0" w:line="594" w:lineRule="exact"/>
        <w:ind w:firstLine="643" w:firstLineChars="200"/>
        <w:rPr>
          <w:rFonts w:ascii="Times New Roman" w:hAnsi="Times New Roman" w:eastAsia="方正仿宋_GBK"/>
          <w:b/>
          <w:bCs/>
          <w:sz w:val="32"/>
          <w:szCs w:val="32"/>
          <w:shd w:val="clear" w:color="auto" w:fill="FFFFFF"/>
        </w:rPr>
      </w:pPr>
      <w:r>
        <w:rPr>
          <w:rFonts w:ascii="Times New Roman" w:hAnsi="Times New Roman" w:eastAsia="方正仿宋_GBK"/>
          <w:b/>
          <w:bCs/>
          <w:sz w:val="32"/>
          <w:szCs w:val="32"/>
          <w:shd w:val="clear" w:color="auto" w:fill="FFFFFF"/>
        </w:rPr>
        <w:t>项目支出绩效自评表</w:t>
      </w:r>
    </w:p>
    <w:p>
      <w:pPr>
        <w:pStyle w:val="13"/>
        <w:adjustRightInd w:val="0"/>
        <w:snapToGrid w:val="0"/>
        <w:spacing w:before="0" w:beforeAutospacing="0" w:after="0" w:afterAutospacing="0" w:line="594" w:lineRule="exact"/>
        <w:ind w:firstLine="480" w:firstLineChars="200"/>
        <w:rPr>
          <w:rFonts w:ascii="Times New Roman" w:hAnsi="Times New Roman" w:eastAsia="方正仿宋_GBK"/>
          <w:sz w:val="32"/>
          <w:szCs w:val="32"/>
          <w:highlight w:val="yellow"/>
          <w:shd w:val="clear" w:color="auto" w:fill="FFFFFF"/>
        </w:rPr>
      </w:pPr>
      <w:r>
        <w:drawing>
          <wp:anchor distT="0" distB="0" distL="114300" distR="114300" simplePos="0" relativeHeight="251660288" behindDoc="0" locked="0" layoutInCell="1" allowOverlap="1">
            <wp:simplePos x="0" y="0"/>
            <wp:positionH relativeFrom="column">
              <wp:posOffset>211455</wp:posOffset>
            </wp:positionH>
            <wp:positionV relativeFrom="paragraph">
              <wp:posOffset>104140</wp:posOffset>
            </wp:positionV>
            <wp:extent cx="5275580" cy="3463925"/>
            <wp:effectExtent l="0" t="0" r="12700" b="1079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5580" cy="3463925"/>
                    </a:xfrm>
                    <a:prstGeom prst="rect">
                      <a:avLst/>
                    </a:prstGeom>
                    <a:noFill/>
                    <a:ln>
                      <a:noFill/>
                    </a:ln>
                  </pic:spPr>
                </pic:pic>
              </a:graphicData>
            </a:graphic>
          </wp:anchor>
        </w:drawing>
      </w: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bookmarkStart w:id="0" w:name="_GoBack"/>
      <w:bookmarkEnd w:id="0"/>
    </w:p>
    <w:p>
      <w:pPr>
        <w:pStyle w:val="13"/>
        <w:adjustRightInd w:val="0"/>
        <w:snapToGrid w:val="0"/>
        <w:spacing w:before="0" w:beforeAutospacing="0" w:after="0" w:afterAutospacing="0" w:line="594" w:lineRule="exact"/>
        <w:ind w:firstLine="480" w:firstLineChars="200"/>
        <w:rPr>
          <w:rFonts w:ascii="Times New Roman" w:hAnsi="Times New Roman" w:eastAsia="方正仿宋_GBK"/>
          <w:sz w:val="32"/>
          <w:szCs w:val="32"/>
          <w:highlight w:val="yellow"/>
          <w:shd w:val="clear" w:color="auto" w:fill="FFFFFF"/>
        </w:rPr>
      </w:pPr>
      <w:r>
        <w:drawing>
          <wp:anchor distT="0" distB="0" distL="114300" distR="114300" simplePos="0" relativeHeight="251661312" behindDoc="0" locked="0" layoutInCell="1" allowOverlap="1">
            <wp:simplePos x="0" y="0"/>
            <wp:positionH relativeFrom="column">
              <wp:posOffset>220345</wp:posOffset>
            </wp:positionH>
            <wp:positionV relativeFrom="paragraph">
              <wp:posOffset>347980</wp:posOffset>
            </wp:positionV>
            <wp:extent cx="5276215" cy="3326765"/>
            <wp:effectExtent l="0" t="0" r="1206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6215" cy="3326765"/>
                    </a:xfrm>
                    <a:prstGeom prst="rect">
                      <a:avLst/>
                    </a:prstGeom>
                    <a:noFill/>
                    <a:ln>
                      <a:noFill/>
                    </a:ln>
                  </pic:spPr>
                </pic:pic>
              </a:graphicData>
            </a:graphic>
          </wp:anchor>
        </w:drawing>
      </w: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yellow"/>
          <w:shd w:val="clear" w:color="auto" w:fill="FFFFFF"/>
        </w:rPr>
      </w:pPr>
    </w:p>
    <w:p>
      <w:pPr>
        <w:pStyle w:val="13"/>
        <w:autoSpaceDE w:val="0"/>
        <w:adjustRightInd w:val="0"/>
        <w:snapToGrid w:val="0"/>
        <w:spacing w:before="0" w:beforeAutospacing="0" w:after="0" w:afterAutospacing="0" w:line="594" w:lineRule="exact"/>
        <w:ind w:firstLine="643"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pPr>
        <w:pStyle w:val="12"/>
        <w:autoSpaceDE w:val="0"/>
        <w:adjustRightInd w:val="0"/>
        <w:snapToGrid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lang w:bidi="ar"/>
        </w:rPr>
        <w:t>我单位未组织开展绩效评价。</w:t>
      </w:r>
    </w:p>
    <w:p>
      <w:pPr>
        <w:pStyle w:val="17"/>
        <w:autoSpaceDE w:val="0"/>
        <w:adjustRightInd w:val="0"/>
        <w:snapToGrid w:val="0"/>
        <w:spacing w:line="594" w:lineRule="exact"/>
        <w:ind w:firstLine="643"/>
        <w:rPr>
          <w:rFonts w:hint="default" w:ascii="Times New Roman" w:hAnsi="Times New Roman" w:eastAsia="方正仿宋_GBK"/>
          <w:sz w:val="32"/>
          <w:szCs w:val="32"/>
          <w:shd w:val="clear" w:color="auto" w:fill="FFFFFF"/>
        </w:rPr>
      </w:pPr>
      <w:r>
        <w:rPr>
          <w:rFonts w:hint="default" w:ascii="Times New Roman" w:hAnsi="Times New Roman" w:eastAsia="楷体"/>
          <w:b/>
          <w:bCs/>
          <w:sz w:val="32"/>
          <w:szCs w:val="32"/>
          <w:shd w:val="clear" w:color="auto" w:fill="FFFFFF"/>
          <w:lang w:bidi="ar"/>
        </w:rPr>
        <w:t>（三）财政绩效评价情况</w:t>
      </w:r>
    </w:p>
    <w:p>
      <w:pPr>
        <w:pStyle w:val="13"/>
        <w:autoSpaceDE w:val="0"/>
        <w:adjustRightInd w:val="0"/>
        <w:snapToGrid w:val="0"/>
        <w:spacing w:before="0" w:beforeAutospacing="0" w:after="0" w:afterAutospacing="0" w:line="594" w:lineRule="exact"/>
        <w:ind w:firstLine="640" w:firstLineChars="200"/>
        <w:rPr>
          <w:rStyle w:val="9"/>
          <w:rFonts w:ascii="黑体" w:hAnsi="黑体" w:eastAsia="黑体" w:cs="黑体"/>
          <w:sz w:val="32"/>
          <w:szCs w:val="32"/>
          <w:shd w:val="clear" w:color="auto" w:fill="FFFFFF"/>
        </w:rPr>
      </w:pPr>
      <w:r>
        <w:rPr>
          <w:rFonts w:ascii="Times New Roman" w:hAnsi="Times New Roman" w:eastAsia="方正仿宋_GBK"/>
          <w:sz w:val="32"/>
          <w:szCs w:val="32"/>
          <w:shd w:val="clear" w:color="auto" w:fill="FFFFFF"/>
          <w:lang w:bidi="ar"/>
        </w:rPr>
        <w:t>县财政局未委托第三方对我单位开展绩效评价。</w:t>
      </w:r>
      <w:r>
        <w:rPr>
          <w:rStyle w:val="14"/>
          <w:rFonts w:hint="eastAsia" w:ascii="方正仿宋_GBK" w:hAnsi="方正仿宋_GBK" w:eastAsia="方正仿宋_GBK" w:cs="方正仿宋_GBK"/>
          <w:sz w:val="32"/>
          <w:szCs w:val="32"/>
          <w:shd w:val="clear" w:color="auto" w:fill="FFFFFF"/>
        </w:rPr>
        <w:t xml:space="preserve">   </w:t>
      </w:r>
      <w:r>
        <w:rPr>
          <w:rStyle w:val="9"/>
          <w:rFonts w:hint="eastAsia" w:ascii="黑体" w:hAnsi="黑体" w:eastAsia="黑体" w:cs="黑体"/>
          <w:sz w:val="32"/>
          <w:szCs w:val="32"/>
          <w:shd w:val="clear" w:color="auto" w:fill="FFFFFF"/>
        </w:rPr>
        <w:t xml:space="preserve"> </w:t>
      </w:r>
    </w:p>
    <w:p>
      <w:pPr>
        <w:pStyle w:val="13"/>
        <w:autoSpaceDE w:val="0"/>
        <w:adjustRightInd w:val="0"/>
        <w:snapToGrid w:val="0"/>
        <w:spacing w:before="0" w:beforeAutospacing="0" w:after="0" w:afterAutospacing="0" w:line="594" w:lineRule="exact"/>
        <w:ind w:firstLine="803" w:firstLineChars="250"/>
        <w:rPr>
          <w:rStyle w:val="9"/>
          <w:rFonts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rPr>
        <w:t>六、专业名词解释</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（十二）</w:t>
      </w:r>
      <w:r>
        <w:rPr>
          <w:rStyle w:val="9"/>
          <w:rFonts w:hint="eastAsia" w:ascii="楷体" w:hAnsi="楷体" w:eastAsia="楷体" w:cs="楷体"/>
          <w:sz w:val="32"/>
          <w:szCs w:val="32"/>
          <w:shd w:val="clear" w:color="auto" w:fill="FFFFFF"/>
          <w:lang w:eastAsia="zh-CN"/>
        </w:rPr>
        <w:t>三公</w:t>
      </w:r>
      <w:r>
        <w:rPr>
          <w:rStyle w:val="9"/>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黑体" w:hAnsi="黑体" w:eastAsia="黑体" w:cs="黑体"/>
          <w:sz w:val="32"/>
          <w:szCs w:val="32"/>
          <w:shd w:val="clear" w:color="auto" w:fill="FFFFFF"/>
        </w:rPr>
        <w:t>七、决算公开联系方式及信息反馈渠道</w:t>
      </w:r>
    </w:p>
    <w:p>
      <w:pPr>
        <w:pStyle w:val="13"/>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autoSpaceDE w:val="0"/>
        <w:adjustRightInd w:val="0"/>
        <w:snapToGrid w:val="0"/>
        <w:spacing w:line="594"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贺老师   023-74516510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垫江县会计管理核算中心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垫江县会计管理核算中心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327.88</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327.88</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垫江县会计管理核算中心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327.88</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313.11</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230.21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230.21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垫江县会计管理核算中心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垫江县会计管理核算中心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313.11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230.21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230.21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垫江县会计管理核算中心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284.88</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垫江县会计管理核算中心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垫江县会计管理核算中心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垫江县会计管理核算中心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C0FAA"/>
    <w:rsid w:val="000C508A"/>
    <w:rsid w:val="001D3BB7"/>
    <w:rsid w:val="002B254B"/>
    <w:rsid w:val="0034050A"/>
    <w:rsid w:val="0044504F"/>
    <w:rsid w:val="00466C9B"/>
    <w:rsid w:val="00486CFC"/>
    <w:rsid w:val="00491DDD"/>
    <w:rsid w:val="00550ABE"/>
    <w:rsid w:val="00623A85"/>
    <w:rsid w:val="00770383"/>
    <w:rsid w:val="007819D4"/>
    <w:rsid w:val="007B419D"/>
    <w:rsid w:val="007B7C4B"/>
    <w:rsid w:val="007D3D39"/>
    <w:rsid w:val="007E5F4E"/>
    <w:rsid w:val="008905FF"/>
    <w:rsid w:val="00975776"/>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57B0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9E2D8B"/>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B06AA4"/>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5BE0730"/>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7B7650"/>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A90338"/>
    <w:rsid w:val="56FF7E9E"/>
    <w:rsid w:val="578867FC"/>
    <w:rsid w:val="5842572D"/>
    <w:rsid w:val="59347830"/>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A667D9"/>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CC6A77"/>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before="61"/>
      <w:ind w:left="117"/>
    </w:pPr>
    <w:rPr>
      <w:szCs w:val="3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2155</Words>
  <Characters>12290</Characters>
  <Lines>102</Lines>
  <Paragraphs>28</Paragraphs>
  <TotalTime>12</TotalTime>
  <ScaleCrop>false</ScaleCrop>
  <LinksUpToDate>false</LinksUpToDate>
  <CharactersWithSpaces>14417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贺馨瑶</cp:lastModifiedBy>
  <dcterms:modified xsi:type="dcterms:W3CDTF">2025-09-18T03:36:34Z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