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垫江县预算绩效管理中心</w:t>
      </w:r>
    </w:p>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一、单位基本情况</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sz w:val="32"/>
          <w:szCs w:val="32"/>
        </w:rPr>
      </w:pPr>
      <w:r>
        <w:rPr>
          <w:rStyle w:val="9"/>
          <w:rFonts w:hint="default" w:ascii="Times New Roman" w:hAnsi="Times New Roman" w:eastAsia="楷体"/>
          <w:sz w:val="32"/>
          <w:szCs w:val="32"/>
          <w:shd w:val="clear" w:color="auto" w:fill="FFFFFF"/>
        </w:rPr>
        <w:t>（一）职能职责</w:t>
      </w:r>
    </w:p>
    <w:p>
      <w:pPr>
        <w:pStyle w:val="13"/>
        <w:autoSpaceDE w:val="0"/>
        <w:adjustRightInd w:val="0"/>
        <w:snapToGrid w:val="0"/>
        <w:spacing w:before="0" w:beforeAutospacing="0" w:after="62" w:afterLines="20" w:afterAutospacing="0" w:line="594" w:lineRule="exact"/>
        <w:ind w:firstLine="640" w:firstLineChars="200"/>
        <w:rPr>
          <w:rFonts w:ascii="Times New Roman" w:hAnsi="Times New Roman"/>
          <w:sz w:val="28"/>
          <w:szCs w:val="28"/>
        </w:rPr>
      </w:pPr>
      <w:r>
        <w:rPr>
          <w:rFonts w:ascii="Times New Roman" w:hAnsi="Times New Roman" w:eastAsia="方正仿宋_GBK"/>
          <w:sz w:val="32"/>
          <w:szCs w:val="32"/>
        </w:rPr>
        <w:t>贯彻执行财政预算绩效管理政策、规划；制定预算绩效目标、绩效运行跟踪监控、绩效评价及评价结果反馈应用的管理制度和实施办法；负责牵头建立预算绩效管理机制和评级体系及县级财政预算绩效目标管理。</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楷体"/>
          <w:sz w:val="32"/>
          <w:szCs w:val="32"/>
        </w:rPr>
      </w:pPr>
      <w:r>
        <w:rPr>
          <w:rStyle w:val="9"/>
          <w:rFonts w:hint="default" w:ascii="Times New Roman" w:hAnsi="Times New Roman" w:eastAsia="楷体"/>
          <w:sz w:val="32"/>
          <w:szCs w:val="32"/>
          <w:shd w:val="clear" w:color="auto" w:fill="FFFFFF"/>
        </w:rPr>
        <w:t>（二）机构设置</w:t>
      </w:r>
    </w:p>
    <w:p>
      <w:pPr>
        <w:pStyle w:val="13"/>
        <w:autoSpaceDE w:val="0"/>
        <w:adjustRightInd w:val="0"/>
        <w:snapToGrid w:val="0"/>
        <w:spacing w:before="0" w:beforeAutospacing="0" w:after="62" w:afterLines="20" w:afterAutospacing="0" w:line="594" w:lineRule="exact"/>
        <w:ind w:firstLine="640" w:firstLineChars="200"/>
        <w:rPr>
          <w:rFonts w:ascii="Times New Roman" w:hAnsi="Times New Roman"/>
        </w:rPr>
      </w:pPr>
      <w:r>
        <w:rPr>
          <w:rFonts w:ascii="Times New Roman" w:hAnsi="Times New Roman" w:eastAsia="方正仿宋_GBK"/>
          <w:sz w:val="32"/>
          <w:szCs w:val="32"/>
          <w:shd w:val="clear" w:color="auto" w:fill="FFFFFF"/>
        </w:rPr>
        <w:t>垫江县预算绩效管理中心事业编制10人，现在编在岗共计9人。</w:t>
      </w:r>
      <w:r>
        <w:rPr>
          <w:rFonts w:ascii="Times New Roman" w:hAnsi="Times New Roman" w:eastAsia="方正仿宋_GBK"/>
          <w:sz w:val="32"/>
          <w:szCs w:val="32"/>
        </w:rPr>
        <w:t>内设3个职能科室，分别是综合科、绩效评审科、绩效监督科。</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sz w:val="32"/>
          <w:szCs w:val="32"/>
        </w:rPr>
      </w:pPr>
      <w:r>
        <w:rPr>
          <w:rStyle w:val="9"/>
          <w:rFonts w:hint="default" w:ascii="Times New Roman" w:hAnsi="Times New Roman" w:eastAsia="黑体"/>
          <w:sz w:val="32"/>
          <w:szCs w:val="32"/>
          <w:shd w:val="clear" w:color="auto" w:fill="FFFFFF"/>
        </w:rPr>
        <w:t>二、单位决算收支情况说明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仿宋_GB2312"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2024年度收入总计215.01万元，支出总计</w:t>
      </w:r>
      <w:r>
        <w:rPr>
          <w:rFonts w:hint="default" w:ascii="Times New Roman" w:hAnsi="Times New Roman" w:eastAsia="方正仿宋_GBK" w:cs="Times New Roman"/>
          <w:sz w:val="32"/>
          <w:szCs w:val="32"/>
        </w:rPr>
        <w:t>215.01</w:t>
      </w:r>
      <w:r>
        <w:rPr>
          <w:rFonts w:hint="default" w:ascii="Times New Roman" w:hAnsi="Times New Roman" w:eastAsia="方正仿宋_GBK" w:cs="Times New Roman"/>
          <w:sz w:val="32"/>
          <w:szCs w:val="32"/>
          <w:shd w:val="clear" w:color="auto" w:fill="FFFFFF"/>
        </w:rPr>
        <w:t>万元。收、支与2023年度相比，增加15.89万元，增长8.0%，主要原因是</w:t>
      </w:r>
      <w:r>
        <w:rPr>
          <w:rFonts w:hint="default" w:ascii="Times New Roman" w:hAnsi="Times New Roman" w:eastAsia="仿宋_GB2312" w:cs="Times New Roman"/>
          <w:sz w:val="32"/>
          <w:szCs w:val="32"/>
        </w:rPr>
        <w:t>项目经费增加。</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2024年度收入合计214.47万元，与2023年度相比，增加19.49万元，增长10.0%，主要原因是</w:t>
      </w:r>
      <w:r>
        <w:rPr>
          <w:rFonts w:hint="default" w:ascii="Times New Roman" w:hAnsi="Times New Roman" w:eastAsia="仿宋_GB2312" w:cs="Times New Roman"/>
          <w:sz w:val="32"/>
          <w:szCs w:val="32"/>
        </w:rPr>
        <w:t>人员经费、项目经费增加。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214.47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214.47</w:t>
      </w:r>
      <w:r>
        <w:rPr>
          <w:rFonts w:hint="default" w:ascii="Times New Roman" w:hAnsi="Times New Roman" w:eastAsia="方正仿宋_GBK" w:cs="Times New Roman"/>
          <w:sz w:val="32"/>
          <w:szCs w:val="32"/>
          <w:shd w:val="clear" w:color="auto" w:fill="FFFFFF"/>
        </w:rPr>
        <w:t>万元，与2023年度相比，增加15.89万元，增长8.0%，主要原因是</w:t>
      </w:r>
      <w:r>
        <w:rPr>
          <w:rFonts w:hint="default" w:ascii="Times New Roman" w:hAnsi="Times New Roman" w:eastAsia="仿宋_GB2312" w:cs="Times New Roman"/>
          <w:sz w:val="32"/>
          <w:szCs w:val="32"/>
        </w:rPr>
        <w:t>人员经费、项目支出增加。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190.58</w:t>
      </w:r>
      <w:r>
        <w:rPr>
          <w:rFonts w:hint="default" w:ascii="Times New Roman" w:hAnsi="Times New Roman" w:eastAsia="方正仿宋_GBK" w:cs="Times New Roman"/>
          <w:sz w:val="32"/>
          <w:szCs w:val="32"/>
          <w:shd w:val="clear" w:color="auto" w:fill="FFFFFF"/>
        </w:rPr>
        <w:t>万元，占88.9%；项目支出</w:t>
      </w:r>
      <w:r>
        <w:rPr>
          <w:rFonts w:hint="default" w:ascii="Times New Roman" w:hAnsi="Times New Roman" w:eastAsia="方正仿宋_GBK" w:cs="Times New Roman"/>
          <w:sz w:val="32"/>
          <w:szCs w:val="32"/>
        </w:rPr>
        <w:t>23.89</w:t>
      </w:r>
      <w:r>
        <w:rPr>
          <w:rFonts w:hint="default" w:ascii="Times New Roman" w:hAnsi="Times New Roman" w:eastAsia="方正仿宋_GBK" w:cs="Times New Roman"/>
          <w:sz w:val="32"/>
          <w:szCs w:val="32"/>
          <w:shd w:val="clear" w:color="auto" w:fill="FFFFFF"/>
        </w:rPr>
        <w:t>万元，占11.1%；经营支出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万元，与2023年度相比，与上年持平，主要原因是本年度未使用结转结余。</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2024年度财政拨款收、支总计215.01万元。与2023年相比，财政拨款收、支总计各增加15.89万元，增长8.0%。主要原因是</w:t>
      </w:r>
      <w:r>
        <w:rPr>
          <w:rFonts w:hint="default" w:ascii="Times New Roman" w:hAnsi="Times New Roman" w:eastAsia="仿宋_GB2312" w:cs="Times New Roman"/>
          <w:sz w:val="32"/>
          <w:szCs w:val="32"/>
        </w:rPr>
        <w:t>人员经费、项目经费增加。</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214.47</w:t>
      </w:r>
      <w:r>
        <w:rPr>
          <w:rFonts w:hint="default" w:ascii="Times New Roman" w:hAnsi="Times New Roman" w:eastAsia="方正仿宋_GBK" w:cs="Times New Roman"/>
          <w:sz w:val="32"/>
          <w:szCs w:val="32"/>
          <w:shd w:val="clear" w:color="auto" w:fill="FFFFFF"/>
        </w:rPr>
        <w:t>万元，与2023年度相比，增加19.49万元，增长10.0%。主要原因是</w:t>
      </w:r>
      <w:r>
        <w:rPr>
          <w:rFonts w:hint="default" w:ascii="Times New Roman" w:hAnsi="Times New Roman" w:eastAsia="仿宋_GB2312" w:cs="Times New Roman"/>
          <w:sz w:val="32"/>
          <w:szCs w:val="32"/>
        </w:rPr>
        <w:t>人员经费、项目经费增加。</w:t>
      </w:r>
      <w:r>
        <w:rPr>
          <w:rFonts w:hint="default" w:ascii="Times New Roman" w:hAnsi="Times New Roman" w:eastAsia="方正仿宋_GBK" w:cs="Times New Roman"/>
          <w:sz w:val="32"/>
          <w:szCs w:val="32"/>
          <w:shd w:val="clear" w:color="auto" w:fill="FFFFFF"/>
        </w:rPr>
        <w:t>较年初预算数增加27.19万元，增长14.5%。主要原因是日常运行需求增加，年中进行预算追加。此外，年初财政拨款结转和结余</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214.47</w:t>
      </w:r>
      <w:r>
        <w:rPr>
          <w:rFonts w:hint="default" w:ascii="Times New Roman" w:hAnsi="Times New Roman" w:eastAsia="方正仿宋_GBK" w:cs="Times New Roman"/>
          <w:sz w:val="32"/>
          <w:szCs w:val="32"/>
          <w:shd w:val="clear" w:color="auto" w:fill="FFFFFF"/>
        </w:rPr>
        <w:t>万元，与2023年度相比，增加15.89万元，增长8.0%。主要原因是基本支出增加。较年初预算数增加27.19万元，增长14.5%。主要原因是日常运行支出增加，年中进行预算追加。</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万元，与2023年度相比，与上年持平，主要原因是本年度未使用结转结余。</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160.27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74.7%</w:t>
      </w:r>
      <w:r>
        <w:rPr>
          <w:rFonts w:hint="default" w:ascii="Times New Roman" w:hAnsi="Times New Roman" w:eastAsia="方正仿宋_GBK" w:cs="Times New Roman"/>
          <w:sz w:val="32"/>
          <w:szCs w:val="32"/>
          <w:shd w:val="clear" w:color="auto" w:fill="FFFFFF"/>
        </w:rPr>
        <w:t>，较年初预算数增加0.88万元，增长0.6%，主要原因是人员经费支出增加。</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w:t>
      </w:r>
      <w:r>
        <w:rPr>
          <w:rFonts w:hint="default" w:ascii="Times New Roman" w:hAnsi="Times New Roman" w:eastAsia="方正仿宋_GBK" w:cs="Times New Roman"/>
          <w:sz w:val="32"/>
          <w:szCs w:val="32"/>
          <w:shd w:val="clear" w:color="auto" w:fill="FFFFFF"/>
        </w:rPr>
        <w:t>，较年初预算数减少0.28万元，下降62.2%，主要原因是培训次数减少，培训费用减少。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32.03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14.9%</w:t>
      </w:r>
      <w:r>
        <w:rPr>
          <w:rFonts w:hint="default" w:ascii="Times New Roman" w:hAnsi="Times New Roman" w:eastAsia="方正仿宋_GBK" w:cs="Times New Roman"/>
          <w:sz w:val="32"/>
          <w:szCs w:val="32"/>
          <w:shd w:val="clear" w:color="auto" w:fill="FFFFFF"/>
        </w:rPr>
        <w:t>，较年初预算数增加17.72万元，增长123.8%，主要原因是缴费基数变化。</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9.12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w:t>
      </w:r>
      <w:r>
        <w:rPr>
          <w:rFonts w:hint="default" w:ascii="Times New Roman" w:hAnsi="Times New Roman" w:eastAsia="方正仿宋_GBK" w:cs="Times New Roman"/>
          <w:sz w:val="32"/>
          <w:szCs w:val="32"/>
          <w:shd w:val="clear" w:color="auto" w:fill="FFFFFF"/>
        </w:rPr>
        <w:t>，较年初预算数增加3.16万元，增长53.0%，主要原因是缴费基数变化。</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住房保障支出12.88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w:t>
      </w:r>
      <w:r>
        <w:rPr>
          <w:rFonts w:hint="default" w:ascii="Times New Roman" w:hAnsi="Times New Roman" w:eastAsia="方正仿宋_GBK" w:cs="Times New Roman"/>
          <w:sz w:val="32"/>
          <w:szCs w:val="32"/>
          <w:shd w:val="clear" w:color="auto" w:fill="FFFFFF"/>
        </w:rPr>
        <w:t>，较年初预算数增加5.72万元，增长79.9%，主要原因是缴费基数变化。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190.58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178.62</w:t>
      </w:r>
      <w:r>
        <w:rPr>
          <w:rFonts w:hint="default" w:ascii="Times New Roman" w:hAnsi="Times New Roman" w:eastAsia="方正仿宋_GBK" w:cs="Times New Roman"/>
          <w:sz w:val="32"/>
          <w:szCs w:val="32"/>
          <w:shd w:val="clear" w:color="auto" w:fill="FFFFFF"/>
        </w:rPr>
        <w:t>万元，与2023年度相比，增加21.69万元，增长13.8%，主要原因是涉及晋级增资，且社保等缴费基数发生变化。人员经费用途主要包括基本工资、津贴补贴、社会保障缴费、医疗费、住房公积金等。公用经费</w:t>
      </w:r>
      <w:r>
        <w:rPr>
          <w:rFonts w:hint="default" w:ascii="Times New Roman" w:hAnsi="Times New Roman" w:eastAsia="方正仿宋_GBK" w:cs="Times New Roman"/>
          <w:sz w:val="32"/>
          <w:szCs w:val="32"/>
        </w:rPr>
        <w:t>11.96</w:t>
      </w:r>
      <w:r>
        <w:rPr>
          <w:rFonts w:hint="default" w:ascii="Times New Roman" w:hAnsi="Times New Roman" w:eastAsia="方正仿宋_GBK" w:cs="Times New Roman"/>
          <w:sz w:val="32"/>
          <w:szCs w:val="32"/>
          <w:shd w:val="clear" w:color="auto" w:fill="FFFFFF"/>
        </w:rPr>
        <w:t>万元，与2023年度相比，减少14.69万元，下降55.1%，主要原因是落实政府</w:t>
      </w:r>
      <w:r>
        <w:rPr>
          <w:rFonts w:hint="default" w:ascii="Times New Roman" w:hAnsi="Times New Roman" w:eastAsia="仿宋_GB2312" w:cs="Times New Roman"/>
          <w:sz w:val="32"/>
          <w:szCs w:val="32"/>
        </w:rPr>
        <w:t>过“紧日子”要求，支出结构不断优化。</w:t>
      </w:r>
      <w:r>
        <w:rPr>
          <w:rFonts w:hint="default" w:ascii="Times New Roman" w:hAnsi="Times New Roman" w:eastAsia="方正仿宋_GBK" w:cs="Times New Roman"/>
          <w:sz w:val="32"/>
          <w:szCs w:val="32"/>
          <w:shd w:val="clear" w:color="auto" w:fill="FFFFFF"/>
        </w:rPr>
        <w:t>公用经费用途主要包括办公费、印刷费、邮电费、维修（护）费、劳务费、办公设备购置等。</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w:t>
      </w:r>
      <w:r>
        <w:rPr>
          <w:rFonts w:hint="default"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三、财政拨款</w:t>
      </w:r>
      <w:r>
        <w:rPr>
          <w:rStyle w:val="9"/>
          <w:rFonts w:hint="default" w:ascii="Times New Roman" w:hAnsi="Times New Roman" w:eastAsia="黑体" w:cs="Times New Roman"/>
          <w:sz w:val="32"/>
          <w:szCs w:val="32"/>
          <w:shd w:val="clear" w:color="auto" w:fill="FFFFFF"/>
          <w:lang w:eastAsia="zh-CN"/>
        </w:rPr>
        <w:t>三公</w:t>
      </w:r>
      <w:r>
        <w:rPr>
          <w:rStyle w:val="9"/>
          <w:rFonts w:hint="default" w:ascii="Times New Roman" w:hAnsi="Times New Roman" w:eastAsia="黑体" w:cs="Times New Roman"/>
          <w:sz w:val="32"/>
          <w:szCs w:val="32"/>
          <w:shd w:val="clear" w:color="auto" w:fill="FFFFFF"/>
        </w:rPr>
        <w:t>经费情况说明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万元，较年初预算数减少0.10万元，下降100.0%，主要原因是本单位没有公务接待活动。较上年支出数无增减，主要原因是本单位没有公务接待活动。</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13"/>
        <w:autoSpaceDE w:val="0"/>
        <w:adjustRightInd w:val="0"/>
        <w:snapToGrid w:val="0"/>
        <w:spacing w:before="0" w:beforeAutospacing="0" w:after="62" w:afterLines="2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万元，主要用于按</w:t>
      </w:r>
      <w:r>
        <w:rPr>
          <w:rFonts w:hint="default" w:ascii="Times New Roman" w:hAnsi="Times New Roman" w:eastAsia="方正仿宋_GBK" w:cs="Times New Roman"/>
          <w:sz w:val="32"/>
          <w:szCs w:val="32"/>
        </w:rPr>
        <w:t>规定开支的各类公务接待支出。</w:t>
      </w:r>
      <w:r>
        <w:rPr>
          <w:rFonts w:hint="default" w:ascii="Times New Roman" w:hAnsi="Times New Roman" w:eastAsia="方正仿宋_GBK" w:cs="Times New Roman"/>
          <w:sz w:val="32"/>
          <w:szCs w:val="32"/>
          <w:shd w:val="clear" w:color="auto" w:fill="FFFFFF"/>
        </w:rPr>
        <w:t>费用支出较年初预算数减少0.10万元，下降100.0%，较上年支出数无增减。本单位2024年未发生公务接待费用。</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万元，与2023年度相比，与上年持平，主要原因是本年无会议活动。本年度培训费支出</w:t>
      </w:r>
      <w:r>
        <w:rPr>
          <w:rFonts w:hint="default" w:ascii="Times New Roman" w:hAnsi="Times New Roman" w:eastAsia="方正仿宋_GBK" w:cs="Times New Roman"/>
          <w:sz w:val="32"/>
          <w:szCs w:val="32"/>
        </w:rPr>
        <w:t>0.17</w:t>
      </w:r>
      <w:r>
        <w:rPr>
          <w:rFonts w:hint="default" w:ascii="Times New Roman" w:hAnsi="Times New Roman" w:eastAsia="方正仿宋_GBK" w:cs="Times New Roman"/>
          <w:sz w:val="32"/>
          <w:szCs w:val="32"/>
          <w:shd w:val="clear" w:color="auto" w:fill="FFFFFF"/>
        </w:rPr>
        <w:t>万元，与2023年度相比，增加0.16万元，增长1600.0%，</w:t>
      </w:r>
      <w:r>
        <w:rPr>
          <w:rFonts w:hint="default" w:ascii="Times New Roman" w:hAnsi="Times New Roman" w:eastAsia="方正仿宋_GBK" w:cs="Times New Roman"/>
          <w:sz w:val="32"/>
          <w:szCs w:val="32"/>
          <w:highlight w:val="none"/>
          <w:shd w:val="clear" w:color="auto" w:fill="FFFFFF"/>
        </w:rPr>
        <w:t>主要原因是事业人员公需科目、继续教育培训增加，费用相应增加。</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3"/>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根据预算绩效管理要求，我单位2个二级项目开展了绩效自评，涉及财政拨款项目支出资金23.89万元</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项目支出绩效自评表</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480" w:firstLineChars="200"/>
        <w:rPr>
          <w:rFonts w:hint="default" w:ascii="Times New Roman" w:hAnsi="Times New Roman" w:eastAsia="方正仿宋_GBK" w:cs="Times New Roman"/>
          <w:sz w:val="32"/>
          <w:szCs w:val="32"/>
        </w:rPr>
      </w:pPr>
      <w:r>
        <w:drawing>
          <wp:anchor distT="0" distB="0" distL="114300" distR="114300" simplePos="0" relativeHeight="251658240" behindDoc="0" locked="0" layoutInCell="1" allowOverlap="1">
            <wp:simplePos x="0" y="0"/>
            <wp:positionH relativeFrom="column">
              <wp:posOffset>135890</wp:posOffset>
            </wp:positionH>
            <wp:positionV relativeFrom="paragraph">
              <wp:posOffset>168910</wp:posOffset>
            </wp:positionV>
            <wp:extent cx="5554345" cy="3374390"/>
            <wp:effectExtent l="0" t="0" r="8255" b="889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554345" cy="3374390"/>
                    </a:xfrm>
                    <a:prstGeom prst="rect">
                      <a:avLst/>
                    </a:prstGeom>
                    <a:noFill/>
                    <a:ln>
                      <a:noFill/>
                    </a:ln>
                  </pic:spPr>
                </pic:pic>
              </a:graphicData>
            </a:graphic>
          </wp:anchor>
        </w:drawing>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480" w:firstLineChars="200"/>
        <w:rPr>
          <w:rFonts w:hint="default" w:ascii="Times New Roman" w:hAnsi="Times New Roman" w:eastAsia="方正仿宋_GBK" w:cs="Times New Roman"/>
          <w:sz w:val="32"/>
          <w:szCs w:val="32"/>
        </w:rPr>
      </w:pPr>
      <w:bookmarkStart w:id="0" w:name="_GoBack"/>
      <w:r>
        <w:drawing>
          <wp:anchor distT="0" distB="0" distL="114300" distR="114300" simplePos="0" relativeHeight="251659264" behindDoc="0" locked="0" layoutInCell="1" allowOverlap="1">
            <wp:simplePos x="0" y="0"/>
            <wp:positionH relativeFrom="column">
              <wp:posOffset>170180</wp:posOffset>
            </wp:positionH>
            <wp:positionV relativeFrom="paragraph">
              <wp:posOffset>277495</wp:posOffset>
            </wp:positionV>
            <wp:extent cx="4958715" cy="3408045"/>
            <wp:effectExtent l="0" t="0" r="9525" b="571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4958715" cy="3408045"/>
                    </a:xfrm>
                    <a:prstGeom prst="rect">
                      <a:avLst/>
                    </a:prstGeom>
                    <a:noFill/>
                    <a:ln>
                      <a:noFill/>
                    </a:ln>
                  </pic:spPr>
                </pic:pic>
              </a:graphicData>
            </a:graphic>
          </wp:anchor>
        </w:drawing>
      </w:r>
    </w:p>
    <w:bookmarkEnd w:id="0"/>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p>
    <w:p>
      <w:pPr>
        <w:pStyle w:val="13"/>
        <w:autoSpaceDE w:val="0"/>
        <w:adjustRightInd w:val="0"/>
        <w:snapToGrid w:val="0"/>
        <w:spacing w:before="0" w:beforeAutospacing="0" w:after="0" w:afterAutospacing="0" w:line="594" w:lineRule="exact"/>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lang w:bidi="ar"/>
        </w:rPr>
        <w:t>我单位未组织开展绩效评价。</w:t>
      </w:r>
    </w:p>
    <w:p>
      <w:pPr>
        <w:pStyle w:val="17"/>
        <w:autoSpaceDE w:val="0"/>
        <w:adjustRightInd w:val="0"/>
        <w:snapToGrid w:val="0"/>
        <w:spacing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7"/>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lang w:bidi="ar"/>
        </w:rPr>
        <w:t>县财政局未委托第三方对我单位开展绩效评价。</w:t>
      </w: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六、专业名词解释</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（十二）</w:t>
      </w:r>
      <w:r>
        <w:rPr>
          <w:rStyle w:val="9"/>
          <w:rFonts w:hint="default" w:ascii="Times New Roman" w:hAnsi="Times New Roman" w:eastAsia="楷体" w:cs="Times New Roman"/>
          <w:sz w:val="32"/>
          <w:szCs w:val="32"/>
          <w:shd w:val="clear" w:color="auto" w:fill="FFFFFF"/>
          <w:lang w:eastAsia="zh-CN"/>
        </w:rPr>
        <w:t>三公</w:t>
      </w:r>
      <w:r>
        <w:rPr>
          <w:rStyle w:val="9"/>
          <w:rFonts w:hint="default" w:ascii="Times New Roman" w:hAnsi="Times New Roman" w:eastAsia="楷体"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黑体" w:cs="Times New Roman"/>
          <w:sz w:val="32"/>
          <w:szCs w:val="32"/>
          <w:shd w:val="clear" w:color="auto" w:fill="FFFFFF"/>
        </w:rPr>
        <w:t>七、决算公开联系方式及信息反馈渠道</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贺老师   023-74516510</w:t>
      </w:r>
    </w:p>
    <w:p>
      <w:pPr>
        <w:pStyle w:val="12"/>
        <w:autoSpaceDE w:val="0"/>
        <w:adjustRightInd w:val="0"/>
        <w:snapToGrid w:val="0"/>
        <w:spacing w:line="594" w:lineRule="exact"/>
        <w:ind w:firstLine="643"/>
        <w:jc w:val="both"/>
        <w:rPr>
          <w:rStyle w:val="9"/>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垫江县预算绩效管理中心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214.47</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160.27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32.03</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214.47</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214.47</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0.54</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0.54</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215.01</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215.01</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垫江县预算绩效管理中心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214.47</w:t>
            </w:r>
            <w:r>
              <w:rPr>
                <w:rFonts w:hint="default" w:ascii="Times New Roman" w:hAnsi="Times New Roman" w:cs="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214.47</w:t>
            </w:r>
            <w:r>
              <w:rPr>
                <w:rFonts w:hint="default" w:ascii="Times New Roman" w:hAnsi="Times New Roman" w:cs="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预算改革业务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2010650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136.38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136.38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其他财政事务支出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垫江县预算绩效管理中心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214.47</w:t>
            </w:r>
            <w:r>
              <w:rPr>
                <w:rFonts w:hint="default" w:ascii="Times New Roman" w:hAnsi="Times New Roman" w:cs="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190.58</w:t>
            </w:r>
            <w:r>
              <w:rPr>
                <w:rFonts w:hint="default" w:ascii="Times New Roman" w:hAnsi="Times New Roman" w:cs="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23.89</w:t>
            </w:r>
            <w:r>
              <w:rPr>
                <w:rFonts w:hint="default" w:ascii="Times New Roman" w:hAnsi="Times New Roman" w:cs="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136.38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23.89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136.38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23.89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预算改革业务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2010650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136.38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136.38</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其他财政事务支出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21.44</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10.59</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垫江县预算绩效管理中心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214.47</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160.27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160.27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214.47</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214.47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214.47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0.54</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0.54</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215.01</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215.01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215.01</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垫江县预算绩效管理中心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214.47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190.58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23.89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136.38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23.89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160.27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136.38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23.89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预算改革业务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20.50</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136.38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136.38</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3.39</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0.17</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0.17</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32.03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21.44</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21.44</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10.59</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12.88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12.88</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垫江县预算绩效管理中心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176.46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31.12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77.49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21.44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178.62</w:t>
            </w:r>
            <w:r>
              <w:rPr>
                <w:rFonts w:hint="default" w:ascii="Times New Roman" w:hAnsi="Times New Roman" w:cs="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11.96</w:t>
            </w:r>
            <w:r>
              <w:rPr>
                <w:rFonts w:hint="default" w:ascii="Times New Roman" w:hAnsi="Times New Roman" w:cs="Times New Roman"/>
                <w:color w:val="000000"/>
                <w:sz w:val="18"/>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垫江县预算绩效管理中心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垫江县预算绩效管理中心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垫江县预算绩效管理中心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default" w:ascii="Times New Roman" w:hAnsi="Times New Roman" w:cs="Times New Roman"/>
                <w:b/>
                <w:color w:val="000000"/>
                <w:kern w:val="2"/>
                <w:sz w:val="16"/>
                <w:szCs w:val="16"/>
                <w:lang w:eastAsia="zh-CN"/>
              </w:rPr>
              <w:t>三公</w:t>
            </w:r>
            <w:r>
              <w:rPr>
                <w:rFonts w:hint="default" w:ascii="Times New Roman" w:hAnsi="Times New Roman" w:cs="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0.17</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adjustRightInd w:val="0"/>
        <w:snapToGrid w:val="0"/>
        <w:spacing w:line="594" w:lineRule="exact"/>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default" w:ascii="Times New Roman" w:hAnsi="Times New Roman" w:cs="Times New Roman"/>
          <w:sz w:val="18"/>
          <w:szCs w:val="18"/>
          <w:lang w:eastAsia="zh-CN"/>
        </w:rPr>
        <w:t>三公</w:t>
      </w:r>
      <w:r>
        <w:rPr>
          <w:rFonts w:hint="default" w:ascii="Times New Roman" w:hAnsi="Times New Roman" w:cs="Times New Roman"/>
          <w:sz w:val="18"/>
          <w:szCs w:val="18"/>
        </w:rPr>
        <w:t>经费支出预决算情况。其中，预算数为</w:t>
      </w:r>
      <w:r>
        <w:rPr>
          <w:rFonts w:hint="default" w:ascii="Times New Roman" w:hAnsi="Times New Roman" w:cs="Times New Roman"/>
          <w:sz w:val="18"/>
          <w:szCs w:val="18"/>
          <w:lang w:eastAsia="zh-CN"/>
        </w:rPr>
        <w:t>三公</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A36DC"/>
    <w:rsid w:val="0044504F"/>
    <w:rsid w:val="00466C9B"/>
    <w:rsid w:val="00486CFC"/>
    <w:rsid w:val="00491DDD"/>
    <w:rsid w:val="00550ABE"/>
    <w:rsid w:val="00623A85"/>
    <w:rsid w:val="006C447B"/>
    <w:rsid w:val="00770383"/>
    <w:rsid w:val="007819D4"/>
    <w:rsid w:val="007B419D"/>
    <w:rsid w:val="007B7C4B"/>
    <w:rsid w:val="007D3D39"/>
    <w:rsid w:val="008B5FF6"/>
    <w:rsid w:val="00984C6A"/>
    <w:rsid w:val="00994AF7"/>
    <w:rsid w:val="009B67B8"/>
    <w:rsid w:val="009C14C9"/>
    <w:rsid w:val="009D2B67"/>
    <w:rsid w:val="009E1452"/>
    <w:rsid w:val="00A31F7B"/>
    <w:rsid w:val="00A566F9"/>
    <w:rsid w:val="00A94DE8"/>
    <w:rsid w:val="00A95312"/>
    <w:rsid w:val="00AE6E1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7DC2ADC"/>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FB219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FF061D"/>
    <w:rsid w:val="163A6CEE"/>
    <w:rsid w:val="16D26AC3"/>
    <w:rsid w:val="173708E3"/>
    <w:rsid w:val="17C374FC"/>
    <w:rsid w:val="182E4AB6"/>
    <w:rsid w:val="189079DC"/>
    <w:rsid w:val="189B0D0B"/>
    <w:rsid w:val="18B43F7C"/>
    <w:rsid w:val="191C433B"/>
    <w:rsid w:val="194A1770"/>
    <w:rsid w:val="19B906A4"/>
    <w:rsid w:val="1A1060CE"/>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F442C3"/>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8A5251"/>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FA24D8"/>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44B17"/>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87B77A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uiPriority w:val="0"/>
    <w:pPr>
      <w:spacing w:before="61"/>
      <w:ind w:left="117"/>
    </w:pPr>
    <w:rPr>
      <w:szCs w:val="3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24</Pages>
  <Words>2053</Words>
  <Characters>11706</Characters>
  <Lines>97</Lines>
  <Paragraphs>27</Paragraphs>
  <TotalTime>1</TotalTime>
  <ScaleCrop>false</ScaleCrop>
  <LinksUpToDate>false</LinksUpToDate>
  <CharactersWithSpaces>13732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贺馨瑶</cp:lastModifiedBy>
  <cp:lastPrinted>2025-09-15T07:26:00Z</cp:lastPrinted>
  <dcterms:modified xsi:type="dcterms:W3CDTF">2025-09-18T03:48:57Z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