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中国共产党垫江县委员会办公室</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1、负责党的路线、方针、政策贯彻落实情况的督促检查，负责上级党委、县委重大决策和重要工作部署的督促落实。</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2、负责上级党委、县委重要会议精神的贯彻落实及领导批示的督查落实，抓好督办、检查、信息反馈和协调工作。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3、负责对全县重要情况进行调查研究和收集整理，及时向县委及县委领导报送有参考价值的情况、信息和建议；办理中央、市委、市级部门的来文；办理各乡镇（街道）、县级各部门上报县委的文件等相关材料，为县委领导做好各项服务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4、负责县委书记、副书记的重要报告、讲话及县委日常文书的起草、修改、送审工作。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5、负责县委及县委办文件的校对、印制、分发、清退、归档以及各类电报、信函的传递、保密工作。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6、负责县委各种会议的承办和县委领导重要活动的组织安排、协调联络工作。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7、承担县委决策督查和专项查办工作，做好县委督查工作领导小组办公室工作。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8、履行全面从严治党主体责任，严肃党纪党规，选准用好干部，推进作风建设常态化制度化。</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9、负责上级领导和有关外来客人的接待工作。</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10、档案管理，执法监督与检查。</w:t>
      </w:r>
    </w:p>
    <w:p>
      <w:pPr>
        <w:pStyle w:val="6"/>
        <w:adjustRightInd w:val="0"/>
        <w:snapToGrid w:val="0"/>
        <w:spacing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11、机关事务管理工作。</w:t>
      </w:r>
    </w:p>
    <w:p>
      <w:pPr>
        <w:pStyle w:val="6"/>
        <w:adjustRightInd w:val="0"/>
        <w:snapToGrid w:val="0"/>
        <w:spacing w:before="0" w:beforeAutospacing="0" w:after="0" w:afterAutospacing="0" w:line="540"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rPr>
        <w:t>12、完成县委、县委领导和上级党委办公室交办的其他工作任务。</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480" w:firstLineChars="150"/>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olor w:val="000000" w:themeColor="text1"/>
          <w:sz w:val="32"/>
          <w:szCs w:val="32"/>
        </w:rPr>
        <w:t>中共垫江县委办公室对外加挂中共垫江县委保密委员会办公室、中共垫江县委机要局、垫江县档案局牌子。中共垫江县委办公室内设综合科、秘书一科、秘书二科、秘书三科、督查科、会联科、文秘科、信息科、法规科、机关事务科、档案工作科、行政科等</w:t>
      </w:r>
      <w:r>
        <w:rPr>
          <w:rFonts w:hint="default" w:ascii="Times New Roman" w:hAnsi="Times New Roman" w:eastAsia="方正仿宋_GBK"/>
          <w:color w:val="000000" w:themeColor="text1"/>
          <w:sz w:val="32"/>
          <w:szCs w:val="32"/>
        </w:rPr>
        <w:t>15个科室。从预算单位构成看，纳入本部门202</w:t>
      </w:r>
      <w:r>
        <w:rPr>
          <w:rFonts w:ascii="Times New Roman" w:hAnsi="Times New Roman" w:eastAsia="方正仿宋_GBK"/>
          <w:color w:val="000000" w:themeColor="text1"/>
          <w:sz w:val="32"/>
          <w:szCs w:val="32"/>
        </w:rPr>
        <w:t>4</w:t>
      </w:r>
      <w:r>
        <w:rPr>
          <w:rFonts w:hint="default" w:ascii="Times New Roman" w:hAnsi="Times New Roman" w:eastAsia="方正仿宋_GBK"/>
          <w:color w:val="000000" w:themeColor="text1"/>
          <w:sz w:val="32"/>
          <w:szCs w:val="32"/>
        </w:rPr>
        <w:t>年度决算编制的二级预算单位主要包括</w:t>
      </w:r>
      <w:r>
        <w:rPr>
          <w:rFonts w:ascii="Times New Roman" w:hAnsi="Times New Roman" w:eastAsia="方正仿宋_GBK"/>
          <w:color w:val="000000" w:themeColor="text1"/>
          <w:sz w:val="32"/>
          <w:szCs w:val="32"/>
        </w:rPr>
        <w:t>中国</w:t>
      </w:r>
      <w:r>
        <w:rPr>
          <w:rFonts w:hint="default" w:ascii="Times New Roman" w:hAnsi="Times New Roman" w:eastAsia="方正仿宋_GBK"/>
          <w:color w:val="000000" w:themeColor="text1"/>
          <w:sz w:val="32"/>
          <w:szCs w:val="32"/>
        </w:rPr>
        <w:t>共产党垫江县委员会</w:t>
      </w:r>
      <w:r>
        <w:rPr>
          <w:rFonts w:ascii="Times New Roman" w:hAnsi="Times New Roman" w:eastAsia="方正仿宋_GBK"/>
          <w:color w:val="000000" w:themeColor="text1"/>
          <w:sz w:val="32"/>
          <w:szCs w:val="32"/>
        </w:rPr>
        <w:t>办公室</w:t>
      </w:r>
      <w:r>
        <w:rPr>
          <w:rFonts w:hint="default" w:ascii="Times New Roman" w:hAnsi="Times New Roman" w:eastAsia="方正仿宋_GBK"/>
          <w:color w:val="000000" w:themeColor="text1"/>
          <w:sz w:val="32"/>
          <w:szCs w:val="32"/>
        </w:rPr>
        <w:t>本级及垫江县</w:t>
      </w:r>
      <w:r>
        <w:rPr>
          <w:rFonts w:ascii="Times New Roman" w:hAnsi="Times New Roman" w:eastAsia="方正仿宋_GBK"/>
          <w:color w:val="000000" w:themeColor="text1"/>
          <w:sz w:val="32"/>
          <w:szCs w:val="32"/>
        </w:rPr>
        <w:t>机关事务</w:t>
      </w:r>
      <w:r>
        <w:rPr>
          <w:rFonts w:hint="default" w:ascii="Times New Roman" w:hAnsi="Times New Roman" w:eastAsia="方正仿宋_GBK"/>
          <w:color w:val="000000" w:themeColor="text1"/>
          <w:sz w:val="32"/>
          <w:szCs w:val="32"/>
        </w:rPr>
        <w:t>中心（含垫江县委政策研究中心、</w:t>
      </w:r>
      <w:r>
        <w:rPr>
          <w:rFonts w:ascii="Arial Rounded MT Bold" w:hAnsi="方正仿宋_GBK" w:eastAsia="方正仿宋_GBK" w:cs="方正仿宋_GBK"/>
          <w:color w:val="000000"/>
          <w:sz w:val="32"/>
          <w:szCs w:val="32"/>
        </w:rPr>
        <w:t>垫江县党政信息化和保密技术保障中心</w:t>
      </w:r>
      <w:r>
        <w:rPr>
          <w:rFonts w:hint="default"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2024年度收入总计7287.65万元，支出总计</w:t>
      </w:r>
      <w:r>
        <w:rPr>
          <w:rFonts w:ascii="方正仿宋_GBK" w:hAnsi="方正仿宋_GBK" w:eastAsia="方正仿宋_GBK" w:cs="方正仿宋_GBK"/>
          <w:sz w:val="32"/>
          <w:szCs w:val="32"/>
        </w:rPr>
        <w:t>7287.65</w:t>
      </w:r>
      <w:r>
        <w:rPr>
          <w:rFonts w:ascii="方正仿宋_GBK" w:hAnsi="方正仿宋_GBK" w:eastAsia="方正仿宋_GBK" w:cs="方正仿宋_GBK"/>
          <w:sz w:val="32"/>
          <w:szCs w:val="32"/>
          <w:shd w:val="clear" w:color="auto" w:fill="FFFFFF"/>
        </w:rPr>
        <w:t>万元。收、支与2023年度相比，增加4795.41万元，增长192.4%，</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2024年度收入合计6874.86万元，与2023年度相比，增加4472.70万元，增长186.2%，</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6874.43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412.79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7265.92</w:t>
      </w:r>
      <w:r>
        <w:rPr>
          <w:rFonts w:ascii="方正仿宋_GBK" w:hAnsi="方正仿宋_GBK" w:eastAsia="方正仿宋_GBK" w:cs="方正仿宋_GBK"/>
          <w:sz w:val="32"/>
          <w:szCs w:val="32"/>
          <w:shd w:val="clear" w:color="auto" w:fill="FFFFFF"/>
        </w:rPr>
        <w:t>万元，与2023年度相比，增加4796.92万元，增长194.3%，</w:t>
      </w:r>
      <w:r>
        <w:rPr>
          <w:rFonts w:hint="default" w:ascii="Times New Roman" w:hAnsi="Times New Roman" w:eastAsia="方正仿宋_GBK"/>
          <w:color w:val="000000" w:themeColor="text1"/>
          <w:sz w:val="32"/>
          <w:szCs w:val="32"/>
          <w:shd w:val="clear" w:color="auto" w:fill="FFFFFF"/>
        </w:rPr>
        <w:t>主要原因是主要原因是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1668.35</w:t>
      </w:r>
      <w:r>
        <w:rPr>
          <w:rFonts w:ascii="方正仿宋_GBK" w:hAnsi="方正仿宋_GBK" w:eastAsia="方正仿宋_GBK" w:cs="方正仿宋_GBK"/>
          <w:sz w:val="32"/>
          <w:szCs w:val="32"/>
          <w:shd w:val="clear" w:color="auto" w:fill="FFFFFF"/>
        </w:rPr>
        <w:t>万元，占23.0%；项目支出</w:t>
      </w:r>
      <w:r>
        <w:rPr>
          <w:rFonts w:ascii="方正仿宋_GBK" w:hAnsi="方正仿宋_GBK" w:eastAsia="方正仿宋_GBK" w:cs="方正仿宋_GBK"/>
          <w:sz w:val="32"/>
          <w:szCs w:val="32"/>
        </w:rPr>
        <w:t>5597.57</w:t>
      </w:r>
      <w:r>
        <w:rPr>
          <w:rFonts w:ascii="方正仿宋_GBK" w:hAnsi="方正仿宋_GBK" w:eastAsia="方正仿宋_GBK" w:cs="方正仿宋_GBK"/>
          <w:sz w:val="32"/>
          <w:szCs w:val="32"/>
          <w:shd w:val="clear" w:color="auto" w:fill="FFFFFF"/>
        </w:rPr>
        <w:t>万元，占77.0%；经营支出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21.73</w:t>
      </w:r>
      <w:r>
        <w:rPr>
          <w:rFonts w:ascii="方正仿宋_GBK" w:hAnsi="方正仿宋_GBK" w:eastAsia="方正仿宋_GBK" w:cs="方正仿宋_GBK"/>
          <w:sz w:val="32"/>
          <w:szCs w:val="32"/>
          <w:shd w:val="clear" w:color="auto" w:fill="FFFFFF"/>
        </w:rPr>
        <w:t>万元，与2023年度相比，减少1.51万元，下降6.5%，</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w:t>
      </w:r>
      <w:r>
        <w:rPr>
          <w:rFonts w:hint="default" w:ascii="仿宋_GB2312" w:hAnsi="仿宋" w:eastAsia="仿宋_GB2312"/>
          <w:sz w:val="32"/>
          <w:szCs w:val="32"/>
        </w:rPr>
        <w:t>使用结转结余。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7280.94万元。与2023年相比，财政拨款收、支总计各增加4794.69万元，增长192.9%。主要原因是机构改革原机关后勤服务中心撤销合并到本单位后人员增加和项目增加导致人员经费和公用经费、项目资金拨款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6874.43</w:t>
      </w:r>
      <w:r>
        <w:rPr>
          <w:rFonts w:ascii="方正仿宋_GBK" w:hAnsi="方正仿宋_GBK" w:eastAsia="方正仿宋_GBK" w:cs="方正仿宋_GBK"/>
          <w:sz w:val="32"/>
          <w:szCs w:val="32"/>
          <w:shd w:val="clear" w:color="auto" w:fill="FFFFFF"/>
        </w:rPr>
        <w:t>万元，与2023年度相比，增加4475.88万元，增长186.6%。</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较年初预算数增加5115.27万元，增长290.8%。</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机构改革原机关后勤服务中心撤销合并，调整预算</w:t>
      </w:r>
      <w:r>
        <w:rPr>
          <w:rFonts w:hint="default" w:ascii="仿宋_GB2312" w:hAnsi="仿宋" w:eastAsia="仿宋_GB2312"/>
          <w:sz w:val="32"/>
          <w:szCs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406.50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7265.92</w:t>
      </w:r>
      <w:r>
        <w:rPr>
          <w:rFonts w:ascii="方正仿宋_GBK" w:hAnsi="方正仿宋_GBK" w:eastAsia="方正仿宋_GBK" w:cs="方正仿宋_GBK"/>
          <w:sz w:val="32"/>
          <w:szCs w:val="32"/>
          <w:shd w:val="clear" w:color="auto" w:fill="FFFFFF"/>
        </w:rPr>
        <w:t>万元，与2023年度相比，增加4796.92万元，增长194.3%。</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kern w:val="2"/>
          <w:sz w:val="32"/>
          <w:szCs w:val="32"/>
        </w:rPr>
        <w:t>。</w:t>
      </w:r>
      <w:r>
        <w:rPr>
          <w:rFonts w:ascii="方正仿宋_GBK" w:hAnsi="方正仿宋_GBK" w:eastAsia="方正仿宋_GBK" w:cs="方正仿宋_GBK"/>
          <w:sz w:val="32"/>
          <w:szCs w:val="32"/>
          <w:shd w:val="clear" w:color="auto" w:fill="FFFFFF"/>
        </w:rPr>
        <w:t>较年初预算数增加5506.76万元，增长313.0%。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机构改革原机关后勤服务中心撤销合并，调整预算</w:t>
      </w:r>
      <w:r>
        <w:rPr>
          <w:rFonts w:hint="default" w:ascii="仿宋_GB2312" w:hAnsi="仿宋" w:eastAsia="仿宋_GB2312"/>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15.02</w:t>
      </w:r>
      <w:r>
        <w:rPr>
          <w:rFonts w:ascii="方正仿宋_GBK" w:hAnsi="方正仿宋_GBK" w:eastAsia="方正仿宋_GBK" w:cs="方正仿宋_GBK"/>
          <w:sz w:val="32"/>
          <w:szCs w:val="32"/>
          <w:shd w:val="clear" w:color="auto" w:fill="FFFFFF"/>
        </w:rPr>
        <w:t>万元，与2023年度相比，减少2.23万元，下降12.9%，</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w:t>
      </w:r>
      <w:r>
        <w:rPr>
          <w:rFonts w:hint="default" w:ascii="仿宋_GB2312" w:hAnsi="仿宋" w:eastAsia="仿宋_GB2312"/>
          <w:sz w:val="32"/>
          <w:szCs w:val="32"/>
        </w:rPr>
        <w:t>使用结转结余。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6777.45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93.3%</w:t>
      </w:r>
      <w:r>
        <w:rPr>
          <w:rFonts w:ascii="方正仿宋_GBK" w:hAnsi="方正仿宋_GBK" w:eastAsia="方正仿宋_GBK" w:cs="方正仿宋_GBK"/>
          <w:sz w:val="32"/>
          <w:szCs w:val="32"/>
          <w:shd w:val="clear" w:color="auto" w:fill="FFFFFF"/>
        </w:rPr>
        <w:t>，较年初预算数增加5341.74万元，增长372.1%，</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sz w:val="32"/>
          <w:szCs w:val="32"/>
        </w:rPr>
        <w:t>和项目增加</w:t>
      </w:r>
      <w:r>
        <w:rPr>
          <w:rFonts w:hint="default" w:ascii="Times New Roman" w:hAnsi="Times New Roman" w:eastAsia="方正仿宋_GBK"/>
          <w:color w:val="000000" w:themeColor="text1"/>
          <w:sz w:val="32"/>
          <w:szCs w:val="32"/>
        </w:rPr>
        <w:t>导致人员经费和公用经费</w:t>
      </w:r>
      <w:r>
        <w:rPr>
          <w:rFonts w:ascii="Times New Roman" w:hAnsi="Times New Roman" w:eastAsia="方正仿宋_GBK"/>
          <w:color w:val="000000" w:themeColor="text1"/>
          <w:sz w:val="32"/>
          <w:szCs w:val="32"/>
        </w:rPr>
        <w:t>、项目资金</w:t>
      </w:r>
      <w:r>
        <w:rPr>
          <w:rFonts w:hint="default" w:ascii="Times New Roman" w:hAnsi="Times New Roman" w:eastAsia="方正仿宋_GBK"/>
          <w:color w:val="000000" w:themeColor="text1"/>
          <w:sz w:val="32"/>
          <w:szCs w:val="32"/>
        </w:rPr>
        <w:t>拨款增加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11.41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，较年初预算数增加8.44万元，增长284.2%，</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kern w:val="2"/>
          <w:sz w:val="32"/>
          <w:szCs w:val="32"/>
        </w:rPr>
        <w:t>职工教育支出</w:t>
      </w:r>
      <w:r>
        <w:rPr>
          <w:rFonts w:ascii="Times New Roman" w:hAnsi="Times New Roman" w:eastAsia="方正仿宋_GBK"/>
          <w:color w:val="000000" w:themeColor="text1"/>
          <w:kern w:val="2"/>
          <w:sz w:val="32"/>
          <w:szCs w:val="32"/>
        </w:rPr>
        <w:t>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325.31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，较年初预算数增加120.46万元，增长58.8%，</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机构改革原机关后勤服务中心撤销合并到机关事务中心后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w:t>
      </w:r>
      <w:r>
        <w:rPr>
          <w:rFonts w:hint="default" w:ascii="Times New Roman" w:hAnsi="Times New Roman" w:eastAsia="方正仿宋_GBK"/>
          <w:color w:val="000000" w:themeColor="text1"/>
          <w:kern w:val="2"/>
          <w:sz w:val="32"/>
          <w:szCs w:val="32"/>
        </w:rPr>
        <w:t>在职和退休人员工资福利、基数调整，社保缴费比例增加</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63.65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w:t>
      </w:r>
      <w:r>
        <w:rPr>
          <w:rFonts w:ascii="方正仿宋_GBK" w:hAnsi="方正仿宋_GBK" w:eastAsia="方正仿宋_GBK" w:cs="方正仿宋_GBK"/>
          <w:sz w:val="32"/>
          <w:szCs w:val="32"/>
          <w:shd w:val="clear" w:color="auto" w:fill="FFFFFF"/>
        </w:rPr>
        <w:t>，较年初预算数增加13.54万元，增长27.0%，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机构改革原机关后勤服务中心撤销合并到机关事务中心后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所致</w:t>
      </w:r>
      <w:r>
        <w:rPr>
          <w:rFonts w:hint="default" w:ascii="Times New Roman" w:hAnsi="Times New Roman" w:eastAsia="方正仿宋_GBK"/>
          <w:color w:val="000000" w:themeColor="text1"/>
          <w:sz w:val="32"/>
          <w:szCs w:val="32"/>
          <w:shd w:val="clear" w:color="auto" w:fill="FFFFFF"/>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住房保障支出88.10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，较年初预算数增加22.57万元，增长34.4%，</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机构改革原机关后勤服务中心撤销合并到机关事务中心后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所致</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1668.35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1429.06</w:t>
      </w:r>
      <w:r>
        <w:rPr>
          <w:rFonts w:ascii="方正仿宋_GBK" w:hAnsi="方正仿宋_GBK" w:eastAsia="方正仿宋_GBK" w:cs="方正仿宋_GBK"/>
          <w:sz w:val="32"/>
          <w:szCs w:val="32"/>
          <w:shd w:val="clear" w:color="auto" w:fill="FFFFFF"/>
        </w:rPr>
        <w:t>万元，与2023年度相比，增加294.11万元，增长25.9%，</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机构改革原机关后勤服务中心撤销合并到机关事务中心后</w:t>
      </w:r>
      <w:r>
        <w:rPr>
          <w:rFonts w:hint="default" w:ascii="Times New Roman" w:hAnsi="Times New Roman" w:eastAsia="方正仿宋_GBK"/>
          <w:color w:val="000000" w:themeColor="text1"/>
          <w:sz w:val="32"/>
          <w:szCs w:val="32"/>
        </w:rPr>
        <w:t>人员增加</w:t>
      </w:r>
      <w:r>
        <w:rPr>
          <w:rFonts w:ascii="Times New Roman" w:hAnsi="Times New Roman" w:eastAsia="方正仿宋_GBK"/>
          <w:color w:val="000000" w:themeColor="text1"/>
          <w:kern w:val="2"/>
          <w:sz w:val="32"/>
          <w:szCs w:val="32"/>
        </w:rPr>
        <w:t>所致</w:t>
      </w:r>
      <w:r>
        <w:rPr>
          <w:rFonts w:hint="default" w:ascii="Times New Roman" w:hAnsi="Times New Roman" w:eastAsia="方正仿宋_GBK"/>
          <w:color w:val="000000" w:themeColor="text1"/>
          <w:sz w:val="32"/>
          <w:szCs w:val="32"/>
          <w:shd w:val="clear" w:color="auto" w:fill="FFFFFF"/>
        </w:rPr>
        <w:t>。人员经费用途主要包括</w:t>
      </w:r>
      <w:r>
        <w:rPr>
          <w:rFonts w:hint="default" w:ascii="Times New Roman" w:hAnsi="Times New Roman" w:eastAsia="方正仿宋_GBK"/>
          <w:color w:val="000000" w:themeColor="text1"/>
          <w:sz w:val="32"/>
          <w:szCs w:val="32"/>
        </w:rPr>
        <w:t>基本工资、津贴补贴、奖金、社会保障缴费、公积金缴费</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239.28</w:t>
      </w:r>
      <w:r>
        <w:rPr>
          <w:rFonts w:ascii="方正仿宋_GBK" w:hAnsi="方正仿宋_GBK" w:eastAsia="方正仿宋_GBK" w:cs="方正仿宋_GBK"/>
          <w:sz w:val="32"/>
          <w:szCs w:val="32"/>
          <w:shd w:val="clear" w:color="auto" w:fill="FFFFFF"/>
        </w:rPr>
        <w:t>万元，与2023年度相比，减少90.69万元，下降27.5%，</w:t>
      </w:r>
      <w:r>
        <w:rPr>
          <w:rFonts w:hint="default" w:ascii="Times New Roman" w:hAnsi="Times New Roman" w:eastAsia="方正仿宋_GBK"/>
          <w:color w:val="000000" w:themeColor="text1"/>
          <w:sz w:val="32"/>
          <w:szCs w:val="32"/>
          <w:shd w:val="clear" w:color="auto" w:fill="FFFFFF"/>
        </w:rPr>
        <w:t>主要原因是财政落实过紧日子要求，大力压缩一般性开支，导致公用经费减少。公用经费用途主要包括</w:t>
      </w:r>
      <w:r>
        <w:rPr>
          <w:rFonts w:hint="default" w:ascii="Times New Roman" w:hAnsi="Times New Roman" w:eastAsia="方正仿宋_GBK"/>
          <w:color w:val="000000" w:themeColor="text1"/>
          <w:sz w:val="32"/>
          <w:szCs w:val="32"/>
        </w:rPr>
        <w:t>公务接待、机关后勤服务、办公费、印刷费、咨询费、手续费、水电费、电话费、差旅费、会议费、培训费、公务用车运行维护费、其他交通费用等</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rPr>
        <w:t>是本年度无政府性基金预算财政拨款支出。本部门2024年度无政府性基金预算财政拨款收支。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151.30</w:t>
      </w:r>
      <w:r>
        <w:rPr>
          <w:rFonts w:ascii="方正仿宋_GBK" w:hAnsi="方正仿宋_GBK" w:eastAsia="方正仿宋_GBK" w:cs="方正仿宋_GBK"/>
          <w:sz w:val="32"/>
          <w:szCs w:val="32"/>
          <w:shd w:val="clear" w:color="auto" w:fill="FFFFFF"/>
        </w:rPr>
        <w:t>万元，较年初预算数减少260.70万元，下降63.3%，</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机构改革原机关后勤服务中心撤销合并到本单位后，公务用车服务平台54辆公务车辆划转至渝垫集团后，公务用车运行维护费大幅减少所致</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较上年支出数增加26.95万元，增长21.7%，</w:t>
      </w:r>
      <w:r>
        <w:rPr>
          <w:rFonts w:hint="default" w:ascii="Times New Roman" w:hAnsi="Times New Roman" w:eastAsia="方正仿宋_GBK"/>
          <w:color w:val="000000" w:themeColor="text1"/>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机构改革新增原机关后勤服务中心</w:t>
      </w:r>
      <w:r>
        <w:rPr>
          <w:rFonts w:ascii="仿宋_GB2312" w:hAnsi="仿宋" w:eastAsia="仿宋_GB2312"/>
          <w:sz w:val="32"/>
          <w:szCs w:val="32"/>
        </w:rPr>
        <w:t>公务用车服务平台公务用车运行维护费用所致</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119.72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hint="default" w:ascii="Times New Roman" w:hAnsi="Times New Roman" w:eastAsia="方正仿宋_GBK"/>
          <w:color w:val="000000" w:themeColor="text1"/>
          <w:sz w:val="32"/>
          <w:szCs w:val="32"/>
        </w:rPr>
        <w:t>市</w:t>
      </w:r>
      <w:r>
        <w:rPr>
          <w:rFonts w:hint="default" w:ascii="Times New Roman" w:hAnsi="Times New Roman" w:eastAsia="方正仿宋_GBK"/>
          <w:color w:val="000000" w:themeColor="text1"/>
          <w:kern w:val="2"/>
          <w:sz w:val="32"/>
          <w:szCs w:val="32"/>
        </w:rPr>
        <w:t>内因公出行、下乡调研和检查督察、机要文件交换等工作所需车辆的</w:t>
      </w:r>
      <w:r>
        <w:rPr>
          <w:rFonts w:hint="eastAsia" w:ascii="Times New Roman" w:hAnsi="Times New Roman" w:eastAsia="方正仿宋_GBK"/>
          <w:color w:val="000000" w:themeColor="text1"/>
          <w:kern w:val="2"/>
          <w:sz w:val="32"/>
          <w:szCs w:val="32"/>
          <w:lang w:eastAsia="zh-CN"/>
        </w:rPr>
        <w:t>燃</w:t>
      </w:r>
      <w:bookmarkStart w:id="0" w:name="_GoBack"/>
      <w:bookmarkEnd w:id="0"/>
      <w:r>
        <w:rPr>
          <w:rFonts w:hint="default" w:ascii="Times New Roman" w:hAnsi="Times New Roman" w:eastAsia="方正仿宋_GBK"/>
          <w:color w:val="000000" w:themeColor="text1"/>
          <w:kern w:val="2"/>
          <w:sz w:val="32"/>
          <w:szCs w:val="32"/>
        </w:rPr>
        <w:t>料费、维修费、过路费、保险费等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费用支出较年初预算数减少222.28万元，下降65.0%，</w:t>
      </w:r>
      <w:r>
        <w:rPr>
          <w:rFonts w:hint="default" w:ascii="Times New Roman" w:hAnsi="Times New Roman" w:eastAsia="方正仿宋_GBK"/>
          <w:color w:val="000000" w:themeColor="text1"/>
          <w:sz w:val="32"/>
          <w:szCs w:val="32"/>
          <w:shd w:val="clear" w:color="auto" w:fill="FFFFFF"/>
        </w:rPr>
        <w:t>主要原因是</w:t>
      </w:r>
      <w:r>
        <w:rPr>
          <w:rFonts w:ascii="仿宋_GB2312" w:hAnsi="仿宋" w:eastAsia="仿宋_GB2312"/>
          <w:sz w:val="32"/>
          <w:szCs w:val="32"/>
        </w:rPr>
        <w:t>机构改革原机关后勤服务中心撤销合并到本单位后，公务用车服务平台54辆公务车辆划转至渝垫集团后，公务用车运行维护费大幅减少所致</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较上年支出数增加61.74万元，增长106.5%，</w:t>
      </w:r>
      <w:r>
        <w:rPr>
          <w:rFonts w:hint="default" w:ascii="Times New Roman" w:hAnsi="Times New Roman" w:eastAsia="方正仿宋_GBK"/>
          <w:color w:val="000000" w:themeColor="text1"/>
          <w:sz w:val="32"/>
          <w:szCs w:val="32"/>
          <w:shd w:val="clear" w:color="auto" w:fill="FFFFFF"/>
        </w:rPr>
        <w:t>主要原因是</w:t>
      </w:r>
      <w:r>
        <w:rPr>
          <w:rFonts w:ascii="Times New Roman" w:hAnsi="Times New Roman" w:eastAsia="方正仿宋_GBK"/>
          <w:color w:val="000000" w:themeColor="text1"/>
          <w:sz w:val="32"/>
          <w:szCs w:val="32"/>
          <w:shd w:val="clear" w:color="auto" w:fill="FFFFFF"/>
        </w:rPr>
        <w:t>机构改革新增原机关后勤服务中心</w:t>
      </w:r>
      <w:r>
        <w:rPr>
          <w:rFonts w:ascii="仿宋_GB2312" w:hAnsi="仿宋" w:eastAsia="仿宋_GB2312"/>
          <w:sz w:val="32"/>
          <w:szCs w:val="32"/>
        </w:rPr>
        <w:t>公务用车服务平台公务用车运行维护费用所致</w:t>
      </w:r>
      <w:r>
        <w:rPr>
          <w:rFonts w:hint="default" w:ascii="Times New Roman" w:hAnsi="Times New Roman" w:eastAsia="方正仿宋_GBK"/>
          <w:color w:val="000000" w:themeColor="text1"/>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主要用于</w:t>
      </w:r>
      <w:r>
        <w:rPr>
          <w:rFonts w:hint="default" w:ascii="Times New Roman" w:hAnsi="Times New Roman" w:eastAsia="方正仿宋_GBK"/>
          <w:color w:val="000000" w:themeColor="text1"/>
          <w:sz w:val="32"/>
          <w:szCs w:val="32"/>
        </w:rPr>
        <w:t>县级公务接待</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费用支出较年初预算数减少38.42万元，下降54.9%，</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严格公务接待标准，以及</w:t>
      </w:r>
      <w:r>
        <w:rPr>
          <w:rFonts w:ascii="Times New Roman" w:hAnsi="Times New Roman" w:eastAsia="方正仿宋_GBK"/>
          <w:color w:val="000000" w:themeColor="text1"/>
          <w:sz w:val="32"/>
          <w:szCs w:val="32"/>
          <w:shd w:val="clear" w:color="auto" w:fill="FFFFFF"/>
        </w:rPr>
        <w:t>接待人员批次及数量较上年大幅减少</w:t>
      </w:r>
      <w:r>
        <w:rPr>
          <w:rFonts w:ascii="Times New Roman" w:hAnsi="Times New Roman" w:eastAsia="方正仿宋_GBK"/>
          <w:color w:val="000000" w:themeColor="text1"/>
          <w:sz w:val="32"/>
          <w:szCs w:val="32"/>
        </w:rPr>
        <w:t>。</w:t>
      </w:r>
      <w:r>
        <w:rPr>
          <w:rFonts w:ascii="方正仿宋_GBK" w:hAnsi="方正仿宋_GBK" w:eastAsia="方正仿宋_GBK" w:cs="方正仿宋_GBK"/>
          <w:sz w:val="32"/>
          <w:szCs w:val="32"/>
          <w:shd w:val="clear" w:color="auto" w:fill="FFFFFF"/>
        </w:rPr>
        <w:t>较上年支出数减少34.79万元，下降52.4%，</w:t>
      </w:r>
      <w:r>
        <w:rPr>
          <w:rFonts w:hint="default" w:ascii="Times New Roman" w:hAnsi="Times New Roman" w:eastAsia="方正仿宋_GBK"/>
          <w:color w:val="000000" w:themeColor="text1"/>
          <w:sz w:val="32"/>
          <w:szCs w:val="32"/>
          <w:shd w:val="clear" w:color="auto" w:fill="FFFFFF"/>
        </w:rPr>
        <w:t>主要原因是</w:t>
      </w:r>
      <w:r>
        <w:rPr>
          <w:rFonts w:ascii="方正仿宋_GBK" w:eastAsia="方正仿宋_GBK"/>
          <w:sz w:val="32"/>
          <w:szCs w:val="32"/>
        </w:rPr>
        <w:t>严格公务接待标准，以及</w:t>
      </w:r>
      <w:r>
        <w:rPr>
          <w:rFonts w:ascii="Times New Roman" w:hAnsi="Times New Roman" w:eastAsia="方正仿宋_GBK"/>
          <w:color w:val="000000" w:themeColor="text1"/>
          <w:sz w:val="32"/>
          <w:szCs w:val="32"/>
          <w:shd w:val="clear" w:color="auto" w:fill="FFFFFF"/>
        </w:rPr>
        <w:t>接待人员批次及数量较上年大幅减少</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1587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198.99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29.93</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3.09</w:t>
      </w:r>
      <w:r>
        <w:rPr>
          <w:rFonts w:ascii="方正仿宋_GBK" w:hAnsi="方正仿宋_GBK" w:eastAsia="方正仿宋_GBK" w:cs="方正仿宋_GBK"/>
          <w:sz w:val="32"/>
          <w:szCs w:val="32"/>
          <w:shd w:val="clear" w:color="auto" w:fill="FFFFFF"/>
        </w:rPr>
        <w:t>万元，与2023年度相比，减少8.40万元，下降73.1%，</w:t>
      </w:r>
      <w:r>
        <w:rPr>
          <w:rFonts w:hint="default" w:ascii="Times New Roman" w:hAnsi="Times New Roman" w:eastAsia="方正仿宋_GBK"/>
          <w:color w:val="000000" w:themeColor="text1"/>
          <w:sz w:val="32"/>
          <w:szCs w:val="32"/>
          <w:shd w:val="clear" w:color="auto" w:fill="FFFFFF"/>
        </w:rPr>
        <w:t>主要原因是本年度大型会议减少导致会议费用减少。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11.41</w:t>
      </w:r>
      <w:r>
        <w:rPr>
          <w:rFonts w:ascii="方正仿宋_GBK" w:hAnsi="方正仿宋_GBK" w:eastAsia="方正仿宋_GBK" w:cs="方正仿宋_GBK"/>
          <w:sz w:val="32"/>
          <w:szCs w:val="32"/>
          <w:shd w:val="clear" w:color="auto" w:fill="FFFFFF"/>
        </w:rPr>
        <w:t>万元，与2023年度相比，减少1.85万元，下降14.0%，</w:t>
      </w:r>
      <w:r>
        <w:rPr>
          <w:rFonts w:hint="default" w:ascii="Times New Roman" w:hAnsi="Times New Roman"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rPr>
        <w:t>单位举办的</w:t>
      </w:r>
      <w:r>
        <w:rPr>
          <w:rFonts w:ascii="Times New Roman" w:hAnsi="Times New Roman" w:eastAsia="方正仿宋_GBK"/>
          <w:color w:val="000000" w:themeColor="text1"/>
          <w:sz w:val="32"/>
          <w:szCs w:val="32"/>
        </w:rPr>
        <w:t>县级培训会议次数减少</w:t>
      </w:r>
      <w:r>
        <w:rPr>
          <w:rFonts w:hint="default" w:ascii="Times New Roman" w:hAnsi="Times New Roman" w:eastAsia="方正仿宋_GBK"/>
          <w:color w:val="000000" w:themeColor="text1"/>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202.48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机关运行经费主要用于</w:t>
      </w:r>
      <w:r>
        <w:rPr>
          <w:rFonts w:hint="default" w:ascii="Times New Roman" w:hAnsi="Times New Roman" w:eastAsia="方正仿宋_GBK"/>
          <w:color w:val="000000" w:themeColor="text1"/>
          <w:sz w:val="32"/>
          <w:szCs w:val="32"/>
        </w:rPr>
        <w:t>开支办公费、水电费、电话网络费、差旅费、维修维护费、培训费、公务接待费、其他交通费用、办公设备购置费等</w:t>
      </w:r>
      <w:r>
        <w:rPr>
          <w:rFonts w:hint="default" w:ascii="Times New Roman" w:hAnsi="Times New Roman" w:eastAsia="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机关运行经费较上年支出数减少93.09万元，下降31.5%，</w:t>
      </w:r>
      <w:r>
        <w:rPr>
          <w:rFonts w:hint="default" w:ascii="Times New Roman" w:hAnsi="Times New Roman" w:eastAsia="方正仿宋_GBK"/>
          <w:color w:val="000000" w:themeColor="text1"/>
          <w:sz w:val="32"/>
          <w:szCs w:val="32"/>
          <w:shd w:val="clear" w:color="auto" w:fill="FFFFFF"/>
        </w:rPr>
        <w:t>主要原因是财政落实过紧日子要求，大力压缩一般性开支，导致公用经费减少</w:t>
      </w:r>
      <w:r>
        <w:rPr>
          <w:rFonts w:hint="default" w:ascii="Times New Roman" w:hAnsi="Times New Roman" w:eastAsia="方正仿宋_GBK"/>
          <w:color w:val="000000" w:themeColor="text1"/>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721.36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174.03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19.75</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527.58</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687.87万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95.4%</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637.87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88.4</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机关食堂蔬菜、肉类及副食品，机关综合楼更换中央空调等。</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ascii="楷体" w:hAnsi="楷体" w:eastAsia="楷体" w:cs="楷体"/>
          <w:b/>
          <w:bCs/>
          <w:sz w:val="32"/>
          <w:szCs w:val="32"/>
          <w:shd w:val="clear" w:color="auto" w:fill="FFFFFF"/>
        </w:rPr>
        <w:t>部门自评情况</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根据预算绩效管理要求，我部门对部门整体绩效和21个二级项目开展了绩效自评，涉及财政拨款项目支出资金5715.46万元。</w:t>
      </w:r>
    </w:p>
    <w:p>
      <w:pPr>
        <w:pStyle w:val="12"/>
        <w:spacing w:before="0" w:beforeAutospacing="0" w:after="0" w:afterAutospacing="0" w:line="596" w:lineRule="exact"/>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drawing>
          <wp:anchor distT="0" distB="0" distL="114300" distR="114300" simplePos="0" relativeHeight="251661312" behindDoc="0" locked="0" layoutInCell="1" allowOverlap="1">
            <wp:simplePos x="0" y="0"/>
            <wp:positionH relativeFrom="column">
              <wp:posOffset>133350</wp:posOffset>
            </wp:positionH>
            <wp:positionV relativeFrom="paragraph">
              <wp:posOffset>234315</wp:posOffset>
            </wp:positionV>
            <wp:extent cx="5274310" cy="4695825"/>
            <wp:effectExtent l="19050" t="0" r="2625" b="0"/>
            <wp:wrapNone/>
            <wp:docPr id="9" name="图片 9" descr="C:\Users\ADMINI~1\AppData\Local\Temp\DingtalkPic\10B092AF-1147-4de2-A176-6FD0449CBF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DingtalkPic\10B092AF-1147-4de2-A176-6FD0449CBF7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025" cy="4700989"/>
                    </a:xfrm>
                    <a:prstGeom prst="rect">
                      <a:avLst/>
                    </a:prstGeom>
                    <a:noFill/>
                    <a:ln>
                      <a:noFill/>
                    </a:ln>
                  </pic:spPr>
                </pic:pic>
              </a:graphicData>
            </a:graphic>
          </wp:anchor>
        </w:drawing>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rPr>
          <w:rFonts w:hint="eastAsia"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drawing>
          <wp:anchor distT="0" distB="0" distL="114300" distR="114300" simplePos="0" relativeHeight="251659264" behindDoc="0" locked="0" layoutInCell="1" allowOverlap="1">
            <wp:simplePos x="0" y="0"/>
            <wp:positionH relativeFrom="column">
              <wp:posOffset>-238125</wp:posOffset>
            </wp:positionH>
            <wp:positionV relativeFrom="paragraph">
              <wp:posOffset>247015</wp:posOffset>
            </wp:positionV>
            <wp:extent cx="6279515" cy="3907790"/>
            <wp:effectExtent l="0" t="0" r="698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279515" cy="3907790"/>
                    </a:xfrm>
                    <a:prstGeom prst="rect">
                      <a:avLst/>
                    </a:prstGeom>
                    <a:noFill/>
                  </pic:spPr>
                </pic:pic>
              </a:graphicData>
            </a:graphic>
          </wp:anchor>
        </w:drawing>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drawing>
          <wp:anchor distT="0" distB="0" distL="114300" distR="114300" simplePos="0" relativeHeight="251660288" behindDoc="0" locked="0" layoutInCell="1" allowOverlap="1">
            <wp:simplePos x="0" y="0"/>
            <wp:positionH relativeFrom="column">
              <wp:posOffset>-219075</wp:posOffset>
            </wp:positionH>
            <wp:positionV relativeFrom="paragraph">
              <wp:posOffset>223520</wp:posOffset>
            </wp:positionV>
            <wp:extent cx="6315710" cy="3676015"/>
            <wp:effectExtent l="0" t="0" r="8890"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15710" cy="3676015"/>
                    </a:xfrm>
                    <a:prstGeom prst="rect">
                      <a:avLst/>
                    </a:prstGeom>
                    <a:noFill/>
                  </pic:spPr>
                </pic:pic>
              </a:graphicData>
            </a:graphic>
          </wp:anchor>
        </w:drawing>
      </w: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r>
        <w:rPr>
          <w:rFonts w:hint="eastAsia" w:ascii="楷体" w:hAnsi="楷体" w:eastAsia="楷体" w:cs="楷体"/>
          <w:b/>
          <w:bCs/>
          <w:color w:val="000000" w:themeColor="text1"/>
          <w:sz w:val="32"/>
          <w:szCs w:val="32"/>
          <w:shd w:val="clear" w:color="auto" w:fill="FFFFFF"/>
        </w:rPr>
        <w:t>、</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Times New Roman" w:hAnsi="Times New Roman" w:eastAsia="方正仿宋_GBK"/>
          <w:color w:val="000000" w:themeColor="text1"/>
          <w:sz w:val="32"/>
          <w:szCs w:val="32"/>
          <w:shd w:val="clear" w:color="auto" w:fill="FFFFFF"/>
        </w:rPr>
        <w:t>我部门未组织开展绩效评价。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pPr>
        <w:pStyle w:val="12"/>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r>
        <w:rPr>
          <w:rFonts w:hint="eastAsia" w:ascii="Times New Roman" w:hAnsi="Times New Roman" w:eastAsia="方正仿宋_GBK"/>
          <w:color w:val="000000" w:themeColor="text1"/>
          <w:sz w:val="32"/>
          <w:szCs w:val="32"/>
          <w:shd w:val="clear" w:color="auto" w:fill="FFFFFF"/>
        </w:rPr>
        <w:t>县</w:t>
      </w:r>
      <w:r>
        <w:rPr>
          <w:rFonts w:ascii="Times New Roman" w:hAnsi="Times New Roman" w:eastAsia="方正仿宋_GBK"/>
          <w:color w:val="000000" w:themeColor="text1"/>
          <w:sz w:val="32"/>
          <w:szCs w:val="32"/>
          <w:shd w:val="clear" w:color="auto" w:fill="FFFFFF"/>
        </w:rPr>
        <w:t>财政局</w:t>
      </w:r>
      <w:r>
        <w:rPr>
          <w:rFonts w:hint="eastAsia" w:ascii="Times New Roman" w:hAnsi="Times New Roman" w:eastAsia="方正仿宋_GBK"/>
          <w:color w:val="000000" w:themeColor="text1"/>
          <w:sz w:val="32"/>
          <w:szCs w:val="32"/>
          <w:shd w:val="clear" w:color="auto" w:fill="FFFFFF"/>
        </w:rPr>
        <w:t>未</w:t>
      </w:r>
      <w:r>
        <w:rPr>
          <w:rFonts w:ascii="Times New Roman" w:hAnsi="Times New Roman" w:eastAsia="方正仿宋_GBK"/>
          <w:color w:val="000000" w:themeColor="text1"/>
          <w:sz w:val="32"/>
          <w:szCs w:val="32"/>
          <w:shd w:val="clear" w:color="auto" w:fill="FFFFFF"/>
        </w:rPr>
        <w:t>委托第三方对我部门开展绩效评价。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0"/>
          <w:rFonts w:ascii="Times New Roman" w:hAnsi="Times New Roman" w:eastAsia="方正仿宋_GBK"/>
          <w:b w:val="0"/>
          <w:color w:val="000000" w:themeColor="text1"/>
          <w:sz w:val="32"/>
          <w:szCs w:val="32"/>
        </w:rPr>
        <w:t>本单位决算公开信息反馈和联系方式：杨老师 023-74512355</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中国共产党垫江县委员会办公室</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6,777.45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6,874.86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7,265.92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412.79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7,287.65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7,287.65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中国共产党垫江县委员会办公室</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6,874.86</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6,874.43</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6,390.49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6,390.07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2,840.90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2,840.90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3,549.59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3,549.17</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756.28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2,085.07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2,085.07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321.20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289.03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中国共产党垫江县委员会办公室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7,265.92</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1,668.35</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5,597.57</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6,777.45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1,179.97</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5,597.48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2,841.92</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2,748.23</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3,935.53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1,086.29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2,849.25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325.31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325.22</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293.14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293.14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140.55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中国共产党垫江县委员会办公室</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6,874.43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6,777.45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6,777.45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6,874.43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7,265.92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7,265.92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7,280.94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中国共产党垫江县委员会办公室</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7,265.92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1,668.35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5,597.57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6,777.45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1,179.97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5,597.48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2,841.92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2,748.23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3,935.53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1,086.29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599.50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2,249.75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140.55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88.10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88.10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中国共产党垫江县委员会办公室</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1,315.71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1,429.06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239.28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中国共产党垫江县委员会办公室</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中国共产党垫江县委员会办公室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中国共产党垫江县委员会办公室</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151.30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151.30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119.72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119.72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721.36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174.03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527.58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687.87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637.87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Rounded MT Bold">
    <w:altName w:val="Arial"/>
    <w:panose1 w:val="020F070403050403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Text Box 4" o:spid="_x0000_s4098"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mRqwIAAK0FAAAOAAAAZHJzL2Uyb0RvYy54bWysVG1vmzAQ/j5p/8HydwqkTgKopGpDmCZ1&#10;L1K7H+CACdbARrYb6Kb+951NSJNWk6ZtfLAO+/zcPXeP7+p6aBu0Z0pzKVIcXgQYMVHIkotdir89&#10;5F6EkTZUlLSRgqX4iWl8vXr/7qrvEjaTtWxKphCACJ30XYprY7rE93VRs5bqC9kxAYeVVC018Kt2&#10;fqloD+ht48+CYOH3UpWdkgXTGnaz8RCvHH5VscJ8qSrNDGpSDLkZtyq3bu3qr65oslO0q3lxSIP+&#10;RRYt5QKCHqEyaih6VPwNVMsLJbWszEUhW19WFS+Y4wBswuAVm/uadsxxgeLo7lgm/f9gi8/7rwrx&#10;MsUzjARtoUUPbDDoVg6I2Or0nU7A6b4DNzPANnTZMdXdnSy+ayTkuqZix26Ukn3NaAnZhfamf3J1&#10;xNEWZNt/kiWEoY9GOqChUq0tHRQDATp06enYGZtKAZsEWh3NMSrgKCTLeD53EWgyXe6UNh+YbJE1&#10;Uqyg8Q6c7u+0scnQZHKxsYTMedO45jfibAMcxx0IDVftmU3C9fJnHMSbaBMRj8wWG48EWebd5Gvi&#10;LfJwOc8us/U6C59t3JAkNS9LJmyYSVch+bO+HRQ+KuKoLC0bXlo4m5JWu+26UWhPQde5+w4FOXHz&#10;z9NwRQAuryiFMxLczmIvX0RLj+Rk7sXLIPKCML6NFwGJSZafU7rjgv07JdSneHE5D0Yt/ZZb4L63&#10;3GjScgOTo+FtiqOjE02sAjeidK01lDejfVIKm/5LKaDdU6OdXq1ER7GaYTu4h+HEbLW8leUTCFhJ&#10;EBioFKYeGLVUPzDqYYKkWMCIw6j5KOAJ2GEzGWoytpNBRQEXU2wwGs21GYfSY6f4rgbc6ZHdwDPJ&#10;uZPwSw6HxwUzwTE5zC87dE7/ndfLlF39Ag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AX7gmR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v:textbox>
        </v:shape>
      </w:pict>
    </w:r>
    <w:r>
      <w:rPr>
        <w:rFonts w:hint="default"/>
      </w:rPr>
      <w:pict>
        <v:shape id="Text Box 3" o:spid="_x0000_s4097"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w8sAIAAK0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uMOGmBokc6aHQnBjQz1ek7lYDTQwdueoBt42kyVd29KL4rxMW2JvxAN1KKvqakhOh8c9O9ujri&#10;KAOy7z+JEp4hT1pYoKGSrQGEYiBAB5aez8yYUArYnC8DfzbHqICjIPDiyDLnkmS63EmlP1DRImOk&#10;WALxFpwc75U2wZBkcjFvcZGzprHkN/zFBjiOO/A0XDVnJgjL5c/Yi3fRLgqdMFjsnNDLMmeTb0Nn&#10;kfvLeTbLttvM/2Xe9cOkZmVJuXlm0pUf/hlvJ4WPijgrS4mGlQbOhKTkYb9tJDoS0HVuP1tyOLm4&#10;uS/DsEWAXF6l5AehdxfETr6Ilk6Yh3MnXnqR4/nxXbzwwjjM8pcp3TNO/z0l1Kd4MZt7o5YuQb/K&#10;zbPf29xI0jINk6NhbYqjsxNJjAJ3vLTUasKa0b4qhQn/UgqgeyLa6tVIdBSrHvaDbYxgaoO9KJ9B&#10;wFKAwEClMPXAqIX8gVEPEyTFHEYcRs1HDi1ghs1kyMnYTwbhBVxMscZoNLd6HEpPnWSHGnDHJuNi&#10;A21SMSth009jDKfmgplgMznNLzN0rv+t12XKrn8D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juNMP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NmIwODI1Y2QwNGQxZDFhYmRhZWMyNWM5ZTJhMjUifQ=="/>
  </w:docVars>
  <w:rsids>
    <w:rsidRoot w:val="00B03CCD"/>
    <w:rsid w:val="00064258"/>
    <w:rsid w:val="000C01CC"/>
    <w:rsid w:val="000D7702"/>
    <w:rsid w:val="000F6721"/>
    <w:rsid w:val="001632EC"/>
    <w:rsid w:val="001D7DBD"/>
    <w:rsid w:val="001E06EE"/>
    <w:rsid w:val="0025781E"/>
    <w:rsid w:val="00261065"/>
    <w:rsid w:val="002D0E5A"/>
    <w:rsid w:val="002D71F4"/>
    <w:rsid w:val="002E5443"/>
    <w:rsid w:val="0031211D"/>
    <w:rsid w:val="0032196C"/>
    <w:rsid w:val="00336395"/>
    <w:rsid w:val="003466D0"/>
    <w:rsid w:val="00452DCA"/>
    <w:rsid w:val="004852DA"/>
    <w:rsid w:val="004C12FF"/>
    <w:rsid w:val="004C744D"/>
    <w:rsid w:val="004D0390"/>
    <w:rsid w:val="005413D3"/>
    <w:rsid w:val="00550ABE"/>
    <w:rsid w:val="005B023C"/>
    <w:rsid w:val="00600322"/>
    <w:rsid w:val="006137D7"/>
    <w:rsid w:val="00634FA8"/>
    <w:rsid w:val="0063613A"/>
    <w:rsid w:val="0068170B"/>
    <w:rsid w:val="006E2034"/>
    <w:rsid w:val="006F1840"/>
    <w:rsid w:val="00732392"/>
    <w:rsid w:val="00792285"/>
    <w:rsid w:val="007A0D2E"/>
    <w:rsid w:val="007A3314"/>
    <w:rsid w:val="007B419D"/>
    <w:rsid w:val="007C5C5B"/>
    <w:rsid w:val="007F5E93"/>
    <w:rsid w:val="00810F13"/>
    <w:rsid w:val="00826B47"/>
    <w:rsid w:val="0086580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D1C55"/>
    <w:rsid w:val="00BF5A85"/>
    <w:rsid w:val="00C307F6"/>
    <w:rsid w:val="00C93953"/>
    <w:rsid w:val="00C96B11"/>
    <w:rsid w:val="00C97747"/>
    <w:rsid w:val="00CC6B99"/>
    <w:rsid w:val="00DF7706"/>
    <w:rsid w:val="00E05175"/>
    <w:rsid w:val="00E654E2"/>
    <w:rsid w:val="00E76362"/>
    <w:rsid w:val="00E86B80"/>
    <w:rsid w:val="00EE0F60"/>
    <w:rsid w:val="00EF39ED"/>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112611"/>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6F5CF4"/>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10347</Words>
  <Characters>14077</Characters>
  <Lines>124</Lines>
  <Paragraphs>34</Paragraphs>
  <TotalTime>24</TotalTime>
  <ScaleCrop>false</ScaleCrop>
  <LinksUpToDate>false</LinksUpToDate>
  <CharactersWithSpaces>15314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2025-08-27T07:40:00Z</dcterms:created>
  <dc:creator>Administrator</dc:creator>
  <cp:lastModifiedBy>毕欢</cp:lastModifiedBy>
  <dcterms:modified xsi:type="dcterms:W3CDTF">2025-09-16T08:21:47Z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