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垫江县机关事务中心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adjustRightInd w:val="0"/>
        <w:snapToGrid w:val="0"/>
        <w:spacing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1. 配合做好全县机关事务管理的指导、监督、检查工作。</w:t>
      </w:r>
    </w:p>
    <w:p>
      <w:pPr>
        <w:pStyle w:val="6"/>
        <w:adjustRightInd w:val="0"/>
        <w:snapToGrid w:val="0"/>
        <w:spacing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2. 承担全县公共机构节能、全县党政机关办公用房管理的事务性工作。负责全县党政机关事业单位公务用车的编制计划、核定及车辆配备、更新、处置等工作。</w:t>
      </w:r>
    </w:p>
    <w:p>
      <w:pPr>
        <w:pStyle w:val="6"/>
        <w:adjustRightInd w:val="0"/>
        <w:snapToGrid w:val="0"/>
        <w:spacing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3. 承担县级周转房管理服务工作。负责县级行政集中办公区物业管理工作。负责县会议中心会场管理，县级重大会议及活动服务。</w:t>
      </w:r>
    </w:p>
    <w:p>
      <w:pPr>
        <w:pStyle w:val="6"/>
        <w:adjustRightInd w:val="0"/>
        <w:snapToGrid w:val="0"/>
        <w:spacing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4. 承担县级行政集中办公区房屋管理及市政基础设施、环境卫生、园林绿化的管理运行维护工作。</w:t>
      </w:r>
    </w:p>
    <w:p>
      <w:pPr>
        <w:pStyle w:val="6"/>
        <w:adjustRightInd w:val="0"/>
        <w:snapToGrid w:val="0"/>
        <w:spacing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5. 负责全县重大公务接待工作，指导定点接待单位规范开展接待有关工作。</w:t>
      </w:r>
    </w:p>
    <w:p>
      <w:pPr>
        <w:pStyle w:val="6"/>
        <w:adjustRightInd w:val="0"/>
        <w:snapToGrid w:val="0"/>
        <w:spacing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6. 负责县级机关职工食堂的管理和服务工作。</w:t>
      </w:r>
    </w:p>
    <w:p>
      <w:pPr>
        <w:pStyle w:val="6"/>
        <w:adjustRightInd w:val="0"/>
        <w:snapToGrid w:val="0"/>
        <w:spacing w:before="0" w:beforeAutospacing="0" w:after="0" w:afterAutospacing="0" w:line="558" w:lineRule="exact"/>
        <w:ind w:firstLine="640" w:firstLineChars="200"/>
        <w:jc w:val="both"/>
        <w:rPr>
          <w:rFonts w:hint="default" w:ascii="仿宋_GB2312" w:hAnsi="仿宋" w:eastAsia="仿宋_GB2312"/>
          <w:sz w:val="32"/>
          <w:szCs w:val="32"/>
        </w:rPr>
      </w:pPr>
      <w:r>
        <w:rPr>
          <w:rFonts w:hint="default" w:ascii="仿宋_GB2312" w:hAnsi="仿宋" w:eastAsia="仿宋_GB2312"/>
          <w:sz w:val="32"/>
          <w:szCs w:val="32"/>
        </w:rPr>
        <w:t>7. 完成县委办公室交办的其他任务。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800" w:firstLineChars="25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垫江县机关事务中心是因机构改革由原后勤服务中心和原公务接待中心合并组建而成，内设机构</w:t>
      </w:r>
      <w:r>
        <w:rPr>
          <w:rFonts w:hint="default" w:ascii="方正仿宋_GBK" w:hAnsi="方正仿宋_GBK" w:eastAsia="方正仿宋_GBK" w:cs="方正仿宋_GBK"/>
          <w:sz w:val="32"/>
          <w:szCs w:val="32"/>
          <w:shd w:val="clear" w:color="auto" w:fill="FFFFFF"/>
        </w:rPr>
        <w:t>5个，分别是：办公用房管理科、公共机构节能科、接待服务科、后勤保障科、公务用车服务科。</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2024年度收入总计5610.18万元，支出总计</w:t>
      </w:r>
      <w:r>
        <w:rPr>
          <w:rFonts w:ascii="方正仿宋_GBK" w:hAnsi="方正仿宋_GBK" w:eastAsia="方正仿宋_GBK" w:cs="方正仿宋_GBK"/>
          <w:sz w:val="32"/>
          <w:szCs w:val="32"/>
        </w:rPr>
        <w:t>5610.18</w:t>
      </w:r>
      <w:r>
        <w:rPr>
          <w:rFonts w:ascii="方正仿宋_GBK" w:hAnsi="方正仿宋_GBK" w:eastAsia="方正仿宋_GBK" w:cs="方正仿宋_GBK"/>
          <w:sz w:val="32"/>
          <w:szCs w:val="32"/>
          <w:shd w:val="clear" w:color="auto" w:fill="FFFFFF"/>
        </w:rPr>
        <w:t>万元。收、支与2023年度相比，增加5224.76万元，增长1355.6%，</w:t>
      </w:r>
      <w:r>
        <w:rPr>
          <w:rFonts w:hint="default" w:ascii="Times New Roman" w:hAnsi="Times New Roman" w:eastAsia="方正仿宋_GBK"/>
          <w:color w:val="000000" w:themeColor="text1"/>
          <w:sz w:val="32"/>
          <w:szCs w:val="32"/>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2024年度收入合计5436.88万元，与2023年度相比，增加5058.35万元，增长1336.3%，</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5436.88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173.30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5602.51</w:t>
      </w:r>
      <w:r>
        <w:rPr>
          <w:rFonts w:ascii="方正仿宋_GBK" w:hAnsi="方正仿宋_GBK" w:eastAsia="方正仿宋_GBK" w:cs="方正仿宋_GBK"/>
          <w:sz w:val="32"/>
          <w:szCs w:val="32"/>
          <w:shd w:val="clear" w:color="auto" w:fill="FFFFFF"/>
        </w:rPr>
        <w:t>万元，与2023年度相比，增加5223.98万元，增长1380.1%，</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604.53</w:t>
      </w:r>
      <w:r>
        <w:rPr>
          <w:rFonts w:ascii="方正仿宋_GBK" w:hAnsi="方正仿宋_GBK" w:eastAsia="方正仿宋_GBK" w:cs="方正仿宋_GBK"/>
          <w:sz w:val="32"/>
          <w:szCs w:val="32"/>
          <w:shd w:val="clear" w:color="auto" w:fill="FFFFFF"/>
        </w:rPr>
        <w:t>万元，占10.8%；项目支出</w:t>
      </w:r>
      <w:r>
        <w:rPr>
          <w:rFonts w:ascii="方正仿宋_GBK" w:hAnsi="方正仿宋_GBK" w:eastAsia="方正仿宋_GBK" w:cs="方正仿宋_GBK"/>
          <w:sz w:val="32"/>
          <w:szCs w:val="32"/>
        </w:rPr>
        <w:t>4997.99</w:t>
      </w:r>
      <w:r>
        <w:rPr>
          <w:rFonts w:ascii="方正仿宋_GBK" w:hAnsi="方正仿宋_GBK" w:eastAsia="方正仿宋_GBK" w:cs="方正仿宋_GBK"/>
          <w:sz w:val="32"/>
          <w:szCs w:val="32"/>
          <w:shd w:val="clear" w:color="auto" w:fill="FFFFFF"/>
        </w:rPr>
        <w:t>万元，占89.2%；经营支出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7.66</w:t>
      </w:r>
      <w:r>
        <w:rPr>
          <w:rFonts w:ascii="方正仿宋_GBK" w:hAnsi="方正仿宋_GBK" w:eastAsia="方正仿宋_GBK" w:cs="方正仿宋_GBK"/>
          <w:sz w:val="32"/>
          <w:szCs w:val="32"/>
          <w:shd w:val="clear" w:color="auto" w:fill="FFFFFF"/>
        </w:rPr>
        <w:t>万元，与2023年度相比，增加0.77万元，增长11.2%，</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机构改革原机关后勤服务中心撤销合并到本单位后结转结余增加</w:t>
      </w:r>
      <w:r>
        <w:rPr>
          <w:rFonts w:hint="default" w:ascii="仿宋_GB2312" w:hAnsi="仿宋" w:eastAsia="仿宋_GB2312"/>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2024年度财政拨款收、支总计5610.18万元。与2023年相比，财政拨款收、支总计各增加5224.76万元，增长1355.6%。</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5436.88</w:t>
      </w:r>
      <w:r>
        <w:rPr>
          <w:rFonts w:ascii="方正仿宋_GBK" w:hAnsi="方正仿宋_GBK" w:eastAsia="方正仿宋_GBK" w:cs="方正仿宋_GBK"/>
          <w:sz w:val="32"/>
          <w:szCs w:val="32"/>
          <w:shd w:val="clear" w:color="auto" w:fill="FFFFFF"/>
        </w:rPr>
        <w:t>万元，与2023年度相比，增加5058.35万元，增长1336.3%。</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较年初预算数增加5097.94万元，增长1504.1%。</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仿宋_GB2312" w:hAnsi="仿宋" w:eastAsia="仿宋_GB2312"/>
          <w:sz w:val="32"/>
          <w:szCs w:val="32"/>
        </w:rPr>
        <w:t>调整预算。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173.30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5602.51</w:t>
      </w:r>
      <w:r>
        <w:rPr>
          <w:rFonts w:ascii="方正仿宋_GBK" w:hAnsi="方正仿宋_GBK" w:eastAsia="方正仿宋_GBK" w:cs="方正仿宋_GBK"/>
          <w:sz w:val="32"/>
          <w:szCs w:val="32"/>
          <w:shd w:val="clear" w:color="auto" w:fill="FFFFFF"/>
        </w:rPr>
        <w:t>万元，与2023年度相比，增加5223.98万元，增长1380.1%。</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较年初预算数增加5263.57万元，增长1553.0%。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仿宋_GB2312" w:hAnsi="仿宋" w:eastAsia="仿宋_GB2312"/>
          <w:sz w:val="32"/>
          <w:szCs w:val="32"/>
        </w:rPr>
        <w:t>调整预算。</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7.66</w:t>
      </w:r>
      <w:r>
        <w:rPr>
          <w:rFonts w:ascii="方正仿宋_GBK" w:hAnsi="方正仿宋_GBK" w:eastAsia="方正仿宋_GBK" w:cs="方正仿宋_GBK"/>
          <w:sz w:val="32"/>
          <w:szCs w:val="32"/>
          <w:shd w:val="clear" w:color="auto" w:fill="FFFFFF"/>
        </w:rPr>
        <w:t>万元，与2023年度相比，增加0.77万元，增长11.2%，</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机构改革原机关后勤服务中心撤销合并到本单位后结转结余增加</w:t>
      </w:r>
      <w:r>
        <w:rPr>
          <w:rFonts w:hint="default" w:ascii="仿宋_GB2312" w:hAnsi="仿宋" w:eastAsia="仿宋_GB2312"/>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5425.19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96.8%</w:t>
      </w:r>
      <w:r>
        <w:rPr>
          <w:rFonts w:ascii="方正仿宋_GBK" w:hAnsi="方正仿宋_GBK" w:eastAsia="方正仿宋_GBK" w:cs="方正仿宋_GBK"/>
          <w:sz w:val="32"/>
          <w:szCs w:val="32"/>
          <w:shd w:val="clear" w:color="auto" w:fill="FFFFFF"/>
        </w:rPr>
        <w:t>，较年初预算数增加5147.81万元，增长1855.9%，</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，较年初预算数减少0.81万元，下降79.4%，</w:t>
      </w:r>
      <w:r>
        <w:rPr>
          <w:rFonts w:hint="default" w:ascii="Times New Roman" w:hAnsi="Times New Roman" w:eastAsia="方正仿宋_GBK"/>
          <w:color w:val="000000" w:themeColor="text1"/>
          <w:sz w:val="32"/>
          <w:szCs w:val="32"/>
          <w:shd w:val="clear" w:color="auto" w:fill="FFFFFF"/>
        </w:rPr>
        <w:t>主要原因是本年度</w:t>
      </w:r>
      <w:r>
        <w:rPr>
          <w:rFonts w:hint="default" w:ascii="Times New Roman" w:hAnsi="Times New Roman" w:eastAsia="方正仿宋_GBK"/>
          <w:color w:val="000000" w:themeColor="text1"/>
          <w:kern w:val="2"/>
          <w:sz w:val="32"/>
          <w:szCs w:val="32"/>
        </w:rPr>
        <w:t>职工教育方面支出</w:t>
      </w:r>
      <w:r>
        <w:rPr>
          <w:rFonts w:ascii="Times New Roman" w:hAnsi="Times New Roman" w:eastAsia="方正仿宋_GBK"/>
          <w:color w:val="000000" w:themeColor="text1"/>
          <w:kern w:val="2"/>
          <w:sz w:val="32"/>
          <w:szCs w:val="32"/>
        </w:rPr>
        <w:t>减少</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108.49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w:t>
      </w:r>
      <w:r>
        <w:rPr>
          <w:rFonts w:ascii="方正仿宋_GBK" w:hAnsi="方正仿宋_GBK" w:eastAsia="方正仿宋_GBK" w:cs="方正仿宋_GBK"/>
          <w:sz w:val="32"/>
          <w:szCs w:val="32"/>
          <w:shd w:val="clear" w:color="auto" w:fill="FFFFFF"/>
        </w:rPr>
        <w:t>，较年初预算数增加76.90万元，增长243.4%，</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所致</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26.85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w:t>
      </w:r>
      <w:r>
        <w:rPr>
          <w:rFonts w:ascii="方正仿宋_GBK" w:hAnsi="方正仿宋_GBK" w:eastAsia="方正仿宋_GBK" w:cs="方正仿宋_GBK"/>
          <w:sz w:val="32"/>
          <w:szCs w:val="32"/>
          <w:shd w:val="clear" w:color="auto" w:fill="FFFFFF"/>
        </w:rPr>
        <w:t>，较年初预算数增加13.69万元，增长104.0%，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所致</w:t>
      </w:r>
      <w:r>
        <w:rPr>
          <w:rFonts w:hint="default" w:ascii="Times New Roman" w:hAnsi="Times New Roman" w:eastAsia="方正仿宋_GBK"/>
          <w:color w:val="000000" w:themeColor="text1"/>
          <w:sz w:val="32"/>
          <w:szCs w:val="32"/>
          <w:shd w:val="clear" w:color="auto" w:fill="FFFFFF"/>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住房保障支出41.77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w:t>
      </w:r>
      <w:r>
        <w:rPr>
          <w:rFonts w:ascii="方正仿宋_GBK" w:hAnsi="方正仿宋_GBK" w:eastAsia="方正仿宋_GBK" w:cs="方正仿宋_GBK"/>
          <w:sz w:val="32"/>
          <w:szCs w:val="32"/>
          <w:shd w:val="clear" w:color="auto" w:fill="FFFFFF"/>
        </w:rPr>
        <w:t>，较年初预算数增加25.98万元，增长164.5%，</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所致</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604.53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567.72</w:t>
      </w:r>
      <w:r>
        <w:rPr>
          <w:rFonts w:ascii="方正仿宋_GBK" w:hAnsi="方正仿宋_GBK" w:eastAsia="方正仿宋_GBK" w:cs="方正仿宋_GBK"/>
          <w:sz w:val="32"/>
          <w:szCs w:val="32"/>
          <w:shd w:val="clear" w:color="auto" w:fill="FFFFFF"/>
        </w:rPr>
        <w:t>万元，与2023年度相比，增加223.59万元，增长65.0%，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hint="default" w:ascii="Times New Roman" w:hAnsi="Times New Roman" w:eastAsia="方正仿宋_GBK"/>
          <w:color w:val="000000" w:themeColor="text1"/>
          <w:sz w:val="32"/>
          <w:szCs w:val="32"/>
          <w:shd w:val="clear" w:color="auto" w:fill="FFFFFF"/>
        </w:rPr>
        <w:t>导致人员经费增加。人员经费用途主要包括</w:t>
      </w:r>
      <w:r>
        <w:rPr>
          <w:rFonts w:hint="default" w:ascii="Times New Roman" w:hAnsi="Times New Roman" w:eastAsia="方正仿宋_GBK"/>
          <w:color w:val="000000" w:themeColor="text1"/>
          <w:sz w:val="32"/>
          <w:szCs w:val="32"/>
        </w:rPr>
        <w:t>基本工资、津贴补贴、奖金、社会保障缴费、公积金缴费</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36.81</w:t>
      </w:r>
      <w:r>
        <w:rPr>
          <w:rFonts w:ascii="方正仿宋_GBK" w:hAnsi="方正仿宋_GBK" w:eastAsia="方正仿宋_GBK" w:cs="方正仿宋_GBK"/>
          <w:sz w:val="32"/>
          <w:szCs w:val="32"/>
          <w:shd w:val="clear" w:color="auto" w:fill="FFFFFF"/>
        </w:rPr>
        <w:t>万元，与2023年度相比，增加2.41万元，增长7.0%，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导</w:t>
      </w:r>
      <w:r>
        <w:rPr>
          <w:rFonts w:hint="default" w:ascii="Times New Roman" w:hAnsi="Times New Roman" w:eastAsia="方正仿宋_GBK"/>
          <w:color w:val="000000" w:themeColor="text1"/>
          <w:sz w:val="32"/>
          <w:szCs w:val="32"/>
          <w:shd w:val="clear" w:color="auto" w:fill="FFFFFF"/>
        </w:rPr>
        <w:t>致公用经费增加。公用经费用途主要包括</w:t>
      </w:r>
      <w:r>
        <w:rPr>
          <w:rStyle w:val="10"/>
          <w:rFonts w:hint="default" w:ascii="Times New Roman" w:hAnsi="Times New Roman" w:eastAsia="方正仿宋_GBK"/>
          <w:b w:val="0"/>
          <w:color w:val="000000" w:themeColor="text1"/>
          <w:sz w:val="32"/>
          <w:szCs w:val="32"/>
        </w:rPr>
        <w:t>公务接待、机关后勤服务、办公费、印刷费、咨询费、手续费、水电费、电话费、差旅费、会议费、培训费、公务用车运行维护费、其他交通费用等</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11"/>
        <w:autoSpaceDE w:val="0"/>
        <w:ind w:firstLine="640"/>
        <w:rPr>
          <w:rFonts w:ascii="Times New Roman" w:hAnsi="Times New Roman" w:eastAsia="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rPr>
        <w:t>本年度</w:t>
      </w:r>
      <w:r>
        <w:rPr>
          <w:rFonts w:ascii="Times New Roman" w:hAnsi="Times New Roman" w:eastAsia="方正仿宋_GBK"/>
          <w:color w:val="000000" w:themeColor="text1"/>
          <w:sz w:val="32"/>
          <w:szCs w:val="32"/>
          <w:shd w:val="clear" w:color="auto" w:fill="FFFFFF"/>
        </w:rPr>
        <w:t>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rPr>
        <w:t>本年度</w:t>
      </w:r>
      <w:r>
        <w:rPr>
          <w:rFonts w:ascii="Times New Roman" w:hAnsi="Times New Roman" w:eastAsia="方正仿宋_GBK"/>
          <w:color w:val="000000" w:themeColor="text1"/>
          <w:sz w:val="32"/>
          <w:szCs w:val="32"/>
          <w:shd w:val="clear" w:color="auto" w:fill="FFFFFF"/>
        </w:rPr>
        <w:t>无政府性基金预算财政拨款</w:t>
      </w:r>
      <w:r>
        <w:rPr>
          <w:rFonts w:hint="eastAsia" w:ascii="Times New Roman" w:hAnsi="Times New Roman" w:eastAsia="方正仿宋_GBK"/>
          <w:color w:val="000000" w:themeColor="text1"/>
          <w:sz w:val="32"/>
          <w:szCs w:val="32"/>
          <w:shd w:val="clear" w:color="auto" w:fill="FFFFFF"/>
        </w:rPr>
        <w:t>支出</w:t>
      </w:r>
      <w:r>
        <w:rPr>
          <w:rFonts w:ascii="Times New Roman" w:hAnsi="Times New Roman" w:eastAsia="方正仿宋_GBK"/>
          <w:color w:val="000000" w:themeColor="text1"/>
          <w:sz w:val="32"/>
          <w:szCs w:val="32"/>
          <w:shd w:val="clear" w:color="auto" w:fill="FFFFFF"/>
        </w:rPr>
        <w:t>。本</w:t>
      </w:r>
      <w:r>
        <w:rPr>
          <w:rFonts w:hint="eastAsia" w:ascii="Times New Roman" w:hAnsi="Times New Roman" w:eastAsia="方正仿宋_GBK"/>
          <w:color w:val="000000" w:themeColor="text1"/>
          <w:sz w:val="32"/>
          <w:szCs w:val="32"/>
          <w:shd w:val="clear" w:color="auto" w:fill="FFFFFF"/>
        </w:rPr>
        <w:t>单位</w:t>
      </w:r>
      <w:r>
        <w:rPr>
          <w:rFonts w:ascii="Times New Roman" w:hAnsi="Times New Roman" w:eastAsia="方正仿宋_GBK"/>
          <w:color w:val="000000" w:themeColor="text1"/>
          <w:sz w:val="32"/>
          <w:szCs w:val="32"/>
          <w:shd w:val="clear" w:color="auto" w:fill="FFFFFF"/>
        </w:rPr>
        <w:t>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79.03</w:t>
      </w:r>
      <w:r>
        <w:rPr>
          <w:rFonts w:ascii="方正仿宋_GBK" w:hAnsi="方正仿宋_GBK" w:eastAsia="方正仿宋_GBK" w:cs="方正仿宋_GBK"/>
          <w:sz w:val="32"/>
          <w:szCs w:val="32"/>
          <w:shd w:val="clear" w:color="auto" w:fill="FFFFFF"/>
        </w:rPr>
        <w:t>万元，较年初预算数减少220.97万元，下降73.7%，</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机构改革原机关后勤服务中心撤销合并到本单位后，公务用车服务平台54辆公务车辆划转至渝垫集团后，公务用车运行维护费大幅减少所致</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较上年支出数增加79.03万元，增长100.0%，</w:t>
      </w:r>
      <w:r>
        <w:rPr>
          <w:rFonts w:hint="default" w:ascii="Times New Roman" w:hAnsi="Times New Roman" w:eastAsia="方正仿宋_GBK"/>
          <w:color w:val="000000" w:themeColor="text1"/>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机构改革新增原机关后勤服务中心</w:t>
      </w:r>
      <w:r>
        <w:rPr>
          <w:rFonts w:ascii="仿宋_GB2312" w:hAnsi="仿宋" w:eastAsia="仿宋_GB2312"/>
          <w:sz w:val="32"/>
          <w:szCs w:val="32"/>
        </w:rPr>
        <w:t>公务用车服务平台公务用车运行维护费用所致</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79.03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ascii="Times New Roman" w:hAnsi="Times New Roman" w:eastAsia="方正仿宋_GBK"/>
          <w:color w:val="000000" w:themeColor="text1"/>
          <w:sz w:val="32"/>
          <w:szCs w:val="32"/>
          <w:shd w:val="clear" w:color="auto" w:fill="FFFFFF"/>
        </w:rPr>
        <w:t>各单位到原机关后勤服务中心</w:t>
      </w:r>
      <w:r>
        <w:rPr>
          <w:rFonts w:ascii="仿宋_GB2312" w:hAnsi="仿宋" w:eastAsia="仿宋_GB2312"/>
          <w:sz w:val="32"/>
          <w:szCs w:val="32"/>
        </w:rPr>
        <w:t>公务用车服务平台租用车辆</w:t>
      </w:r>
      <w:r>
        <w:rPr>
          <w:rFonts w:hint="eastAsia" w:ascii="仿宋_GB2312" w:hAnsi="仿宋" w:eastAsia="仿宋_GB2312"/>
          <w:sz w:val="32"/>
          <w:szCs w:val="32"/>
          <w:lang w:eastAsia="zh-CN"/>
        </w:rPr>
        <w:t>，</w:t>
      </w:r>
      <w:r>
        <w:rPr>
          <w:rStyle w:val="10"/>
          <w:rFonts w:hint="default" w:ascii="Times New Roman" w:hAnsi="Times New Roman" w:eastAsia="方正仿宋_GBK"/>
          <w:b w:val="0"/>
          <w:color w:val="000000" w:themeColor="text1"/>
          <w:sz w:val="32"/>
          <w:szCs w:val="32"/>
        </w:rPr>
        <w:t>市内因公出行、下乡调研等工作所需车辆的</w:t>
      </w:r>
      <w:r>
        <w:rPr>
          <w:rStyle w:val="10"/>
          <w:rFonts w:hint="eastAsia" w:ascii="Times New Roman" w:hAnsi="Times New Roman" w:eastAsia="方正仿宋_GBK"/>
          <w:b w:val="0"/>
          <w:color w:val="000000" w:themeColor="text1"/>
          <w:sz w:val="32"/>
          <w:szCs w:val="32"/>
          <w:lang w:eastAsia="zh-CN"/>
        </w:rPr>
        <w:t>燃</w:t>
      </w:r>
      <w:r>
        <w:rPr>
          <w:rStyle w:val="10"/>
          <w:rFonts w:hint="default" w:ascii="Times New Roman" w:hAnsi="Times New Roman" w:eastAsia="方正仿宋_GBK"/>
          <w:b w:val="0"/>
          <w:color w:val="000000" w:themeColor="text1"/>
          <w:sz w:val="32"/>
          <w:szCs w:val="32"/>
        </w:rPr>
        <w:t>料费、维修费、过路费、保险费等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费用支出较年初预算数减少220.97万元，下降73.7%，</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机构改革原机关后勤服务中心撤销合并到本单位后，公务用车服务平台54辆公务车辆划转至渝垫集团后，公务用车运行维护费大幅减少所致</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较上年支出数增加79.03万元，增长100.0%，</w:t>
      </w:r>
      <w:r>
        <w:rPr>
          <w:rFonts w:hint="default" w:ascii="Times New Roman" w:hAnsi="Times New Roman" w:eastAsia="方正仿宋_GBK"/>
          <w:color w:val="000000" w:themeColor="text1"/>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机构改革新增原机关后勤服务中心</w:t>
      </w:r>
      <w:r>
        <w:rPr>
          <w:rFonts w:ascii="仿宋_GB2312" w:hAnsi="仿宋" w:eastAsia="仿宋_GB2312"/>
          <w:sz w:val="32"/>
          <w:szCs w:val="32"/>
        </w:rPr>
        <w:t>公务用车服务平台公务用车运行维护费用所致</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万元，与2023年度相比，增加0.21万元，增长100.0%，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w:t>
      </w:r>
      <w:r>
        <w:rPr>
          <w:rFonts w:ascii="Times New Roman" w:hAnsi="Times New Roman" w:eastAsia="方正仿宋_GBK"/>
          <w:color w:val="000000" w:themeColor="text1"/>
          <w:sz w:val="32"/>
          <w:szCs w:val="32"/>
        </w:rPr>
        <w:t>加，事业专技人员继续教育</w:t>
      </w:r>
      <w:r>
        <w:rPr>
          <w:rStyle w:val="10"/>
          <w:rFonts w:hint="default" w:ascii="Times New Roman" w:hAnsi="Times New Roman" w:eastAsia="方正仿宋_GBK"/>
          <w:b w:val="0"/>
          <w:color w:val="000000" w:themeColor="text1"/>
          <w:sz w:val="32"/>
          <w:szCs w:val="32"/>
        </w:rPr>
        <w:t>培训费用</w:t>
      </w:r>
      <w:r>
        <w:rPr>
          <w:rStyle w:val="10"/>
          <w:rFonts w:ascii="Times New Roman" w:hAnsi="Times New Roman" w:eastAsia="方正仿宋_GBK"/>
          <w:b w:val="0"/>
          <w:color w:val="000000" w:themeColor="text1"/>
          <w:sz w:val="32"/>
          <w:szCs w:val="32"/>
        </w:rPr>
        <w:t>增加</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293.36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174.03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19.75</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99.58</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259.87万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88.6%</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259.87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88.6</w:t>
      </w:r>
      <w:r>
        <w:rPr>
          <w:rFonts w:ascii="方正仿宋_GBK" w:hAnsi="方正仿宋_GBK" w:eastAsia="方正仿宋_GBK" w:cs="方正仿宋_GBK"/>
          <w:sz w:val="32"/>
          <w:szCs w:val="32"/>
          <w:shd w:val="clear" w:color="auto" w:fill="FFFFFF"/>
        </w:rPr>
        <w:t xml:space="preserve"> %。</w:t>
      </w:r>
      <w:r>
        <w:rPr>
          <w:rStyle w:val="10"/>
          <w:rFonts w:ascii="Times New Roman" w:hAnsi="Times New Roman" w:eastAsia="方正仿宋_GBK"/>
          <w:b w:val="0"/>
          <w:color w:val="000000" w:themeColor="text1"/>
          <w:sz w:val="32"/>
          <w:szCs w:val="32"/>
        </w:rPr>
        <w:t>主要用于采购机关综合楼更换中央空调等</w:t>
      </w:r>
      <w:r>
        <w:rPr>
          <w:rStyle w:val="10"/>
          <w:rFonts w:hint="default" w:ascii="Times New Roman" w:hAnsi="Times New Roman" w:eastAsia="方正仿宋_GBK"/>
          <w:b w:val="0"/>
          <w:color w:val="000000" w:themeColor="text1"/>
          <w:sz w:val="32"/>
          <w:szCs w:val="32"/>
        </w:rPr>
        <w:t>。</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楷体" w:hAnsi="楷体" w:eastAsia="楷体" w:cs="楷体"/>
          <w:b/>
          <w:bCs/>
          <w:sz w:val="32"/>
          <w:szCs w:val="32"/>
          <w:shd w:val="clear" w:color="auto" w:fill="FFFFFF"/>
        </w:rPr>
      </w:pPr>
      <w:r>
        <w:rPr>
          <w:rFonts w:ascii="Times New Roman" w:hAnsi="Times New Roman" w:eastAsia="方正仿宋_GBK"/>
          <w:color w:val="000000" w:themeColor="text1"/>
          <w:sz w:val="32"/>
          <w:szCs w:val="32"/>
          <w:shd w:val="clear" w:color="auto" w:fill="FFFFFF"/>
        </w:rPr>
        <w:t>根据预算绩效管理要求，我单位对7个二级项目开展了绩效自评，涉及财政拨款项目支出资金4997.99万元</w:t>
      </w:r>
      <w:r>
        <w:rPr>
          <w:rStyle w:val="10"/>
          <w:rFonts w:ascii="Times New Roman" w:hAnsi="Times New Roman" w:eastAsia="方正仿宋_GBK"/>
          <w:b w:val="0"/>
          <w:color w:val="000000" w:themeColor="text1"/>
          <w:sz w:val="32"/>
          <w:szCs w:val="32"/>
        </w:rPr>
        <w:t>。</w:t>
      </w:r>
    </w:p>
    <w:p>
      <w:pPr>
        <w:pStyle w:val="6"/>
        <w:framePr w:hSpace="180" w:wrap="around" w:vAnchor="text" w:hAnchor="page" w:x="1058" w:y="22"/>
        <w:suppressOverlap/>
        <w:snapToGrid w:val="0"/>
        <w:spacing w:before="0" w:beforeAutospacing="0" w:after="0" w:afterAutospacing="0" w:line="594" w:lineRule="exact"/>
        <w:ind w:firstLine="640" w:firstLineChars="200"/>
        <w:jc w:val="both"/>
        <w:rPr>
          <w:rStyle w:val="10"/>
          <w:rFonts w:hint="default" w:ascii="Times New Roman" w:hAnsi="Times New Roman" w:eastAsia="方正仿宋_GBK"/>
          <w:b w:val="0"/>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drawing>
          <wp:anchor distT="0" distB="0" distL="114300" distR="114300" simplePos="0" relativeHeight="251659264" behindDoc="0" locked="0" layoutInCell="1" allowOverlap="1">
            <wp:simplePos x="0" y="0"/>
            <wp:positionH relativeFrom="column">
              <wp:posOffset>283845</wp:posOffset>
            </wp:positionH>
            <wp:positionV relativeFrom="paragraph">
              <wp:posOffset>371475</wp:posOffset>
            </wp:positionV>
            <wp:extent cx="5276850" cy="4638675"/>
            <wp:effectExtent l="1905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6850" cy="4638675"/>
                    </a:xfrm>
                    <a:prstGeom prst="rect">
                      <a:avLst/>
                    </a:prstGeom>
                  </pic:spPr>
                </pic:pic>
              </a:graphicData>
            </a:graphic>
          </wp:anchor>
        </w:drawing>
      </w:r>
      <w:r>
        <w:rPr>
          <w:rFonts w:ascii="Times New Roman" w:hAnsi="Times New Roman" w:eastAsia="方正仿宋_GBK"/>
          <w:color w:val="000000" w:themeColor="text1"/>
          <w:sz w:val="32"/>
          <w:szCs w:val="32"/>
        </w:rPr>
        <w:t>绩效目标自评情况具体见下表：</w:t>
      </w: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hint="eastAsia"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hint="eastAsia"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hint="eastAsia"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drawing>
          <wp:anchor distT="0" distB="0" distL="114300" distR="114300" simplePos="0" relativeHeight="251660288" behindDoc="0" locked="0" layoutInCell="1" allowOverlap="1">
            <wp:simplePos x="0" y="0"/>
            <wp:positionH relativeFrom="column">
              <wp:posOffset>57150</wp:posOffset>
            </wp:positionH>
            <wp:positionV relativeFrom="paragraph">
              <wp:posOffset>-95250</wp:posOffset>
            </wp:positionV>
            <wp:extent cx="5086350" cy="378142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86350" cy="3781425"/>
                    </a:xfrm>
                    <a:prstGeom prst="rect">
                      <a:avLst/>
                    </a:prstGeom>
                  </pic:spPr>
                </pic:pic>
              </a:graphicData>
            </a:graphic>
          </wp:anchor>
        </w:drawing>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b w:val="0"/>
          <w:color w:val="000000" w:themeColor="text1"/>
          <w:sz w:val="32"/>
          <w:szCs w:val="32"/>
        </w:rPr>
        <w:t>我单位</w:t>
      </w:r>
      <w:r>
        <w:rPr>
          <w:rStyle w:val="10"/>
          <w:rFonts w:hint="default" w:ascii="Times New Roman" w:hAnsi="Times New Roman" w:eastAsia="方正仿宋_GBK"/>
          <w:b w:val="0"/>
          <w:color w:val="000000" w:themeColor="text1"/>
          <w:sz w:val="32"/>
          <w:szCs w:val="32"/>
        </w:rPr>
        <w:t>未</w:t>
      </w:r>
      <w:r>
        <w:rPr>
          <w:rStyle w:val="10"/>
          <w:rFonts w:ascii="Times New Roman" w:hAnsi="Times New Roman" w:eastAsia="方正仿宋_GBK"/>
          <w:b w:val="0"/>
          <w:color w:val="000000" w:themeColor="text1"/>
          <w:sz w:val="32"/>
          <w:szCs w:val="32"/>
        </w:rPr>
        <w:t>组织开展</w:t>
      </w:r>
      <w:r>
        <w:rPr>
          <w:rStyle w:val="10"/>
          <w:rFonts w:hint="default" w:ascii="Times New Roman" w:hAnsi="Times New Roman" w:eastAsia="方正仿宋_GBK"/>
          <w:b w:val="0"/>
          <w:color w:val="000000" w:themeColor="text1"/>
          <w:sz w:val="32"/>
          <w:szCs w:val="32"/>
        </w:rPr>
        <w:t>绩效</w:t>
      </w:r>
      <w:r>
        <w:rPr>
          <w:rStyle w:val="10"/>
          <w:rFonts w:ascii="Times New Roman" w:hAnsi="Times New Roman" w:eastAsia="方正仿宋_GBK"/>
          <w:b w:val="0"/>
          <w:color w:val="000000" w:themeColor="text1"/>
          <w:sz w:val="32"/>
          <w:szCs w:val="32"/>
        </w:rPr>
        <w:t>评价</w:t>
      </w:r>
      <w:r>
        <w:rPr>
          <w:rStyle w:val="10"/>
          <w:rFonts w:hint="default" w:ascii="Times New Roman" w:hAnsi="Times New Roman" w:eastAsia="方正仿宋_GBK"/>
          <w:b w:val="0"/>
          <w:color w:val="000000" w:themeColor="text1"/>
          <w:sz w:val="32"/>
          <w:szCs w:val="32"/>
        </w:rPr>
        <w:t>。</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w:t>
      </w:r>
      <w:r>
        <w:rPr>
          <w:rFonts w:ascii="Times New Roman" w:hAnsi="Times New Roman" w:eastAsia="方正仿宋_GBK"/>
          <w:color w:val="000000" w:themeColor="text1"/>
          <w:sz w:val="32"/>
          <w:szCs w:val="32"/>
          <w:shd w:val="clear" w:color="auto" w:fill="FFFFFF"/>
        </w:rPr>
        <w:t>财政局未委托</w:t>
      </w:r>
      <w:bookmarkStart w:id="0" w:name="_GoBack"/>
      <w:bookmarkEnd w:id="0"/>
      <w:r>
        <w:rPr>
          <w:rFonts w:ascii="Times New Roman" w:hAnsi="Times New Roman" w:eastAsia="方正仿宋_GBK"/>
          <w:color w:val="000000" w:themeColor="text1"/>
          <w:sz w:val="32"/>
          <w:szCs w:val="32"/>
          <w:shd w:val="clear" w:color="auto" w:fill="FFFFFF"/>
        </w:rPr>
        <w:t>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0"/>
          <w:rFonts w:ascii="Times New Roman" w:hAnsi="Times New Roman" w:eastAsia="方正仿宋_GBK"/>
          <w:b w:val="0"/>
          <w:color w:val="000000" w:themeColor="text1"/>
          <w:sz w:val="32"/>
          <w:szCs w:val="32"/>
        </w:rPr>
        <w:t>本单位决算公开信息反馈和联系方式：</w:t>
      </w:r>
      <w:r>
        <w:rPr>
          <w:rStyle w:val="10"/>
          <w:rFonts w:hint="eastAsia" w:ascii="Times New Roman" w:hAnsi="Times New Roman" w:eastAsia="方正仿宋_GBK"/>
          <w:b w:val="0"/>
          <w:color w:val="000000" w:themeColor="text1"/>
          <w:sz w:val="32"/>
          <w:szCs w:val="32"/>
        </w:rPr>
        <w:t>杨老师</w:t>
      </w:r>
      <w:r>
        <w:rPr>
          <w:rStyle w:val="10"/>
          <w:rFonts w:ascii="Times New Roman" w:hAnsi="Times New Roman" w:eastAsia="方正仿宋_GBK"/>
          <w:b w:val="0"/>
          <w:color w:val="000000" w:themeColor="text1"/>
          <w:sz w:val="32"/>
          <w:szCs w:val="32"/>
        </w:rPr>
        <w:t>023-74512355</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垫江县机关事务中心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5,436.88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5,425.19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5,436.88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5,610.18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5,610.18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垫江县机关事务中心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5,436.88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5,436.88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5,259.47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5,259.47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2,418.57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2,418.57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2,085.07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2,085.07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垫江县机关事务中心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5,602.51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604.53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4,997.99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5,425.19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4,997.99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2,748.23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2,583.27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2,249.75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垫江县机关事务中心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5,436.88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5,425.19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5,425.19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5,436.88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5,602.51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5,602.51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5,610.18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5,610.18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5,610.18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垫江县机关事务中心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5,602.51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604.53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5,425.19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2,841.92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2,583.27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2,249.75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垫江县机关事务中心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567.72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垫江县机关事务中心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垫江县机关事务中心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垫江县机关事务中心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293.36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174.03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99.58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2336;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NmIwODI1Y2QwNGQxZDFhYmRhZWMyNWM5ZTJhMjUifQ=="/>
  </w:docVars>
  <w:rsids>
    <w:rsidRoot w:val="00B03CCD"/>
    <w:rsid w:val="000239C6"/>
    <w:rsid w:val="000C1716"/>
    <w:rsid w:val="001A4889"/>
    <w:rsid w:val="001D3BB7"/>
    <w:rsid w:val="00214AFB"/>
    <w:rsid w:val="002B254B"/>
    <w:rsid w:val="002B3E64"/>
    <w:rsid w:val="0034050A"/>
    <w:rsid w:val="003415CF"/>
    <w:rsid w:val="0044504F"/>
    <w:rsid w:val="00466C9B"/>
    <w:rsid w:val="004825C1"/>
    <w:rsid w:val="00486CFC"/>
    <w:rsid w:val="00491DDD"/>
    <w:rsid w:val="0054067D"/>
    <w:rsid w:val="00550ABE"/>
    <w:rsid w:val="005A77E5"/>
    <w:rsid w:val="00600BDE"/>
    <w:rsid w:val="00623A85"/>
    <w:rsid w:val="00712041"/>
    <w:rsid w:val="007530A2"/>
    <w:rsid w:val="00770383"/>
    <w:rsid w:val="007819D4"/>
    <w:rsid w:val="0079027A"/>
    <w:rsid w:val="00794834"/>
    <w:rsid w:val="007B419D"/>
    <w:rsid w:val="007B7C4B"/>
    <w:rsid w:val="007D3D39"/>
    <w:rsid w:val="00976BEF"/>
    <w:rsid w:val="00984C6A"/>
    <w:rsid w:val="0098632B"/>
    <w:rsid w:val="00994AF7"/>
    <w:rsid w:val="009B67B8"/>
    <w:rsid w:val="009C14C9"/>
    <w:rsid w:val="009D2B67"/>
    <w:rsid w:val="009E1452"/>
    <w:rsid w:val="00A566F9"/>
    <w:rsid w:val="00AE2684"/>
    <w:rsid w:val="00AF2751"/>
    <w:rsid w:val="00B03CCD"/>
    <w:rsid w:val="00BE2B89"/>
    <w:rsid w:val="00BF0D89"/>
    <w:rsid w:val="00C10E9E"/>
    <w:rsid w:val="00C20C3E"/>
    <w:rsid w:val="00C33E77"/>
    <w:rsid w:val="00C46423"/>
    <w:rsid w:val="00C5163E"/>
    <w:rsid w:val="00CB1A69"/>
    <w:rsid w:val="00CF2ACF"/>
    <w:rsid w:val="00D03AAF"/>
    <w:rsid w:val="00DD0539"/>
    <w:rsid w:val="00DF6836"/>
    <w:rsid w:val="00E07662"/>
    <w:rsid w:val="00E368E9"/>
    <w:rsid w:val="00ED0ACD"/>
    <w:rsid w:val="00EE1E33"/>
    <w:rsid w:val="00F73F90"/>
    <w:rsid w:val="00FB4B3B"/>
    <w:rsid w:val="00FD36CF"/>
    <w:rsid w:val="00FF47E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4B61A9"/>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6C4180"/>
    <w:rsid w:val="578867FC"/>
    <w:rsid w:val="582632A6"/>
    <w:rsid w:val="5842572D"/>
    <w:rsid w:val="5A3B59D6"/>
    <w:rsid w:val="5AD134D8"/>
    <w:rsid w:val="5BF41F67"/>
    <w:rsid w:val="5C263CE4"/>
    <w:rsid w:val="5C5D2777"/>
    <w:rsid w:val="5CF66BF3"/>
    <w:rsid w:val="5D290C69"/>
    <w:rsid w:val="5DA80C2C"/>
    <w:rsid w:val="5F1871E8"/>
    <w:rsid w:val="5F2D4A41"/>
    <w:rsid w:val="60C74F6C"/>
    <w:rsid w:val="61015958"/>
    <w:rsid w:val="61025A59"/>
    <w:rsid w:val="613D5BBC"/>
    <w:rsid w:val="61536C39"/>
    <w:rsid w:val="62944DD7"/>
    <w:rsid w:val="62DB3FBE"/>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8047B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9487</Words>
  <Characters>12425</Characters>
  <Lines>109</Lines>
  <Paragraphs>30</Paragraphs>
  <TotalTime>19</TotalTime>
  <ScaleCrop>false</ScaleCrop>
  <LinksUpToDate>false</LinksUpToDate>
  <CharactersWithSpaces>13528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2025-08-27T07:16:00Z</dcterms:created>
  <dc:creator>Administrator</dc:creator>
  <cp:lastModifiedBy>毕欢</cp:lastModifiedBy>
  <dcterms:modified xsi:type="dcterms:W3CDTF">2025-09-16T08:35:45Z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eyJoZGlkIjoiYjk2N2JiN2RiYmQ2MGQ5NDdjZTcyNjM2OWE4N2ZkNTgiLCJ1c2VySWQiOiIzOTY1MjY0OTUifQ==</vt:lpwstr>
  </property>
</Properties>
</file>