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垫江县人民代表大会常务委员会办公室</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pPr>
        <w:pStyle w:val="6"/>
        <w:shd w:val="clear" w:color="auto" w:fill="FFFFFF"/>
        <w:ind w:firstLine="420"/>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（一）职能职责</w:t>
      </w:r>
    </w:p>
    <w:p>
      <w:pPr>
        <w:pStyle w:val="6"/>
        <w:shd w:val="clear" w:color="auto" w:fill="FFFFFF"/>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人大常委会办公室是垫江县人大常委会机关的法人单位。垫江县人大常委会的主要职责：保证宪法、法律、行政法规和上级人大及其常委会的决定决议在本行政区域内的遵守和执行；讨论、决定本行政区域重大事项；决定本级国家机关工作人员的任免；监督本级“一府一委两院”工作；联系本级人大代表，配合组织市人大代表活动；受理人民群众对上述机关和国家工作人员的申诉和意见等。</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垫江县人大常委会下设办公室、监察和法制委办公室、城环委办公室、社建委办公室、人事代表工委、教科文卫工委、农业工委、预算工委。办公室下属事业单位为垫江县人大常委会信息中心下设信息中心。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2024年度收入总计2354.71万元，支出总计</w:t>
      </w:r>
      <w:r>
        <w:rPr>
          <w:rFonts w:ascii="方正仿宋_GBK" w:hAnsi="方正仿宋_GBK" w:eastAsia="方正仿宋_GBK" w:cs="方正仿宋_GBK"/>
          <w:sz w:val="32"/>
          <w:szCs w:val="32"/>
        </w:rPr>
        <w:t>2354.71</w:t>
      </w:r>
      <w:r>
        <w:rPr>
          <w:rFonts w:ascii="方正仿宋_GBK" w:hAnsi="方正仿宋_GBK" w:eastAsia="方正仿宋_GBK" w:cs="方正仿宋_GBK"/>
          <w:sz w:val="32"/>
          <w:szCs w:val="32"/>
          <w:shd w:val="clear" w:color="auto" w:fill="FFFFFF"/>
        </w:rPr>
        <w:t>万元。收、支与2023年度相比，减少213.64万元，下降8.32%，主要原因是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项目资金减少导致拨款减少</w:t>
      </w:r>
      <w:r>
        <w:rPr>
          <w:rFonts w:ascii="方正仿宋_GBK" w:hAnsi="方正仿宋_GBK" w:eastAsia="方正仿宋_GBK" w:cs="方正仿宋_GBK"/>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2024年度收入合计2136.08万元，与2023年度相比，减少384.29万元，下降15.25%，主要原因是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项目资金减少导致拨款减少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2136.08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218.63</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2354.71</w:t>
      </w:r>
      <w:r>
        <w:rPr>
          <w:rFonts w:ascii="方正仿宋_GBK" w:hAnsi="方正仿宋_GBK" w:eastAsia="方正仿宋_GBK" w:cs="方正仿宋_GBK"/>
          <w:sz w:val="32"/>
          <w:szCs w:val="32"/>
          <w:shd w:val="clear" w:color="auto" w:fill="FFFFFF"/>
        </w:rPr>
        <w:t>万元，与2023年度相比，减少213.64万元，下降8.32%，主要原因是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项目资金减少导致拨款减少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2079.43</w:t>
      </w:r>
      <w:r>
        <w:rPr>
          <w:rFonts w:ascii="方正仿宋_GBK" w:hAnsi="方正仿宋_GBK" w:eastAsia="方正仿宋_GBK" w:cs="方正仿宋_GBK"/>
          <w:sz w:val="32"/>
          <w:szCs w:val="32"/>
          <w:shd w:val="clear" w:color="auto" w:fill="FFFFFF"/>
        </w:rPr>
        <w:t>万元，占88.31%；项目支出</w:t>
      </w:r>
      <w:r>
        <w:rPr>
          <w:rFonts w:ascii="方正仿宋_GBK" w:hAnsi="方正仿宋_GBK" w:eastAsia="方正仿宋_GBK" w:cs="方正仿宋_GBK"/>
          <w:sz w:val="32"/>
          <w:szCs w:val="32"/>
        </w:rPr>
        <w:t>275.28</w:t>
      </w:r>
      <w:r>
        <w:rPr>
          <w:rFonts w:ascii="方正仿宋_GBK" w:hAnsi="方正仿宋_GBK" w:eastAsia="方正仿宋_GBK" w:cs="方正仿宋_GBK"/>
          <w:sz w:val="32"/>
          <w:szCs w:val="32"/>
          <w:shd w:val="clear" w:color="auto" w:fill="FFFFFF"/>
        </w:rPr>
        <w:t>万元，占11.69%；经营支出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万元，与2023年度相比，无增减，主要原因是与上年持平。</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2024年度财政拨款收、支总计2354.71万元。与2023年相比，财政拨款收、支总计各减少213.64万元，下降8.32%。主要原因是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项目资金减少导致拨款减少</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2136.08</w:t>
      </w:r>
      <w:r>
        <w:rPr>
          <w:rFonts w:ascii="方正仿宋_GBK" w:hAnsi="方正仿宋_GBK" w:eastAsia="方正仿宋_GBK" w:cs="方正仿宋_GBK"/>
          <w:sz w:val="32"/>
          <w:szCs w:val="32"/>
          <w:shd w:val="clear" w:color="auto" w:fill="FFFFFF"/>
        </w:rPr>
        <w:t>万元，与2023年度相比，减少384.29万元，下降15.25%。主要原因是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项目资金减少导致拨款减少</w:t>
      </w:r>
      <w:r>
        <w:rPr>
          <w:rFonts w:ascii="方正仿宋_GBK" w:hAnsi="方正仿宋_GBK" w:eastAsia="方正仿宋_GBK" w:cs="方正仿宋_GBK"/>
          <w:sz w:val="32"/>
          <w:szCs w:val="32"/>
          <w:shd w:val="clear" w:color="auto" w:fill="FFFFFF"/>
        </w:rPr>
        <w:t>。较年初预算数减少48.72万元，下降2.23%。主要原因是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w:t>
      </w:r>
      <w:r>
        <w:rPr>
          <w:rFonts w:ascii="Times New Roman" w:hAnsi="Times New Roman" w:eastAsia="方正仿宋_GBK"/>
          <w:kern w:val="2"/>
          <w:sz w:val="32"/>
          <w:szCs w:val="32"/>
        </w:rPr>
        <w:t>调整，调减年初预算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218.63</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2354.71</w:t>
      </w:r>
      <w:r>
        <w:rPr>
          <w:rFonts w:ascii="方正仿宋_GBK" w:hAnsi="方正仿宋_GBK" w:eastAsia="方正仿宋_GBK" w:cs="方正仿宋_GBK"/>
          <w:sz w:val="32"/>
          <w:szCs w:val="32"/>
          <w:shd w:val="clear" w:color="auto" w:fill="FFFFFF"/>
        </w:rPr>
        <w:t>万元，与2023年度相比，减少213.64万元，下降8.32%。主要原因是</w:t>
      </w:r>
      <w:r>
        <w:rPr>
          <w:rFonts w:ascii="方正仿宋_GBK" w:hAnsi="方正仿宋_GBK" w:eastAsia="方正仿宋_GBK" w:cs="方正仿宋_GBK"/>
          <w:sz w:val="32"/>
          <w:szCs w:val="32"/>
        </w:rPr>
        <w:t>本年度</w:t>
      </w:r>
      <w:r>
        <w:rPr>
          <w:rFonts w:hint="default" w:ascii="Times New Roman" w:hAnsi="Times New Roman" w:eastAsia="方正仿宋_GBK"/>
          <w:kern w:val="2"/>
          <w:sz w:val="32"/>
          <w:szCs w:val="32"/>
        </w:rPr>
        <w:t>项目资金减少导致拨款减少</w:t>
      </w:r>
      <w:r>
        <w:rPr>
          <w:rFonts w:ascii="方正仿宋_GBK" w:hAnsi="方正仿宋_GBK" w:eastAsia="方正仿宋_GBK" w:cs="方正仿宋_GBK"/>
          <w:sz w:val="32"/>
          <w:szCs w:val="32"/>
          <w:shd w:val="clear" w:color="auto" w:fill="FFFFFF"/>
        </w:rPr>
        <w:t>。较年初预算数增加169.91万元，增长7.78%。主要原因是</w:t>
      </w:r>
      <w:bookmarkStart w:id="0" w:name="_GoBack"/>
      <w:bookmarkEnd w:id="0"/>
      <w:r>
        <w:rPr>
          <w:rFonts w:ascii="方正仿宋_GBK" w:hAnsi="方正仿宋_GBK" w:eastAsia="方正仿宋_GBK" w:cs="方正仿宋_GBK"/>
          <w:spacing w:val="-6"/>
          <w:sz w:val="32"/>
          <w:szCs w:val="32"/>
        </w:rPr>
        <w:t>人员经费</w:t>
      </w:r>
      <w:r>
        <w:rPr>
          <w:rFonts w:ascii="方正仿宋_GBK" w:hAnsi="方正仿宋_GBK" w:eastAsia="方正仿宋_GBK" w:cs="方正仿宋_GBK"/>
          <w:sz w:val="32"/>
          <w:szCs w:val="32"/>
        </w:rPr>
        <w:t>普调和公用经费拨款增加等</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万元，与2023年度相比，无增减，主要原因是与上年持平。</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1803.79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76.60</w:t>
      </w:r>
      <w:r>
        <w:rPr>
          <w:rFonts w:ascii="方正仿宋_GBK" w:hAnsi="方正仿宋_GBK" w:eastAsia="方正仿宋_GBK" w:cs="方正仿宋_GBK"/>
          <w:sz w:val="32"/>
          <w:szCs w:val="32"/>
          <w:shd w:val="clear" w:color="auto" w:fill="FFFFFF"/>
        </w:rPr>
        <w:t>%，较年初预算数增加164.89万元，增长10.06%，主要原因是</w:t>
      </w:r>
      <w:r>
        <w:rPr>
          <w:rFonts w:ascii="方正仿宋_GBK" w:hAnsi="方正仿宋_GBK" w:eastAsia="方正仿宋_GBK" w:cs="方正仿宋_GBK"/>
          <w:spacing w:val="-6"/>
          <w:sz w:val="32"/>
          <w:szCs w:val="32"/>
        </w:rPr>
        <w:t>增加人员经费</w:t>
      </w:r>
      <w:r>
        <w:rPr>
          <w:rFonts w:ascii="方正仿宋_GBK" w:hAnsi="方正仿宋_GBK" w:eastAsia="方正仿宋_GBK" w:cs="方正仿宋_GBK"/>
          <w:sz w:val="32"/>
          <w:szCs w:val="32"/>
        </w:rPr>
        <w:t>普调等</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3.56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%，较年初预算数减少1.39万元，下降28.08%，主要原因是压减培训支出。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370.90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15.75</w:t>
      </w:r>
      <w:r>
        <w:rPr>
          <w:rFonts w:ascii="方正仿宋_GBK" w:hAnsi="方正仿宋_GBK" w:eastAsia="方正仿宋_GBK" w:cs="方正仿宋_GBK"/>
          <w:sz w:val="32"/>
          <w:szCs w:val="32"/>
          <w:shd w:val="clear" w:color="auto" w:fill="FFFFFF"/>
        </w:rPr>
        <w:t>%，较年初预算数增加19.36万元，增长5.51%，主要原因是</w:t>
      </w:r>
      <w:r>
        <w:rPr>
          <w:rFonts w:hint="default" w:ascii="Times New Roman" w:hAnsi="Times New Roman" w:eastAsia="方正仿宋_GBK"/>
          <w:kern w:val="2"/>
          <w:sz w:val="32"/>
          <w:szCs w:val="32"/>
        </w:rPr>
        <w:t>在职和退休人员工资福利、基数调整，社保缴费比例增加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81.29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%，较年初预算数减少0.71万元，下降0.87%，主要原因是</w:t>
      </w:r>
      <w:r>
        <w:rPr>
          <w:rFonts w:hint="default" w:ascii="Times New Roman" w:hAnsi="Times New Roman" w:eastAsia="方正仿宋_GBK"/>
          <w:sz w:val="32"/>
          <w:szCs w:val="32"/>
        </w:rPr>
        <w:t>本年度人员</w:t>
      </w:r>
      <w:r>
        <w:rPr>
          <w:rFonts w:ascii="Times New Roman" w:hAnsi="Times New Roman" w:eastAsia="方正仿宋_GBK"/>
          <w:sz w:val="32"/>
          <w:szCs w:val="32"/>
        </w:rPr>
        <w:t>调整导致减少</w:t>
      </w:r>
      <w:r>
        <w:rPr>
          <w:rFonts w:ascii="方正仿宋_GBK" w:hAnsi="方正仿宋_GBK" w:eastAsia="方正仿宋_GBK" w:cs="方正仿宋_GBK"/>
          <w:sz w:val="32"/>
          <w:szCs w:val="32"/>
          <w:shd w:val="clear" w:color="auto" w:fill="FFFFFF"/>
        </w:rPr>
        <w:t>。</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住房保障支出95.18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4.04</w:t>
      </w:r>
      <w:r>
        <w:rPr>
          <w:rFonts w:ascii="方正仿宋_GBK" w:hAnsi="方正仿宋_GBK" w:eastAsia="方正仿宋_GBK" w:cs="方正仿宋_GBK"/>
          <w:sz w:val="32"/>
          <w:szCs w:val="32"/>
          <w:shd w:val="clear" w:color="auto" w:fill="FFFFFF"/>
        </w:rPr>
        <w:t>%，较年初预算数减少12.22万元，下降11.38%，主要原因是</w:t>
      </w:r>
      <w:r>
        <w:rPr>
          <w:rFonts w:ascii="Times New Roman" w:hAnsi="Times New Roman" w:eastAsia="方正仿宋_GBK"/>
          <w:sz w:val="32"/>
          <w:szCs w:val="32"/>
        </w:rPr>
        <w:t>调低</w:t>
      </w:r>
      <w:r>
        <w:rPr>
          <w:rFonts w:ascii="方正仿宋_GBK" w:hAnsi="方正仿宋_GBK" w:eastAsia="方正仿宋_GBK" w:cs="方正仿宋_GBK"/>
          <w:sz w:val="32"/>
          <w:szCs w:val="32"/>
        </w:rPr>
        <w:t>人员住房公积金基数</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2079.43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1588.16</w:t>
      </w:r>
      <w:r>
        <w:rPr>
          <w:rFonts w:ascii="方正仿宋_GBK" w:hAnsi="方正仿宋_GBK" w:eastAsia="方正仿宋_GBK" w:cs="方正仿宋_GBK"/>
          <w:sz w:val="32"/>
          <w:szCs w:val="32"/>
          <w:shd w:val="clear" w:color="auto" w:fill="FFFFFF"/>
        </w:rPr>
        <w:t>万元，与2023年度相比，减少299.22万元，下降15.85%，主要原因是</w:t>
      </w:r>
      <w:r>
        <w:rPr>
          <w:rFonts w:hint="default" w:ascii="Times New Roman" w:hAnsi="Times New Roman" w:eastAsia="方正仿宋_GBK"/>
          <w:sz w:val="32"/>
          <w:szCs w:val="32"/>
          <w:shd w:val="clear" w:color="auto" w:fill="FFFFFF"/>
        </w:rPr>
        <w:t>本</w:t>
      </w:r>
      <w:r>
        <w:rPr>
          <w:rFonts w:hint="default" w:ascii="Times New Roman" w:hAnsi="Times New Roman" w:eastAsia="方正仿宋_GBK"/>
          <w:sz w:val="32"/>
          <w:szCs w:val="32"/>
        </w:rPr>
        <w:t>年度人员</w:t>
      </w:r>
      <w:r>
        <w:rPr>
          <w:rFonts w:ascii="Times New Roman" w:hAnsi="Times New Roman" w:eastAsia="方正仿宋_GBK"/>
          <w:sz w:val="32"/>
          <w:szCs w:val="32"/>
        </w:rPr>
        <w:t>调整和调低</w:t>
      </w:r>
      <w:r>
        <w:rPr>
          <w:rFonts w:ascii="方正仿宋_GBK" w:hAnsi="方正仿宋_GBK" w:eastAsia="方正仿宋_GBK" w:cs="方正仿宋_GBK"/>
          <w:sz w:val="32"/>
          <w:szCs w:val="32"/>
        </w:rPr>
        <w:t>人员住房公积金基数等开支</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基本工资、津贴补贴、奖金、社会保障缴费及其他工资福利支出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491.27</w:t>
      </w:r>
      <w:r>
        <w:rPr>
          <w:rFonts w:ascii="方正仿宋_GBK" w:hAnsi="方正仿宋_GBK" w:eastAsia="方正仿宋_GBK" w:cs="方正仿宋_GBK"/>
          <w:sz w:val="32"/>
          <w:szCs w:val="32"/>
          <w:shd w:val="clear" w:color="auto" w:fill="FFFFFF"/>
        </w:rPr>
        <w:t>万元，与2023年度相比，增加115.94万元，增长30.89%，主要原因是本年度单位更新办公设备以及设备日常维修费等。公用经费用途主要包括</w:t>
      </w:r>
      <w:r>
        <w:rPr>
          <w:rFonts w:ascii="方正仿宋_GBK" w:hAnsi="方正仿宋_GBK" w:eastAsia="方正仿宋_GBK" w:cs="方正仿宋_GBK"/>
          <w:sz w:val="32"/>
          <w:szCs w:val="32"/>
        </w:rPr>
        <w:t>办公费、印刷费、咨询费、手续费、差旅费、公务用车运行费、其他交通费用、劳务费、邮电费</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1"/>
        <w:autoSpaceDE w:val="0"/>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本年度</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本年度</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支出</w:t>
      </w:r>
      <w:r>
        <w:rPr>
          <w:rFonts w:ascii="Times New Roman" w:hAnsi="Times New Roman" w:eastAsia="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部门</w:t>
      </w:r>
      <w:r>
        <w:rPr>
          <w:rFonts w:ascii="Times New Roman" w:hAnsi="Times New Roman" w:eastAsia="方正仿宋_GBK"/>
          <w:color w:val="000000" w:themeColor="text1"/>
          <w:sz w:val="32"/>
          <w:szCs w:val="32"/>
          <w:shd w:val="clear" w:color="auto" w:fill="FFFFFF"/>
          <w14:textFill>
            <w14:solidFill>
              <w14:schemeClr w14:val="tx1"/>
            </w14:solidFill>
          </w14:textFill>
        </w:rPr>
        <w:t>2024年度无政府性基金预算财政拨款收支。</w:t>
      </w:r>
    </w:p>
    <w:p>
      <w:pPr>
        <w:pStyle w:val="11"/>
        <w:numPr>
          <w:ilvl w:val="0"/>
          <w:numId w:val="1"/>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国有资本经营预算财政拨款支出决算情况说明</w:t>
      </w:r>
    </w:p>
    <w:p>
      <w:pPr>
        <w:pStyle w:val="11"/>
        <w:autoSpaceDE w:val="0"/>
        <w:ind w:firstLine="640"/>
        <w:rPr>
          <w:rStyle w:val="18"/>
          <w:rFonts w:ascii="方正仿宋_GBK" w:hAnsi="方正仿宋_GBK" w:eastAsia="方正仿宋_GBK" w:cs="方正仿宋_GBK"/>
          <w:b w:val="0"/>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万元。本部门2024年度无国有资本经营预算财政拨款支出。</w:t>
      </w:r>
    </w:p>
    <w:p>
      <w:pPr>
        <w:pStyle w:val="11"/>
        <w:autoSpaceDE w:val="0"/>
        <w:ind w:firstLine="643"/>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rPr>
        <w:t>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28.88</w:t>
      </w:r>
      <w:r>
        <w:rPr>
          <w:rFonts w:ascii="方正仿宋_GBK" w:hAnsi="方正仿宋_GBK" w:eastAsia="方正仿宋_GBK" w:cs="方正仿宋_GBK"/>
          <w:sz w:val="32"/>
          <w:szCs w:val="32"/>
          <w:shd w:val="clear" w:color="auto" w:fill="FFFFFF"/>
        </w:rPr>
        <w:t>万元，较年初预算数减少1.42万元，下降4.69%，主要原因是</w:t>
      </w:r>
      <w:r>
        <w:rPr>
          <w:rFonts w:ascii="方正仿宋_GBK" w:hAnsi="方正仿宋_GBK" w:eastAsia="方正仿宋_GBK" w:cs="方正仿宋_GBK"/>
          <w:sz w:val="32"/>
          <w:szCs w:val="32"/>
        </w:rPr>
        <w:t>压减不必要的开支，节省经费支出</w:t>
      </w:r>
      <w:r>
        <w:rPr>
          <w:rFonts w:ascii="方正仿宋_GBK" w:hAnsi="方正仿宋_GBK" w:eastAsia="方正仿宋_GBK" w:cs="方正仿宋_GBK"/>
          <w:sz w:val="32"/>
          <w:szCs w:val="32"/>
          <w:shd w:val="clear" w:color="auto" w:fill="FFFFFF"/>
        </w:rPr>
        <w:t>。较上年支出数增加2.51万元，增长9.52%，主要原因是单位调研工作增加导致公车维护费增加。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17"/>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17"/>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23.98</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因公出行、调研等工作所需车辆的燃料费、维修费、过桥过路费、保险费</w:t>
      </w:r>
      <w:r>
        <w:rPr>
          <w:rFonts w:ascii="方正仿宋_GBK" w:hAnsi="方正仿宋_GBK" w:eastAsia="方正仿宋_GBK" w:cs="方正仿宋_GBK"/>
          <w:sz w:val="32"/>
          <w:szCs w:val="32"/>
          <w:shd w:val="clear" w:color="auto" w:fill="FFFFFF"/>
        </w:rPr>
        <w:t>。费用支出较年初预算数减少0.02万元，下降0.08%，主要原因是</w:t>
      </w:r>
      <w:r>
        <w:rPr>
          <w:rFonts w:ascii="方正仿宋_GBK" w:hAnsi="方正仿宋_GBK" w:eastAsia="方正仿宋_GBK" w:cs="方正仿宋_GBK"/>
          <w:sz w:val="32"/>
          <w:szCs w:val="32"/>
        </w:rPr>
        <w:t>压减不必要的开支，节省经费支出</w:t>
      </w:r>
      <w:r>
        <w:rPr>
          <w:rFonts w:ascii="方正仿宋_GBK" w:hAnsi="方正仿宋_GBK" w:eastAsia="方正仿宋_GBK" w:cs="方正仿宋_GBK"/>
          <w:sz w:val="32"/>
          <w:szCs w:val="32"/>
          <w:shd w:val="clear" w:color="auto" w:fill="FFFFFF"/>
        </w:rPr>
        <w:t>。较上年支出数增加4.00万元，增长20.02%，主要原因是单位调研工作增加导致公车维护费增加。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4.89</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rPr>
        <w:t>市人大各专工委室、各区县人大以及市外、县外人大及其相关单位、乡镇人大交流学习、调研等开支的用餐及住宿费用</w:t>
      </w:r>
      <w:r>
        <w:rPr>
          <w:rFonts w:ascii="方正仿宋_GBK" w:hAnsi="方正仿宋_GBK" w:eastAsia="方正仿宋_GBK" w:cs="方正仿宋_GBK"/>
          <w:sz w:val="32"/>
          <w:szCs w:val="32"/>
          <w:shd w:val="clear" w:color="auto" w:fill="FFFFFF"/>
        </w:rPr>
        <w:t>。费用支出较年初预算数减少1.41万元，下降22.38%，主要原因是</w:t>
      </w:r>
      <w:r>
        <w:rPr>
          <w:rFonts w:ascii="方正仿宋_GBK" w:eastAsia="方正仿宋_GBK"/>
          <w:sz w:val="32"/>
          <w:szCs w:val="32"/>
        </w:rPr>
        <w:t>严格按照相关接待标准、</w:t>
      </w:r>
      <w:r>
        <w:rPr>
          <w:rFonts w:ascii="Times New Roman" w:hAnsi="Times New Roman" w:eastAsia="方正仿宋_GBK"/>
          <w:sz w:val="32"/>
          <w:szCs w:val="32"/>
          <w:shd w:val="clear" w:color="auto" w:fill="FFFFFF"/>
        </w:rPr>
        <w:t>接待人员批次、数量，减少接待费用</w:t>
      </w:r>
      <w:r>
        <w:rPr>
          <w:rFonts w:ascii="方正仿宋_GBK" w:hAnsi="方正仿宋_GBK" w:eastAsia="方正仿宋_GBK" w:cs="方正仿宋_GBK"/>
          <w:sz w:val="32"/>
          <w:szCs w:val="32"/>
          <w:shd w:val="clear" w:color="auto" w:fill="FFFFFF"/>
        </w:rPr>
        <w:t>。较上年支出数减少1.50万元，下降23.47%，主要原因是</w:t>
      </w:r>
      <w:r>
        <w:rPr>
          <w:rFonts w:ascii="方正仿宋_GBK" w:eastAsia="方正仿宋_GBK"/>
          <w:sz w:val="32"/>
          <w:szCs w:val="32"/>
        </w:rPr>
        <w:t>严格按照相关接待标准、</w:t>
      </w:r>
      <w:r>
        <w:rPr>
          <w:rFonts w:ascii="Times New Roman" w:hAnsi="Times New Roman" w:eastAsia="方正仿宋_GBK"/>
          <w:sz w:val="32"/>
          <w:szCs w:val="32"/>
          <w:shd w:val="clear" w:color="auto" w:fill="FFFFFF"/>
        </w:rPr>
        <w:t>接待人员批次、数量，减少接待费用</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970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50.45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107.43</w:t>
      </w:r>
      <w:r>
        <w:rPr>
          <w:rFonts w:ascii="方正仿宋_GBK" w:hAnsi="方正仿宋_GBK" w:eastAsia="方正仿宋_GBK" w:cs="方正仿宋_GBK"/>
          <w:sz w:val="32"/>
          <w:szCs w:val="32"/>
          <w:shd w:val="clear" w:color="auto" w:fill="FFFFFF"/>
        </w:rPr>
        <w:t>万元，与2023年度相比，增加6.58万元，增长6.52%，主要原因是增加了年中人代会导致会议费增加。本年度培训费支出</w:t>
      </w:r>
      <w:r>
        <w:rPr>
          <w:rFonts w:ascii="方正仿宋_GBK" w:hAnsi="方正仿宋_GBK" w:eastAsia="方正仿宋_GBK" w:cs="方正仿宋_GBK"/>
          <w:sz w:val="32"/>
          <w:szCs w:val="32"/>
        </w:rPr>
        <w:t>7.56</w:t>
      </w:r>
      <w:r>
        <w:rPr>
          <w:rFonts w:ascii="方正仿宋_GBK" w:hAnsi="方正仿宋_GBK" w:eastAsia="方正仿宋_GBK" w:cs="方正仿宋_GBK"/>
          <w:sz w:val="32"/>
          <w:szCs w:val="32"/>
          <w:shd w:val="clear" w:color="auto" w:fill="FFFFFF"/>
        </w:rPr>
        <w:t>万元，与2023年度相比，减少5.23万元，下降40.89%，主要原因是精简培训支出。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472.49</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办公费、印刷费、咨询费、手续费、差旅费、公务用车运行费、其他交通费用、劳务费、邮电费</w:t>
      </w:r>
      <w:r>
        <w:rPr>
          <w:rFonts w:ascii="方正仿宋_GBK" w:hAnsi="方正仿宋_GBK" w:eastAsia="方正仿宋_GBK" w:cs="方正仿宋_GBK"/>
          <w:sz w:val="32"/>
          <w:szCs w:val="32"/>
          <w:shd w:val="clear" w:color="auto" w:fill="FFFFFF"/>
        </w:rPr>
        <w:t>。机关运行经费较上年支出数增加117.27万元，增长33.01%，主要原因是本年度单位更新办公设备以及设备日常维修费等。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年度我部门未发生政府采购事项，无相关经费支出。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autoSpaceDE w:val="0"/>
        <w:spacing w:before="0" w:beforeAutospacing="0"/>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据预算绩效管理要求，我部门对部门整体和10个二级项目开展了绩效自评，涉及财政拨款项目支出资金275.28万元。</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p>
      <w:pPr>
        <w:pStyle w:val="12"/>
        <w:autoSpaceDE w:val="0"/>
        <w:spacing w:before="0" w:beforeAutospacing="0"/>
        <w:ind w:firstLine="640" w:firstLineChars="200"/>
        <w:rPr>
          <w:rFonts w:ascii="方正仿宋_GBK" w:hAnsi="方正仿宋_GBK" w:eastAsia="方正仿宋_GBK" w:cs="方正仿宋_GBK"/>
          <w:sz w:val="32"/>
          <w:szCs w:val="32"/>
          <w:shd w:val="clear" w:color="auto" w:fill="FFFFFF"/>
          <w:lang w:bidi="ar"/>
        </w:rPr>
      </w:pPr>
    </w:p>
    <w:p>
      <w:pPr>
        <w:pStyle w:val="12"/>
        <w:autoSpaceDE w:val="0"/>
        <w:spacing w:before="0" w:beforeAutospacing="0"/>
        <w:ind w:firstLine="640"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sz w:val="32"/>
          <w:szCs w:val="32"/>
          <w:shd w:val="clear" w:color="auto" w:fill="FFFFFF"/>
        </w:rPr>
        <w:drawing>
          <wp:inline distT="0" distB="0" distL="114300" distR="114300">
            <wp:extent cx="5273040" cy="2734310"/>
            <wp:effectExtent l="0" t="0" r="3810" b="8890"/>
            <wp:docPr id="1" name="图片 1"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1"/>
                    <pic:cNvPicPr>
                      <a:picLocks noChangeAspect="1"/>
                    </pic:cNvPicPr>
                  </pic:nvPicPr>
                  <pic:blipFill>
                    <a:blip r:embed="rId7"/>
                    <a:stretch>
                      <a:fillRect/>
                    </a:stretch>
                  </pic:blipFill>
                  <pic:spPr>
                    <a:xfrm>
                      <a:off x="0" y="0"/>
                      <a:ext cx="5273040" cy="2734310"/>
                    </a:xfrm>
                    <a:prstGeom prst="rect">
                      <a:avLst/>
                    </a:prstGeom>
                  </pic:spPr>
                </pic:pic>
              </a:graphicData>
            </a:graphic>
          </wp:inline>
        </w:drawing>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spacing w:before="0" w:beforeAutospacing="0" w:after="0" w:afterAutospacing="0"/>
        <w:ind w:firstLine="321" w:firstLineChars="100"/>
        <w:rPr>
          <w:rStyle w:val="13"/>
          <w:rFonts w:ascii="方正仿宋_GBK" w:hAnsi="方正仿宋_GBK" w:eastAsia="方正仿宋_GBK" w:cs="方正仿宋_GBK"/>
          <w:sz w:val="32"/>
          <w:szCs w:val="32"/>
          <w:shd w:val="clear" w:color="auto" w:fill="FFFFFF"/>
        </w:rPr>
      </w:pPr>
      <w:r>
        <w:rPr>
          <w:rStyle w:val="13"/>
          <w:rFonts w:hint="eastAsia" w:ascii="方正仿宋_GBK" w:hAnsi="方正仿宋_GBK" w:eastAsia="方正仿宋_GBK" w:cs="方正仿宋_GBK"/>
          <w:sz w:val="32"/>
          <w:szCs w:val="32"/>
          <w:shd w:val="clear" w:color="auto" w:fill="FFFFFF"/>
        </w:rPr>
        <w:drawing>
          <wp:inline distT="0" distB="0" distL="114300" distR="114300">
            <wp:extent cx="5280025" cy="2870200"/>
            <wp:effectExtent l="0" t="0" r="15875" b="635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8"/>
                    <a:stretch>
                      <a:fillRect/>
                    </a:stretch>
                  </pic:blipFill>
                  <pic:spPr>
                    <a:xfrm>
                      <a:off x="0" y="0"/>
                      <a:ext cx="5280025" cy="2870200"/>
                    </a:xfrm>
                    <a:prstGeom prst="rect">
                      <a:avLst/>
                    </a:prstGeom>
                  </pic:spPr>
                </pic:pic>
              </a:graphicData>
            </a:graphic>
          </wp:inline>
        </w:drawing>
      </w:r>
    </w:p>
    <w:p>
      <w:pPr>
        <w:pStyle w:val="12"/>
        <w:spacing w:before="0" w:beforeAutospacing="0" w:after="0" w:afterAutospacing="0"/>
        <w:ind w:firstLine="321" w:firstLineChars="100"/>
        <w:rPr>
          <w:rStyle w:val="13"/>
          <w:rFonts w:ascii="方正仿宋_GBK" w:hAnsi="方正仿宋_GBK" w:eastAsia="方正仿宋_GBK" w:cs="方正仿宋_GBK"/>
          <w:sz w:val="32"/>
          <w:szCs w:val="32"/>
          <w:shd w:val="clear" w:color="auto" w:fill="FFFFFF"/>
        </w:rPr>
      </w:pPr>
      <w:r>
        <w:rPr>
          <w:rStyle w:val="13"/>
          <w:rFonts w:hint="eastAsia" w:ascii="方正仿宋_GBK" w:hAnsi="方正仿宋_GBK" w:eastAsia="方正仿宋_GBK" w:cs="方正仿宋_GBK"/>
          <w:sz w:val="32"/>
          <w:szCs w:val="32"/>
          <w:shd w:val="clear" w:color="auto" w:fill="FFFFFF"/>
        </w:rPr>
        <w:drawing>
          <wp:inline distT="0" distB="0" distL="114300" distR="114300">
            <wp:extent cx="5278120" cy="2835910"/>
            <wp:effectExtent l="0" t="0" r="17780" b="254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9"/>
                    <a:stretch>
                      <a:fillRect/>
                    </a:stretch>
                  </pic:blipFill>
                  <pic:spPr>
                    <a:xfrm>
                      <a:off x="0" y="0"/>
                      <a:ext cx="5278120" cy="2835910"/>
                    </a:xfrm>
                    <a:prstGeom prst="rect">
                      <a:avLst/>
                    </a:prstGeom>
                  </pic:spPr>
                </pic:pic>
              </a:graphicData>
            </a:graphic>
          </wp:inline>
        </w:drawing>
      </w:r>
    </w:p>
    <w:p>
      <w:pPr>
        <w:pStyle w:val="12"/>
        <w:spacing w:before="0" w:beforeAutospacing="0" w:after="0" w:afterAutospacing="0"/>
        <w:rPr>
          <w:rStyle w:val="13"/>
          <w:rFonts w:ascii="方正仿宋_GBK" w:hAnsi="方正仿宋_GBK" w:eastAsia="方正仿宋_GBK" w:cs="方正仿宋_GBK"/>
          <w:sz w:val="32"/>
          <w:szCs w:val="32"/>
          <w:shd w:val="clear" w:color="auto" w:fill="FFFFFF"/>
        </w:rPr>
      </w:pPr>
      <w:r>
        <w:rPr>
          <w:rStyle w:val="13"/>
          <w:rFonts w:hint="eastAsia" w:ascii="方正仿宋_GBK" w:hAnsi="方正仿宋_GBK" w:eastAsia="方正仿宋_GBK" w:cs="方正仿宋_GBK"/>
          <w:sz w:val="32"/>
          <w:szCs w:val="32"/>
          <w:shd w:val="clear" w:color="auto" w:fill="FFFFFF"/>
        </w:rPr>
        <w:t xml:space="preserve">     </w:t>
      </w:r>
      <w:r>
        <w:rPr>
          <w:rStyle w:val="13"/>
          <w:rFonts w:hint="eastAsia" w:ascii="方正仿宋_GBK" w:hAnsi="方正仿宋_GBK" w:eastAsia="方正仿宋_GBK" w:cs="方正仿宋_GBK"/>
          <w:sz w:val="32"/>
          <w:szCs w:val="32"/>
          <w:shd w:val="clear" w:color="auto" w:fill="FFFFFF"/>
        </w:rPr>
        <w:drawing>
          <wp:inline distT="0" distB="0" distL="114300" distR="114300">
            <wp:extent cx="5280025" cy="2862580"/>
            <wp:effectExtent l="0" t="0" r="15875" b="13970"/>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10"/>
                    <a:stretch>
                      <a:fillRect/>
                    </a:stretch>
                  </pic:blipFill>
                  <pic:spPr>
                    <a:xfrm>
                      <a:off x="0" y="0"/>
                      <a:ext cx="5280025" cy="2862580"/>
                    </a:xfrm>
                    <a:prstGeom prst="rect">
                      <a:avLst/>
                    </a:prstGeom>
                  </pic:spPr>
                </pic:pic>
              </a:graphicData>
            </a:graphic>
          </wp:inline>
        </w:drawing>
      </w:r>
    </w:p>
    <w:p>
      <w:pPr>
        <w:pStyle w:val="12"/>
        <w:spacing w:before="0" w:beforeAutospacing="0" w:after="0" w:afterAutospacing="0" w:line="596" w:lineRule="exact"/>
        <w:rPr>
          <w:rStyle w:val="13"/>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县财政局未委托第三方对我部门开展绩效评价。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谭老师  023-74521077</w:t>
      </w:r>
    </w:p>
    <w:p>
      <w:pPr>
        <w:pStyle w:val="11"/>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pPr>
        <w:pStyle w:val="11"/>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pPr>
        <w:pStyle w:val="11"/>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pPr>
        <w:pStyle w:val="11"/>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pPr>
        <w:pStyle w:val="11"/>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pPr>
        <w:pStyle w:val="11"/>
        <w:autoSpaceDE w:val="0"/>
        <w:spacing w:line="596" w:lineRule="exact"/>
        <w:ind w:firstLine="0" w:firstLineChars="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部门：</w:t>
            </w:r>
            <w:r>
              <w:rPr>
                <w:sz w:val="20"/>
              </w:rPr>
              <w:t>垫江县人民代表大会常务委员会办公室</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2,136.08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1,803.79</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3.56</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370.90</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81.29</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95.18</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2,136.08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2,354.71</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218.63</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2,354.71</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2,354.71</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垫江县人民代表大会常务委员会办公室</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2,136.08</w:t>
            </w:r>
            <w:r>
              <w:rPr>
                <w:rFonts w:ascii="Times New Roman" w:hAnsi="Times New Roman"/>
                <w:b/>
                <w:sz w:val="20"/>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2,136.08</w:t>
            </w:r>
            <w:r>
              <w:rPr>
                <w:rFonts w:ascii="Times New Roman" w:hAnsi="Times New Roman"/>
                <w:b/>
                <w:sz w:val="20"/>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1,602.29</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1,602.29</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1,602.29</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1,602.29</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1,209.74</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1,209.74</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130.26</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130.26</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60.00</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人大监督</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6.92</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6.92</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人大代表履职能力提升</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64.20</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117.33</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117.33</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其他人大事务支出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9.84</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9.84</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353.77</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353.77</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353.71</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353.71</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129.89</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129.89</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67.70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67.70</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156.12</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156.12</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76.13</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76.13</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95.18</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95.18</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sz w:val="20"/>
                <w:szCs w:val="20"/>
              </w:rPr>
            </w:pPr>
            <w:r>
              <w:rPr>
                <w:rFonts w:cs="宋体"/>
                <w:sz w:val="20"/>
                <w:szCs w:val="20"/>
              </w:rPr>
              <w:t>部门：</w:t>
            </w:r>
            <w:r>
              <w:rPr>
                <w:sz w:val="20"/>
              </w:rPr>
              <w:t xml:space="preserve">垫江县人民代表大会常务委员会办公室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2,354.71</w:t>
            </w:r>
            <w:r>
              <w:rPr>
                <w:rFonts w:ascii="Times New Roman" w:hAnsi="Times New Roman"/>
                <w:b/>
                <w:sz w:val="20"/>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2,079.43</w:t>
            </w:r>
            <w:r>
              <w:rPr>
                <w:rFonts w:ascii="Times New Roman" w:hAnsi="Times New Roman"/>
                <w:b/>
                <w:sz w:val="20"/>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275.28</w:t>
            </w:r>
            <w:r>
              <w:rPr>
                <w:rFonts w:ascii="Times New Roman" w:hAnsi="Times New Roman"/>
                <w:b/>
                <w:sz w:val="20"/>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1,803.79</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1,528.57</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275.22</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1,803.79</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1,528.57</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275.22</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1,411.24</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1,411.24</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130.26</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130.26</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人大会议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60.00</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人大监督</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6.92</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6.92</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人大代表履职能力提升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64.20</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117.33</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117.33</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其他人大事务支出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9.84</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9.84</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370.90</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370.84</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370.84</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370.84</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147.02</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147.02</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67.70</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67.70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156.12</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156.12</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76.13</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76.13</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95.18</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95.18</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18"/>
                <w:szCs w:val="18"/>
              </w:rPr>
            </w:pPr>
            <w:r>
              <w:rPr>
                <w:rFonts w:cs="宋体"/>
                <w:sz w:val="20"/>
                <w:szCs w:val="20"/>
              </w:rPr>
              <w:t>部门：</w:t>
            </w:r>
            <w:r>
              <w:rPr>
                <w:sz w:val="20"/>
              </w:rPr>
              <w:t>垫江县人民代表大会常务委员会办公室</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2,136.08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1,803.79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1,803.79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370.90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370.90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81.29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81.29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95.18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95.18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2,136.08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2,354.71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2,354.71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218.63</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218.63</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2,354.71</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2,354.71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2,354.71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垫江县人民代表大会常务委员会办公室</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2,354.71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2,079.43</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275.28</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1,803.79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1,528.57</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275.22</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1,803.79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1,528.57</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275.22</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1,411.24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1,411.24</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130.26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130.26</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人大会议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人大监督</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6.92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6.92</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人大代表履职能力提升</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64.20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64.20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117.33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117.33</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其他人大事务支出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9.84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9.84</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3.56</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370.90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370.84</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0.06</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0.06</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0.06</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370.84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370.84</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147.02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147.02</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67.70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67.70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156.12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156.12</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81.29</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76.13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76.13</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5.17</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95.18</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95.18</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95.18</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18"/>
                <w:szCs w:val="18"/>
              </w:rPr>
            </w:pPr>
            <w:r>
              <w:rPr>
                <w:rFonts w:cs="宋体"/>
                <w:sz w:val="20"/>
                <w:szCs w:val="20"/>
              </w:rPr>
              <w:t>部门：</w:t>
            </w:r>
            <w:r>
              <w:rPr>
                <w:sz w:val="20"/>
              </w:rPr>
              <w:t>垫江县人民代表大会常务委员会办公室</w:t>
            </w: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1,432.05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491.27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333.77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236.86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191.48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3.00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403.82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66.97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147.02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67.70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20.94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81.29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63.77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95.18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23.12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19.37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156.12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15.21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3.56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4.89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134.84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10.20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12.87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34.83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11.08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12.18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23.98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53.10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6.07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1,588.16</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491.27</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垫江县人民代表大会常务委员会办公室</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垫江县人民代表大会常务委员会办公室</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kern w:val="2"/>
                <w:sz w:val="20"/>
                <w:szCs w:val="20"/>
              </w:rPr>
            </w:pPr>
            <w:r>
              <w:rPr>
                <w:rFonts w:cs="宋体"/>
                <w:sz w:val="20"/>
                <w:szCs w:val="20"/>
              </w:rPr>
              <w:t>部门</w:t>
            </w:r>
            <w:r>
              <w:rPr>
                <w:rFonts w:cs="宋体"/>
                <w:kern w:val="2"/>
                <w:sz w:val="20"/>
                <w:szCs w:val="20"/>
              </w:rPr>
              <w:t>：</w:t>
            </w:r>
            <w:r>
              <w:rPr>
                <w:sz w:val="20"/>
              </w:rPr>
              <w:t>垫江县人民代表大会常务委员会办公室</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w:t>
            </w:r>
            <w:r>
              <w:rPr>
                <w:rFonts w:hint="eastAsia" w:cs="宋体"/>
                <w:b/>
                <w:kern w:val="2"/>
                <w:sz w:val="16"/>
                <w:szCs w:val="16"/>
                <w:lang w:eastAsia="zh-CN"/>
              </w:rPr>
              <w:t>三公</w:t>
            </w:r>
            <w:r>
              <w:rPr>
                <w:rFonts w:cs="宋体"/>
                <w:b/>
                <w:kern w:val="2"/>
                <w:sz w:val="16"/>
                <w:szCs w:val="16"/>
              </w:rPr>
              <w:t>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472.49</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28.88</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28.88</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472.49</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23.98</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23.98</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23.98</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23.98</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4.89</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4.89</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4.89</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3</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90</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970</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107.43</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7.56</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63.77</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18"/>
          <w:szCs w:val="18"/>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60sw4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rSzDj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484BE"/>
    <w:multiLevelType w:val="singleLevel"/>
    <w:tmpl w:val="E7B484B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533A0"/>
    <w:rsid w:val="000C01CC"/>
    <w:rsid w:val="000D7702"/>
    <w:rsid w:val="000F6721"/>
    <w:rsid w:val="001632EC"/>
    <w:rsid w:val="001D4A1F"/>
    <w:rsid w:val="00200A38"/>
    <w:rsid w:val="00261065"/>
    <w:rsid w:val="002823EF"/>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C1753"/>
    <w:rsid w:val="006E2034"/>
    <w:rsid w:val="00727095"/>
    <w:rsid w:val="00732392"/>
    <w:rsid w:val="00792285"/>
    <w:rsid w:val="007A0D2E"/>
    <w:rsid w:val="007A3314"/>
    <w:rsid w:val="007B419D"/>
    <w:rsid w:val="007C5C5B"/>
    <w:rsid w:val="00810F13"/>
    <w:rsid w:val="00826B47"/>
    <w:rsid w:val="00893689"/>
    <w:rsid w:val="00894211"/>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B0262"/>
    <w:rsid w:val="05BC6D49"/>
    <w:rsid w:val="06194FF1"/>
    <w:rsid w:val="06630764"/>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0B0E64"/>
    <w:rsid w:val="0D673E11"/>
    <w:rsid w:val="0DDA54E4"/>
    <w:rsid w:val="0E084ABF"/>
    <w:rsid w:val="0E3A5F83"/>
    <w:rsid w:val="0E74421A"/>
    <w:rsid w:val="0EA46639"/>
    <w:rsid w:val="0EC6180C"/>
    <w:rsid w:val="0F282A95"/>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8E500F"/>
    <w:rsid w:val="29310A5F"/>
    <w:rsid w:val="29C37A35"/>
    <w:rsid w:val="2A076083"/>
    <w:rsid w:val="2A73162E"/>
    <w:rsid w:val="2A751F0B"/>
    <w:rsid w:val="2A9D5D5D"/>
    <w:rsid w:val="2B167953"/>
    <w:rsid w:val="2B200583"/>
    <w:rsid w:val="2B220436"/>
    <w:rsid w:val="2B8209DE"/>
    <w:rsid w:val="2C6762A3"/>
    <w:rsid w:val="2CCA7779"/>
    <w:rsid w:val="2D8C1AA0"/>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743909"/>
    <w:rsid w:val="33E31118"/>
    <w:rsid w:val="33EF7674"/>
    <w:rsid w:val="342D7BC6"/>
    <w:rsid w:val="34475F39"/>
    <w:rsid w:val="348D24EA"/>
    <w:rsid w:val="352930DB"/>
    <w:rsid w:val="35573069"/>
    <w:rsid w:val="355F6038"/>
    <w:rsid w:val="358C217E"/>
    <w:rsid w:val="35937598"/>
    <w:rsid w:val="35FC6077"/>
    <w:rsid w:val="36C9128A"/>
    <w:rsid w:val="372E3953"/>
    <w:rsid w:val="37841E99"/>
    <w:rsid w:val="37BF1123"/>
    <w:rsid w:val="383C3F15"/>
    <w:rsid w:val="38BE4696"/>
    <w:rsid w:val="3939115E"/>
    <w:rsid w:val="39B82A39"/>
    <w:rsid w:val="39C42CA8"/>
    <w:rsid w:val="39DC4FD6"/>
    <w:rsid w:val="39DC55E7"/>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283CB1"/>
    <w:rsid w:val="43307B09"/>
    <w:rsid w:val="43470647"/>
    <w:rsid w:val="438D0E97"/>
    <w:rsid w:val="43BB152F"/>
    <w:rsid w:val="44494994"/>
    <w:rsid w:val="44C37687"/>
    <w:rsid w:val="452D1E26"/>
    <w:rsid w:val="45CB699A"/>
    <w:rsid w:val="465B470D"/>
    <w:rsid w:val="469D6AD4"/>
    <w:rsid w:val="471E6C84"/>
    <w:rsid w:val="4748792B"/>
    <w:rsid w:val="475D719D"/>
    <w:rsid w:val="47674801"/>
    <w:rsid w:val="48225EF7"/>
    <w:rsid w:val="488F422B"/>
    <w:rsid w:val="48E36915"/>
    <w:rsid w:val="495C4A24"/>
    <w:rsid w:val="497135DF"/>
    <w:rsid w:val="49D62BCE"/>
    <w:rsid w:val="4A1605D9"/>
    <w:rsid w:val="4A263DF2"/>
    <w:rsid w:val="4A653DFE"/>
    <w:rsid w:val="4A6F6675"/>
    <w:rsid w:val="4ABF0746"/>
    <w:rsid w:val="4B0502DF"/>
    <w:rsid w:val="4B135857"/>
    <w:rsid w:val="4B7951CB"/>
    <w:rsid w:val="4B7C315C"/>
    <w:rsid w:val="4BC75994"/>
    <w:rsid w:val="4CCF773C"/>
    <w:rsid w:val="4DAC4ACA"/>
    <w:rsid w:val="4DBE01D2"/>
    <w:rsid w:val="4EC92552"/>
    <w:rsid w:val="4EFC6D10"/>
    <w:rsid w:val="4F0C6BA3"/>
    <w:rsid w:val="4F10477D"/>
    <w:rsid w:val="4F186D58"/>
    <w:rsid w:val="4F351F9F"/>
    <w:rsid w:val="4FEA65B7"/>
    <w:rsid w:val="5042146E"/>
    <w:rsid w:val="50F06B6E"/>
    <w:rsid w:val="51126AE7"/>
    <w:rsid w:val="52234D33"/>
    <w:rsid w:val="52261ABA"/>
    <w:rsid w:val="522F6E0C"/>
    <w:rsid w:val="52463BA1"/>
    <w:rsid w:val="5298794F"/>
    <w:rsid w:val="52F163D4"/>
    <w:rsid w:val="531A2DB4"/>
    <w:rsid w:val="534112A6"/>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437232"/>
    <w:rsid w:val="5651697D"/>
    <w:rsid w:val="56530F5D"/>
    <w:rsid w:val="56692AE5"/>
    <w:rsid w:val="567700D3"/>
    <w:rsid w:val="56FF7E9E"/>
    <w:rsid w:val="578867FC"/>
    <w:rsid w:val="57DE1DA9"/>
    <w:rsid w:val="5842572D"/>
    <w:rsid w:val="5A3B59D6"/>
    <w:rsid w:val="5AD134D8"/>
    <w:rsid w:val="5B6503B1"/>
    <w:rsid w:val="5BEF5DAA"/>
    <w:rsid w:val="5C075F07"/>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2E7F82"/>
    <w:rsid w:val="6AAD2300"/>
    <w:rsid w:val="6B474EF5"/>
    <w:rsid w:val="6BBF53FD"/>
    <w:rsid w:val="6BC837AC"/>
    <w:rsid w:val="6C560CAE"/>
    <w:rsid w:val="6C576495"/>
    <w:rsid w:val="6D892A3A"/>
    <w:rsid w:val="6D903FF5"/>
    <w:rsid w:val="6DA955B8"/>
    <w:rsid w:val="6DE346AB"/>
    <w:rsid w:val="6DE5391A"/>
    <w:rsid w:val="6EEA437B"/>
    <w:rsid w:val="6EFD1324"/>
    <w:rsid w:val="6F5A53AC"/>
    <w:rsid w:val="6FAC003D"/>
    <w:rsid w:val="6FE55E12"/>
    <w:rsid w:val="6FFB2E76"/>
    <w:rsid w:val="708F6F7F"/>
    <w:rsid w:val="70D94BD3"/>
    <w:rsid w:val="71520131"/>
    <w:rsid w:val="71C34D91"/>
    <w:rsid w:val="72B4756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E430773"/>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普通(网站) Char Char"/>
    <w:basedOn w:val="1"/>
    <w:qFormat/>
    <w:uiPriority w:val="0"/>
    <w:pPr>
      <w:spacing w:before="100" w:beforeAutospacing="1" w:after="100" w:afterAutospacing="1"/>
    </w:pPr>
  </w:style>
  <w:style w:type="character" w:customStyle="1" w:styleId="18">
    <w:name w:val="33"/>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9198</Words>
  <Characters>12652</Characters>
  <Lines>113</Lines>
  <Paragraphs>32</Paragraphs>
  <TotalTime>9</TotalTime>
  <ScaleCrop>false</ScaleCrop>
  <LinksUpToDate>false</LinksUpToDate>
  <CharactersWithSpaces>13879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毕欢</cp:lastModifiedBy>
  <dcterms:modified xsi:type="dcterms:W3CDTF">2025-09-16T07:52:48Z</dcterms:modified>
  <dc:title>本部门及下属单位公开内容真实、准确、完整，不存在意识形态问题。</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FAF42C5E083B41588487284BA478E519_13</vt:lpwstr>
  </property>
  <property fmtid="{D5CDD505-2E9C-101B-9397-08002B2CF9AE}" pid="4" name="KSOTemplateDocerSaveRecord">
    <vt:lpwstr>eyJoZGlkIjoiYWMyMzI0MGEyYjM4NDZmZTRhOWRhYmE2MTkxYjllYmEiLCJ1c2VySWQiOiIyMDM2NzI1MyJ9</vt:lpwstr>
  </property>
</Properties>
</file>