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垫江县东部新区管理委员会（本级）</w:t>
      </w:r>
    </w:p>
    <w:p>
      <w:pPr>
        <w:pStyle w:val="7"/>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7"/>
        <w:shd w:val="clear" w:color="auto" w:fill="FFFFFF"/>
        <w:spacing w:before="0" w:beforeAutospacing="0" w:after="0" w:afterAutospacing="0" w:line="596" w:lineRule="exact"/>
        <w:ind w:firstLine="643"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一、单位基本情况</w:t>
      </w:r>
    </w:p>
    <w:p>
      <w:pPr>
        <w:pStyle w:val="7"/>
        <w:shd w:val="clear" w:color="auto" w:fill="FFFFFF"/>
        <w:ind w:firstLine="420"/>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（一）职能职责</w:t>
      </w:r>
    </w:p>
    <w:p>
      <w:pPr>
        <w:pStyle w:val="7"/>
        <w:shd w:val="clear" w:color="auto" w:fill="FFFFFF"/>
        <w:ind w:firstLine="640" w:firstLineChars="200"/>
        <w:rPr>
          <w:rFonts w:hint="default" w:ascii="Times New Roman" w:hAnsi="Times New Roman" w:eastAsia="方正仿宋_GBK" w:cs="方正仿宋_GBK"/>
          <w:kern w:val="2"/>
          <w:sz w:val="32"/>
          <w:szCs w:val="32"/>
        </w:rPr>
      </w:pPr>
      <w:r>
        <w:rPr>
          <w:rFonts w:ascii="Times New Roman" w:hAnsi="Times New Roman" w:eastAsia="方正仿宋_GBK" w:cs="方正仿宋_GBK"/>
          <w:kern w:val="2"/>
          <w:sz w:val="32"/>
          <w:szCs w:val="32"/>
        </w:rPr>
        <w:t>1.贯彻执行国家有关法律法规和政策，执行县政府有关决定和指示，研究制定并发布东部新区管理制度。2.负责编制和实施东部新区经济社会发展规划和专项规划；统筹规划东部新区的产业布局和发展计划；负责统筹推进东部新区城市品质提升工作；负责协调东部新区重大投资项目建设。3.负责东部新区招商引资和企业服务工作。4.负责组织编制东部新区国土空间总体规划及专项规划；负责根据东部新区总体规划编制近期建设规划和城市设计；负责统筹推进东部新区城市人居环境建设项目、公共建筑项目、基础设施及配套设施项目的规划、建设和管理工作。5.负责拟订东部新区用地计划，协助相关部门做好东部新区征地拆迁、土地集约利用和用途管控工作。6.负责东部新区机关、所属单位的</w:t>
      </w:r>
      <w:r>
        <w:rPr>
          <w:rFonts w:ascii="方正仿宋_GBK" w:hAnsi="方正仿宋_GBK" w:eastAsia="方正仿宋_GBK" w:cs="方正仿宋_GBK"/>
          <w:kern w:val="2"/>
          <w:sz w:val="32"/>
          <w:szCs w:val="32"/>
        </w:rPr>
        <w:t>财政预算、决算、财政收支管理和国有资产监督管理及审计，统筹安排财政专</w:t>
      </w:r>
      <w:r>
        <w:rPr>
          <w:rFonts w:ascii="Times New Roman" w:hAnsi="Times New Roman" w:eastAsia="方正仿宋_GBK" w:cs="方正仿宋_GBK"/>
          <w:kern w:val="2"/>
          <w:sz w:val="32"/>
          <w:szCs w:val="32"/>
        </w:rPr>
        <w:t>项资金；负责东部新区主要经济指标的综合统计和专项统计工作。7.按规定落实安全生产监管和生态环境保护职责；按规定负责节能减排、应急管理等工作。8.根据授权和委托，负责行使东部新区相关行政审批等管理事项和权限，组织开展相关执法工作。9.负责监督、协调及协助管理县级有关部门在东部新区的派出机构的工作。10.负责行使县政府按规定授予的其他职权。11.完成县政府交办的其他事项。</w:t>
      </w:r>
    </w:p>
    <w:p>
      <w:pPr>
        <w:pStyle w:val="7"/>
        <w:shd w:val="clear" w:color="auto" w:fill="FFFFFF"/>
        <w:ind w:firstLine="420"/>
        <w:rPr>
          <w:rStyle w:val="11"/>
          <w:rFonts w:hint="default" w:ascii="楷体" w:hAnsi="楷体" w:eastAsia="楷体" w:cs="楷体"/>
          <w:sz w:val="32"/>
          <w:szCs w:val="32"/>
          <w:shd w:val="clear" w:color="auto" w:fill="FFFFFF"/>
        </w:rPr>
      </w:pPr>
      <w:r>
        <w:rPr>
          <w:rStyle w:val="11"/>
          <w:rFonts w:ascii="楷体" w:hAnsi="楷体" w:eastAsia="楷体" w:cs="楷体"/>
          <w:sz w:val="32"/>
          <w:szCs w:val="32"/>
          <w:shd w:val="clear" w:color="auto" w:fill="FFFFFF"/>
        </w:rPr>
        <w:t>（二）机构设置</w:t>
      </w:r>
    </w:p>
    <w:p>
      <w:pPr>
        <w:pStyle w:val="7"/>
        <w:shd w:val="clear" w:color="auto" w:fill="FFFFFF"/>
        <w:ind w:firstLine="640" w:firstLineChars="200"/>
        <w:rPr>
          <w:rFonts w:hint="default" w:ascii="仿宋" w:hAnsi="仿宋" w:eastAsia="仿宋" w:cs="仿宋"/>
          <w:sz w:val="32"/>
          <w:szCs w:val="32"/>
        </w:rPr>
      </w:pPr>
      <w:r>
        <w:rPr>
          <w:rFonts w:ascii="仿宋" w:hAnsi="仿宋" w:eastAsia="仿宋" w:cs="仿宋"/>
          <w:color w:val="000000"/>
          <w:kern w:val="2"/>
          <w:sz w:val="32"/>
          <w:szCs w:val="32"/>
        </w:rPr>
        <w:t>东部新区管委会下属1个事业单位：垫江县东部新区服务中心，设6个内设机构：综合部（党群工作部）、财务部、招商部、规划发展部、建设管理部、运营管理部。</w:t>
      </w:r>
    </w:p>
    <w:p>
      <w:pPr>
        <w:pStyle w:val="7"/>
        <w:shd w:val="clear" w:color="auto" w:fill="FFFFFF"/>
        <w:spacing w:before="0" w:beforeAutospacing="0" w:after="0" w:afterAutospacing="0" w:line="596" w:lineRule="exact"/>
        <w:ind w:firstLine="643"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二、单位决算收支情况说明</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7"/>
        <w:shd w:val="clear" w:color="auto" w:fill="FFFFFF"/>
        <w:ind w:firstLine="643" w:firstLineChars="200"/>
        <w:rPr>
          <w:rFonts w:hint="default" w:ascii="仿宋_GB2312" w:hAnsi="仿宋" w:eastAsia="仿宋_GB2312"/>
          <w:sz w:val="32"/>
          <w:szCs w:val="32"/>
        </w:rPr>
      </w:pPr>
      <w:r>
        <w:rPr>
          <w:rStyle w:val="11"/>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2024年度收入总计66868.76万元，支出总计</w:t>
      </w:r>
      <w:r>
        <w:rPr>
          <w:rFonts w:ascii="方正仿宋_GBK" w:hAnsi="方正仿宋_GBK" w:eastAsia="方正仿宋_GBK" w:cs="方正仿宋_GBK"/>
          <w:sz w:val="32"/>
          <w:szCs w:val="32"/>
        </w:rPr>
        <w:t>66868.76</w:t>
      </w:r>
      <w:r>
        <w:rPr>
          <w:rFonts w:ascii="方正仿宋_GBK" w:hAnsi="方正仿宋_GBK" w:eastAsia="方正仿宋_GBK" w:cs="方正仿宋_GBK"/>
          <w:sz w:val="32"/>
          <w:szCs w:val="32"/>
          <w:shd w:val="clear" w:color="auto" w:fill="FFFFFF"/>
        </w:rPr>
        <w:t>万元。收、支与2023年度相比，减少34435.79万元，下降33.99%，主要原因是</w:t>
      </w:r>
      <w:r>
        <w:rPr>
          <w:rFonts w:ascii="仿宋_GB2312" w:hAnsi="仿宋" w:eastAsia="仿宋_GB2312"/>
          <w:sz w:val="32"/>
          <w:szCs w:val="32"/>
        </w:rPr>
        <w:t>本年度划拨给东部新区实业公司基础设施建设项目政府</w:t>
      </w:r>
      <w:r>
        <w:rPr>
          <w:rFonts w:ascii="方正仿宋_GBK" w:hAnsi="方正仿宋_GBK" w:eastAsia="方正仿宋_GBK" w:cs="方正仿宋_GBK"/>
          <w:sz w:val="32"/>
          <w:szCs w:val="32"/>
          <w:shd w:val="clear" w:color="auto" w:fill="FFFFFF"/>
        </w:rPr>
        <w:t>购买服务款36386.36万元，2023年为71200万元，减少34813.64万元。</w:t>
      </w:r>
    </w:p>
    <w:p>
      <w:pPr>
        <w:pStyle w:val="7"/>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66868.76万元，与2023年度相比，减少34365.79万元，下降33.95%，主要原因是本年度划拨给东部新区实业公司基础设施建设项目政府购买服务款36386.36万元，2023年为71200万元，减少34813.64万元。其中：财政拨款收入</w:t>
      </w:r>
      <w:r>
        <w:rPr>
          <w:rFonts w:ascii="方正仿宋_GBK" w:hAnsi="方正仿宋_GBK" w:eastAsia="方正仿宋_GBK" w:cs="方正仿宋_GBK"/>
          <w:sz w:val="32"/>
          <w:szCs w:val="32"/>
        </w:rPr>
        <w:t>66868.76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66868.76</w:t>
      </w:r>
      <w:r>
        <w:rPr>
          <w:rFonts w:ascii="方正仿宋_GBK" w:hAnsi="方正仿宋_GBK" w:eastAsia="方正仿宋_GBK" w:cs="方正仿宋_GBK"/>
          <w:sz w:val="32"/>
          <w:szCs w:val="32"/>
          <w:shd w:val="clear" w:color="auto" w:fill="FFFFFF"/>
        </w:rPr>
        <w:t>万元，与2023年度相比，减少34435.79万元，下降33.99%，主要原因是本年度划拨给东部新区实业公司基础设施建设项目政府购买服务款36386.36万元,2023年为71200万元，减少34813.64万元。其中：基本支出</w:t>
      </w:r>
      <w:r>
        <w:rPr>
          <w:rFonts w:ascii="方正仿宋_GBK" w:hAnsi="方正仿宋_GBK" w:eastAsia="方正仿宋_GBK" w:cs="方正仿宋_GBK"/>
          <w:sz w:val="32"/>
          <w:szCs w:val="32"/>
        </w:rPr>
        <w:t>253.82</w:t>
      </w:r>
      <w:r>
        <w:rPr>
          <w:rFonts w:ascii="方正仿宋_GBK" w:hAnsi="方正仿宋_GBK" w:eastAsia="方正仿宋_GBK" w:cs="方正仿宋_GBK"/>
          <w:sz w:val="32"/>
          <w:szCs w:val="32"/>
          <w:shd w:val="clear" w:color="auto" w:fill="FFFFFF"/>
        </w:rPr>
        <w:t>万元，占0.38%；项目支出</w:t>
      </w:r>
      <w:r>
        <w:rPr>
          <w:rFonts w:ascii="方正仿宋_GBK" w:hAnsi="方正仿宋_GBK" w:eastAsia="方正仿宋_GBK" w:cs="方正仿宋_GBK"/>
          <w:sz w:val="32"/>
          <w:szCs w:val="32"/>
        </w:rPr>
        <w:t>66614.94</w:t>
      </w:r>
      <w:r>
        <w:rPr>
          <w:rFonts w:ascii="方正仿宋_GBK" w:hAnsi="方正仿宋_GBK" w:eastAsia="方正仿宋_GBK" w:cs="方正仿宋_GBK"/>
          <w:sz w:val="32"/>
          <w:szCs w:val="32"/>
          <w:shd w:val="clear" w:color="auto" w:fill="FFFFFF"/>
        </w:rPr>
        <w:t>万元，占99.62%；经营支出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仿宋_GB2312" w:hAnsi="仿宋" w:eastAsia="仿宋_GB2312"/>
          <w:sz w:val="32"/>
          <w:szCs w:val="32"/>
        </w:rPr>
        <w:t>本</w:t>
      </w:r>
      <w:r>
        <w:rPr>
          <w:rFonts w:ascii="Times New Roman" w:hAnsi="Times New Roman" w:eastAsia="方正仿宋_GBK" w:cs="方正仿宋_GBK"/>
          <w:sz w:val="32"/>
          <w:szCs w:val="32"/>
          <w:shd w:val="clear" w:color="auto" w:fill="FFFFFF"/>
          <w:lang w:bidi="ar"/>
        </w:rPr>
        <w:t>单位</w:t>
      </w:r>
      <w:r>
        <w:rPr>
          <w:rFonts w:ascii="方正仿宋_GBK" w:hAnsi="方正仿宋_GBK" w:eastAsia="方正仿宋_GBK" w:cs="方正仿宋_GBK"/>
          <w:sz w:val="32"/>
          <w:szCs w:val="32"/>
          <w:shd w:val="clear" w:color="auto" w:fill="FFFFFF"/>
        </w:rPr>
        <w:t>2024年</w:t>
      </w:r>
      <w:r>
        <w:rPr>
          <w:rFonts w:ascii="Times New Roman" w:hAnsi="Times New Roman" w:eastAsia="方正仿宋_GBK" w:cs="方正仿宋_GBK"/>
          <w:sz w:val="32"/>
          <w:szCs w:val="32"/>
          <w:shd w:val="clear" w:color="auto" w:fill="FFFFFF"/>
          <w:lang w:bidi="ar"/>
        </w:rPr>
        <w:t>财政收支平衡，无任何</w:t>
      </w:r>
      <w:r>
        <w:rPr>
          <w:rFonts w:ascii="Times New Roman" w:hAnsi="Times New Roman" w:eastAsia="方正仿宋_GBK" w:cs="方正仿宋_GBK"/>
          <w:sz w:val="32"/>
          <w:szCs w:val="32"/>
          <w:shd w:val="clear" w:color="auto" w:fill="FFFFFF"/>
        </w:rPr>
        <w:t>结转</w:t>
      </w:r>
      <w:r>
        <w:rPr>
          <w:rFonts w:ascii="Times New Roman" w:hAnsi="Times New Roman" w:eastAsia="方正仿宋_GBK" w:cs="方正仿宋_GBK"/>
          <w:sz w:val="32"/>
          <w:szCs w:val="32"/>
          <w:shd w:val="clear" w:color="auto" w:fill="FFFFFF"/>
          <w:lang w:bidi="ar"/>
        </w:rPr>
        <w:t>结余。</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66868.76万元。与2023年相比，财政拨款收、支总计各减少34435.79万元，下降33.99%。主要原因是本年度划拨给东部新区实业公司基础设施建设项目政府购买服务款36386.36万元,2023年为71200万元，减少34813.64万元。</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30464.23</w:t>
      </w:r>
      <w:r>
        <w:rPr>
          <w:rFonts w:ascii="方正仿宋_GBK" w:hAnsi="方正仿宋_GBK" w:eastAsia="方正仿宋_GBK" w:cs="方正仿宋_GBK"/>
          <w:sz w:val="32"/>
          <w:szCs w:val="32"/>
          <w:shd w:val="clear" w:color="auto" w:fill="FFFFFF"/>
        </w:rPr>
        <w:t>万元，与2023年度相比，增加429.68万元，增长1.43%。主要原因是</w:t>
      </w:r>
      <w:r>
        <w:rPr>
          <w:rFonts w:ascii="仿宋_GB2312" w:hAnsi="仿宋" w:eastAsia="仿宋_GB2312"/>
          <w:sz w:val="32"/>
          <w:szCs w:val="32"/>
        </w:rPr>
        <w:t>本年度</w:t>
      </w:r>
      <w:r>
        <w:rPr>
          <w:rFonts w:ascii="方正仿宋_GBK" w:hAnsi="方正仿宋_GBK" w:eastAsia="方正仿宋_GBK" w:cs="方正仿宋_GBK"/>
          <w:sz w:val="32"/>
          <w:szCs w:val="32"/>
          <w:shd w:val="clear" w:color="auto" w:fill="FFFFFF"/>
        </w:rPr>
        <w:t>东部片区新型城镇化PPP项目可行性缺口补助</w:t>
      </w:r>
      <w:r>
        <w:rPr>
          <w:rFonts w:ascii="仿宋_GB2312" w:hAnsi="仿宋" w:eastAsia="仿宋_GB2312"/>
          <w:sz w:val="32"/>
          <w:szCs w:val="32"/>
        </w:rPr>
        <w:t>经费拨款增加。</w:t>
      </w:r>
      <w:r>
        <w:rPr>
          <w:rFonts w:ascii="方正仿宋_GBK" w:hAnsi="方正仿宋_GBK" w:eastAsia="方正仿宋_GBK" w:cs="方正仿宋_GBK"/>
          <w:sz w:val="32"/>
          <w:szCs w:val="32"/>
          <w:shd w:val="clear" w:color="auto" w:fill="FFFFFF"/>
        </w:rPr>
        <w:t>较年初预算数增加11974.78万元，增长64.77%。主要原因是</w:t>
      </w:r>
      <w:r>
        <w:rPr>
          <w:rFonts w:ascii="仿宋_GB2312" w:hAnsi="仿宋" w:eastAsia="仿宋_GB2312"/>
          <w:sz w:val="32"/>
          <w:szCs w:val="32"/>
        </w:rPr>
        <w:t>本年度</w:t>
      </w:r>
      <w:r>
        <w:rPr>
          <w:rFonts w:ascii="方正仿宋_GBK" w:hAnsi="方正仿宋_GBK" w:eastAsia="方正仿宋_GBK" w:cs="方正仿宋_GBK"/>
          <w:sz w:val="32"/>
          <w:szCs w:val="32"/>
          <w:shd w:val="clear" w:color="auto" w:fill="FFFFFF"/>
        </w:rPr>
        <w:t>东部片区新型城镇化PPP项目可行性缺口补助</w:t>
      </w:r>
      <w:r>
        <w:rPr>
          <w:rFonts w:ascii="仿宋_GB2312" w:hAnsi="仿宋" w:eastAsia="仿宋_GB2312"/>
          <w:sz w:val="32"/>
          <w:szCs w:val="32"/>
        </w:rPr>
        <w:t>经费拨款增加。</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30464.23</w:t>
      </w:r>
      <w:r>
        <w:rPr>
          <w:rFonts w:ascii="方正仿宋_GBK" w:hAnsi="方正仿宋_GBK" w:eastAsia="方正仿宋_GBK" w:cs="方正仿宋_GBK"/>
          <w:sz w:val="32"/>
          <w:szCs w:val="32"/>
          <w:shd w:val="clear" w:color="auto" w:fill="FFFFFF"/>
        </w:rPr>
        <w:t>万元，与2023年度相比，增加359.68万元，增长1.19%。主要原因是2024</w:t>
      </w:r>
      <w:r>
        <w:rPr>
          <w:rFonts w:ascii="仿宋_GB2312" w:hAnsi="仿宋" w:eastAsia="仿宋_GB2312"/>
          <w:sz w:val="32"/>
          <w:szCs w:val="32"/>
        </w:rPr>
        <w:t>年</w:t>
      </w:r>
      <w:r>
        <w:rPr>
          <w:rFonts w:ascii="方正仿宋_GBK" w:hAnsi="方正仿宋_GBK" w:eastAsia="方正仿宋_GBK" w:cs="方正仿宋_GBK"/>
          <w:sz w:val="32"/>
          <w:szCs w:val="32"/>
          <w:shd w:val="clear" w:color="auto" w:fill="FFFFFF"/>
        </w:rPr>
        <w:t>东部片区新型城镇化PPP项目可行性缺口补助</w:t>
      </w:r>
      <w:r>
        <w:rPr>
          <w:rFonts w:ascii="仿宋_GB2312" w:hAnsi="仿宋" w:eastAsia="仿宋_GB2312"/>
          <w:sz w:val="32"/>
          <w:szCs w:val="32"/>
        </w:rPr>
        <w:t>经费拨款增加。</w:t>
      </w:r>
      <w:r>
        <w:rPr>
          <w:rFonts w:ascii="方正仿宋_GBK" w:hAnsi="方正仿宋_GBK" w:eastAsia="方正仿宋_GBK" w:cs="方正仿宋_GBK"/>
          <w:sz w:val="32"/>
          <w:szCs w:val="32"/>
          <w:shd w:val="clear" w:color="auto" w:fill="FFFFFF"/>
        </w:rPr>
        <w:t>较年初预算数增加11974.78万元，增长64.77%。主要原因是</w:t>
      </w:r>
      <w:r>
        <w:rPr>
          <w:rFonts w:ascii="仿宋_GB2312" w:hAnsi="仿宋" w:eastAsia="仿宋_GB2312"/>
          <w:sz w:val="32"/>
          <w:szCs w:val="32"/>
        </w:rPr>
        <w:t>本年度</w:t>
      </w:r>
      <w:r>
        <w:rPr>
          <w:rFonts w:ascii="方正仿宋_GBK" w:hAnsi="方正仿宋_GBK" w:eastAsia="方正仿宋_GBK" w:cs="方正仿宋_GBK"/>
          <w:sz w:val="32"/>
          <w:szCs w:val="32"/>
          <w:shd w:val="clear" w:color="auto" w:fill="FFFFFF"/>
        </w:rPr>
        <w:t>东部片区新型城镇化PPP项目可行性缺口补助</w:t>
      </w:r>
      <w:r>
        <w:rPr>
          <w:rFonts w:ascii="仿宋_GB2312" w:hAnsi="仿宋" w:eastAsia="仿宋_GB2312"/>
          <w:sz w:val="32"/>
          <w:szCs w:val="32"/>
        </w:rPr>
        <w:t>经费拨款增加。</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仿宋_GB2312" w:hAnsi="仿宋" w:eastAsia="仿宋_GB2312"/>
          <w:sz w:val="32"/>
          <w:szCs w:val="32"/>
        </w:rPr>
        <w:t>本</w:t>
      </w:r>
      <w:r>
        <w:rPr>
          <w:rFonts w:ascii="Times New Roman" w:hAnsi="Times New Roman" w:eastAsia="方正仿宋_GBK" w:cs="方正仿宋_GBK"/>
          <w:sz w:val="32"/>
          <w:szCs w:val="32"/>
          <w:shd w:val="clear" w:color="auto" w:fill="FFFFFF"/>
          <w:lang w:bidi="ar"/>
        </w:rPr>
        <w:t>单位</w:t>
      </w:r>
      <w:r>
        <w:rPr>
          <w:rFonts w:ascii="方正仿宋_GBK" w:hAnsi="方正仿宋_GBK" w:eastAsia="方正仿宋_GBK" w:cs="方正仿宋_GBK"/>
          <w:sz w:val="32"/>
          <w:szCs w:val="32"/>
          <w:shd w:val="clear" w:color="auto" w:fill="FFFFFF"/>
        </w:rPr>
        <w:t>2024年</w:t>
      </w:r>
      <w:r>
        <w:rPr>
          <w:rFonts w:ascii="Times New Roman" w:hAnsi="Times New Roman" w:eastAsia="方正仿宋_GBK" w:cs="方正仿宋_GBK"/>
          <w:sz w:val="32"/>
          <w:szCs w:val="32"/>
          <w:shd w:val="clear" w:color="auto" w:fill="FFFFFF"/>
          <w:lang w:bidi="ar"/>
        </w:rPr>
        <w:t>财政收支平衡，无任何</w:t>
      </w:r>
      <w:r>
        <w:rPr>
          <w:rFonts w:ascii="Times New Roman" w:hAnsi="Times New Roman" w:eastAsia="方正仿宋_GBK" w:cs="方正仿宋_GBK"/>
          <w:sz w:val="32"/>
          <w:szCs w:val="32"/>
          <w:shd w:val="clear" w:color="auto" w:fill="FFFFFF"/>
        </w:rPr>
        <w:t>结转</w:t>
      </w:r>
      <w:r>
        <w:rPr>
          <w:rFonts w:ascii="Times New Roman" w:hAnsi="Times New Roman" w:eastAsia="方正仿宋_GBK" w:cs="方正仿宋_GBK"/>
          <w:sz w:val="32"/>
          <w:szCs w:val="32"/>
          <w:shd w:val="clear" w:color="auto" w:fill="FFFFFF"/>
          <w:lang w:bidi="ar"/>
        </w:rPr>
        <w:t>结余。</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1"/>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191.73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0.63</w:t>
      </w:r>
      <w:r>
        <w:rPr>
          <w:rFonts w:ascii="方正仿宋_GBK" w:hAnsi="方正仿宋_GBK" w:eastAsia="方正仿宋_GBK" w:cs="方正仿宋_GBK"/>
          <w:sz w:val="32"/>
          <w:szCs w:val="32"/>
          <w:shd w:val="clear" w:color="auto" w:fill="FFFFFF"/>
        </w:rPr>
        <w:t>%，较年初预算数减少17.61万元，下降8.41%，主要原因是本年度压减公用经费开支，节约资金。</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（2）教育支出</w:t>
      </w:r>
      <w:r>
        <w:rPr>
          <w:rFonts w:ascii="方正仿宋_GBK" w:hAnsi="方正仿宋_GBK" w:eastAsia="方正仿宋_GBK" w:cs="方正仿宋_GBK"/>
          <w:sz w:val="32"/>
          <w:szCs w:val="32"/>
        </w:rPr>
        <w:t>0.79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%，较年初预算数无增减，主要原因是本单位2024年教育支出与年初预算数一致。</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（3）社会保障与就业支出</w:t>
      </w:r>
      <w:r>
        <w:rPr>
          <w:rFonts w:ascii="方正仿宋_GBK" w:hAnsi="方正仿宋_GBK" w:eastAsia="方正仿宋_GBK" w:cs="方正仿宋_GBK"/>
          <w:sz w:val="32"/>
          <w:szCs w:val="32"/>
        </w:rPr>
        <w:t>42.87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0.14</w:t>
      </w:r>
      <w:r>
        <w:rPr>
          <w:rFonts w:ascii="方正仿宋_GBK" w:hAnsi="方正仿宋_GBK" w:eastAsia="方正仿宋_GBK" w:cs="方正仿宋_GBK"/>
          <w:sz w:val="32"/>
          <w:szCs w:val="32"/>
          <w:shd w:val="clear" w:color="auto" w:fill="FFFFFF"/>
        </w:rPr>
        <w:t>%，较年初预算数增加8.28万元，增长23.94%，主要原因是职工工资基数增长导致养老保险、职业年金缴纳增多，发放1名职工退休补贴。</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（4）卫生健康支出</w:t>
      </w:r>
      <w:r>
        <w:rPr>
          <w:rFonts w:ascii="方正仿宋_GBK" w:hAnsi="方正仿宋_GBK" w:eastAsia="方正仿宋_GBK" w:cs="方正仿宋_GBK"/>
          <w:sz w:val="32"/>
          <w:szCs w:val="32"/>
        </w:rPr>
        <w:t>11.31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0.04</w:t>
      </w:r>
      <w:r>
        <w:rPr>
          <w:rFonts w:ascii="方正仿宋_GBK" w:hAnsi="方正仿宋_GBK" w:eastAsia="方正仿宋_GBK" w:cs="方正仿宋_GBK"/>
          <w:sz w:val="32"/>
          <w:szCs w:val="32"/>
          <w:shd w:val="clear" w:color="auto" w:fill="FFFFFF"/>
        </w:rPr>
        <w:t>%，较年初预算数减少3.10万元，下降21.51%，主要原因是1名职工调离、1名职工退休。</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（5）节能环保支出</w:t>
      </w:r>
      <w:r>
        <w:rPr>
          <w:rFonts w:ascii="方正仿宋_GBK" w:hAnsi="方正仿宋_GBK" w:eastAsia="方正仿宋_GBK" w:cs="方正仿宋_GBK"/>
          <w:sz w:val="32"/>
          <w:szCs w:val="32"/>
        </w:rPr>
        <w:t>1500.00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4.92</w:t>
      </w:r>
      <w:r>
        <w:rPr>
          <w:rFonts w:ascii="方正仿宋_GBK" w:hAnsi="方正仿宋_GBK" w:eastAsia="方正仿宋_GBK" w:cs="方正仿宋_GBK"/>
          <w:sz w:val="32"/>
          <w:szCs w:val="32"/>
          <w:shd w:val="clear" w:color="auto" w:fill="FFFFFF"/>
        </w:rPr>
        <w:t>%，较年初预算数增加1500.00万元，增长100.00%，主要原因是2024年东部片区新型城镇化PPP项目可行性缺口补助增加。</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（6）城乡社区支出</w:t>
      </w:r>
      <w:r>
        <w:rPr>
          <w:rFonts w:ascii="方正仿宋_GBK" w:hAnsi="方正仿宋_GBK" w:eastAsia="方正仿宋_GBK" w:cs="方正仿宋_GBK"/>
          <w:sz w:val="32"/>
          <w:szCs w:val="32"/>
        </w:rPr>
        <w:t>28699.21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94.21</w:t>
      </w:r>
      <w:r>
        <w:rPr>
          <w:rFonts w:ascii="方正仿宋_GBK" w:hAnsi="方正仿宋_GBK" w:eastAsia="方正仿宋_GBK" w:cs="方正仿宋_GBK"/>
          <w:sz w:val="32"/>
          <w:szCs w:val="32"/>
          <w:shd w:val="clear" w:color="auto" w:fill="FFFFFF"/>
        </w:rPr>
        <w:t>%，较年初预算数增加10488.16万元，增长57.59%，主要原因是2024年东部片区新型城镇化PPP项目可行性缺口补助增加。</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（7）</w:t>
      </w:r>
      <w:r>
        <w:rPr>
          <w:rFonts w:ascii="方正仿宋_GBK" w:hAnsi="方正仿宋_GBK" w:eastAsia="方正仿宋_GBK" w:cs="方正仿宋_GBK"/>
          <w:sz w:val="32"/>
          <w:szCs w:val="32"/>
        </w:rPr>
        <w:t>住房保障支出18.33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0.06</w:t>
      </w:r>
      <w:r>
        <w:rPr>
          <w:rFonts w:ascii="方正仿宋_GBK" w:hAnsi="方正仿宋_GBK" w:eastAsia="方正仿宋_GBK" w:cs="方正仿宋_GBK"/>
          <w:sz w:val="32"/>
          <w:szCs w:val="32"/>
          <w:shd w:val="clear" w:color="auto" w:fill="FFFFFF"/>
        </w:rPr>
        <w:t>%，较年初预算数减少0.94万元，下降4.88%，主要原因是1名职工调离、1名职工退休。</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2024年度一般公共财政拨款基本支出</w:t>
      </w:r>
      <w:r>
        <w:rPr>
          <w:rFonts w:ascii="方正仿宋_GBK" w:hAnsi="方正仿宋_GBK" w:eastAsia="方正仿宋_GBK" w:cs="方正仿宋_GBK"/>
          <w:sz w:val="32"/>
          <w:szCs w:val="32"/>
        </w:rPr>
        <w:t>253.82</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206.50</w:t>
      </w:r>
      <w:r>
        <w:rPr>
          <w:rFonts w:ascii="方正仿宋_GBK" w:hAnsi="方正仿宋_GBK" w:eastAsia="方正仿宋_GBK" w:cs="方正仿宋_GBK"/>
          <w:sz w:val="32"/>
          <w:szCs w:val="32"/>
          <w:shd w:val="clear" w:color="auto" w:fill="FFFFFF"/>
        </w:rPr>
        <w:t>万元，与2023年度相比，减少38.63万元，下降15.76%，主要原因是1名职工调离、1名职工退休。人员经费用途主要包括</w:t>
      </w:r>
      <w:r>
        <w:rPr>
          <w:rFonts w:ascii="Times New Roman" w:hAnsi="Times New Roman" w:eastAsia="方正仿宋_GBK" w:cs="方正仿宋_GBK"/>
          <w:sz w:val="32"/>
          <w:szCs w:val="32"/>
          <w:shd w:val="clear" w:color="auto" w:fill="FFFFFF"/>
        </w:rPr>
        <w:t>基本工资、绩效工资</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津</w:t>
      </w:r>
      <w:r>
        <w:rPr>
          <w:rFonts w:ascii="方正仿宋_GBK" w:hAnsi="方正仿宋_GBK" w:eastAsia="方正仿宋_GBK" w:cs="方正仿宋_GBK"/>
          <w:sz w:val="32"/>
          <w:szCs w:val="32"/>
          <w:shd w:val="clear" w:color="auto" w:fill="FFFFFF"/>
        </w:rPr>
        <w:t>补贴、养老保险、医疗保险、工伤保险、职业年金、住房公积金等。公用经费</w:t>
      </w:r>
      <w:r>
        <w:rPr>
          <w:rFonts w:ascii="方正仿宋_GBK" w:hAnsi="方正仿宋_GBK" w:eastAsia="方正仿宋_GBK" w:cs="方正仿宋_GBK"/>
          <w:sz w:val="32"/>
          <w:szCs w:val="32"/>
        </w:rPr>
        <w:t>47.32</w:t>
      </w:r>
      <w:r>
        <w:rPr>
          <w:rFonts w:ascii="方正仿宋_GBK" w:hAnsi="方正仿宋_GBK" w:eastAsia="方正仿宋_GBK" w:cs="方正仿宋_GBK"/>
          <w:sz w:val="32"/>
          <w:szCs w:val="32"/>
          <w:shd w:val="clear" w:color="auto" w:fill="FFFFFF"/>
        </w:rPr>
        <w:t>万元，与2023年度相比，减少27.98万元，下降37.16%，主要原因是本年度压减公用经费开支，节约资金。公用经费用途主要包括</w:t>
      </w:r>
      <w:r>
        <w:rPr>
          <w:rFonts w:ascii="Times New Roman" w:hAnsi="Times New Roman" w:eastAsia="方正仿宋_GBK" w:cs="方正仿宋_GBK"/>
          <w:sz w:val="32"/>
          <w:szCs w:val="32"/>
          <w:shd w:val="clear" w:color="auto" w:fill="FFFFFF"/>
        </w:rPr>
        <w:t>差旅费、办公费、印刷费、会议费、邮电费、劳务费、工会经费、</w:t>
      </w:r>
      <w:r>
        <w:rPr>
          <w:rFonts w:hint="eastAsia" w:ascii="Times New Roman" w:hAnsi="Times New Roman" w:eastAsia="方正仿宋_GBK" w:cs="方正仿宋_GBK"/>
          <w:sz w:val="32"/>
          <w:szCs w:val="32"/>
          <w:shd w:val="clear" w:color="auto" w:fill="FFFFFF"/>
          <w:lang w:eastAsia="zh-CN"/>
        </w:rPr>
        <w:t>三公</w:t>
      </w:r>
      <w:r>
        <w:rPr>
          <w:rFonts w:ascii="Times New Roman" w:hAnsi="Times New Roman" w:eastAsia="方正仿宋_GBK" w:cs="方正仿宋_GBK"/>
          <w:sz w:val="32"/>
          <w:szCs w:val="32"/>
          <w:shd w:val="clear" w:color="auto" w:fill="FFFFFF"/>
        </w:rPr>
        <w:t>经费等。</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7"/>
        <w:shd w:val="clear" w:color="auto" w:fill="FFFFFF"/>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36404.53</w:t>
      </w:r>
      <w:r>
        <w:rPr>
          <w:rFonts w:ascii="方正仿宋_GBK" w:hAnsi="方正仿宋_GBK" w:eastAsia="方正仿宋_GBK" w:cs="方正仿宋_GBK"/>
          <w:sz w:val="32"/>
          <w:szCs w:val="32"/>
          <w:shd w:val="clear" w:color="auto" w:fill="FFFFFF"/>
        </w:rPr>
        <w:t>万元，与2023年度相比，减少34795.47万元，下降48.87%，主要原因是垫江县三合片区路网基础设施建设项目政府购买服务等</w:t>
      </w:r>
      <w:r>
        <w:rPr>
          <w:rFonts w:hint="default" w:ascii="方正仿宋_GBK" w:hAnsi="方正仿宋_GBK" w:eastAsia="方正仿宋_GBK" w:cs="方正仿宋_GBK"/>
          <w:sz w:val="32"/>
          <w:szCs w:val="32"/>
          <w:shd w:val="clear" w:color="auto" w:fill="FFFFFF"/>
        </w:rPr>
        <w:t>项目</w:t>
      </w:r>
      <w:r>
        <w:rPr>
          <w:rFonts w:ascii="方正仿宋_GBK" w:hAnsi="方正仿宋_GBK" w:eastAsia="方正仿宋_GBK" w:cs="方正仿宋_GBK"/>
          <w:sz w:val="32"/>
          <w:szCs w:val="32"/>
          <w:shd w:val="clear" w:color="auto" w:fill="FFFFFF"/>
        </w:rPr>
        <w:t>经费拨款降低。本年支出</w:t>
      </w:r>
      <w:r>
        <w:rPr>
          <w:rFonts w:ascii="方正仿宋_GBK" w:hAnsi="方正仿宋_GBK" w:eastAsia="方正仿宋_GBK" w:cs="方正仿宋_GBK"/>
          <w:sz w:val="32"/>
          <w:szCs w:val="32"/>
        </w:rPr>
        <w:t>36404.53</w:t>
      </w:r>
      <w:r>
        <w:rPr>
          <w:rFonts w:ascii="方正仿宋_GBK" w:hAnsi="方正仿宋_GBK" w:eastAsia="方正仿宋_GBK" w:cs="方正仿宋_GBK"/>
          <w:sz w:val="32"/>
          <w:szCs w:val="32"/>
          <w:shd w:val="clear" w:color="auto" w:fill="FFFFFF"/>
        </w:rPr>
        <w:t>万元，与2023年度相比，减少34795.47万元，下降48.87%，主要原因是垫江县三合片区路网基础设施建设项目政府购买服务等</w:t>
      </w:r>
      <w:r>
        <w:rPr>
          <w:rFonts w:hint="default" w:ascii="方正仿宋_GBK" w:hAnsi="方正仿宋_GBK" w:eastAsia="方正仿宋_GBK" w:cs="方正仿宋_GBK"/>
          <w:sz w:val="32"/>
          <w:szCs w:val="32"/>
          <w:shd w:val="clear" w:color="auto" w:fill="FFFFFF"/>
        </w:rPr>
        <w:t>项目</w:t>
      </w:r>
      <w:r>
        <w:rPr>
          <w:rFonts w:ascii="方正仿宋_GBK" w:hAnsi="方正仿宋_GBK" w:eastAsia="方正仿宋_GBK" w:cs="方正仿宋_GBK"/>
          <w:sz w:val="32"/>
          <w:szCs w:val="32"/>
          <w:shd w:val="clear" w:color="auto" w:fill="FFFFFF"/>
        </w:rPr>
        <w:t>经费拨款降低。</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2024年度国有资本经营预算财政拨</w:t>
      </w:r>
      <w:r>
        <w:rPr>
          <w:rFonts w:hint="eastAsia" w:ascii="方正仿宋_GBK" w:hAnsi="方正仿宋_GBK" w:eastAsia="方正仿宋_GBK" w:cs="方正仿宋_GBK"/>
          <w:sz w:val="32"/>
          <w:szCs w:val="32"/>
          <w:shd w:val="clear" w:color="auto" w:fill="FFFFFF"/>
          <w:lang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万元。本部门202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7"/>
        <w:shd w:val="clear" w:color="auto" w:fill="FFFFFF"/>
        <w:spacing w:before="0" w:beforeAutospacing="0" w:after="0" w:afterAutospacing="0" w:line="596" w:lineRule="exact"/>
        <w:ind w:firstLine="643" w:firstLineChars="200"/>
        <w:rPr>
          <w:rFonts w:hint="default" w:ascii="方正仿宋_GBK" w:hAnsi="方正仿宋_GBK" w:eastAsia="方正仿宋_GBK" w:cs="方正仿宋_GBK"/>
          <w:sz w:val="32"/>
          <w:szCs w:val="32"/>
        </w:rPr>
      </w:pPr>
      <w:r>
        <w:rPr>
          <w:rStyle w:val="11"/>
          <w:rFonts w:ascii="黑体" w:hAnsi="黑体" w:eastAsia="黑体" w:cs="黑体"/>
          <w:sz w:val="32"/>
          <w:szCs w:val="32"/>
          <w:shd w:val="clear" w:color="auto" w:fill="FFFFFF"/>
        </w:rPr>
        <w:t>三、财政拨款</w:t>
      </w:r>
      <w:r>
        <w:rPr>
          <w:rStyle w:val="11"/>
          <w:rFonts w:hint="eastAsia" w:ascii="黑体" w:hAnsi="黑体" w:eastAsia="黑体" w:cs="黑体"/>
          <w:sz w:val="32"/>
          <w:szCs w:val="32"/>
          <w:shd w:val="clear" w:color="auto" w:fill="FFFFFF"/>
          <w:lang w:eastAsia="zh-CN"/>
        </w:rPr>
        <w:t>三公</w:t>
      </w:r>
      <w:r>
        <w:rPr>
          <w:rStyle w:val="11"/>
          <w:rFonts w:ascii="黑体" w:hAnsi="黑体" w:eastAsia="黑体" w:cs="黑体"/>
          <w:sz w:val="32"/>
          <w:szCs w:val="32"/>
          <w:shd w:val="clear" w:color="auto" w:fill="FFFFFF"/>
        </w:rPr>
        <w:t>经费情况说明</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w:t>
      </w:r>
      <w:r>
        <w:rPr>
          <w:rFonts w:hint="eastAsia" w:ascii="楷体" w:hAnsi="楷体" w:eastAsia="楷体" w:cs="楷体"/>
          <w:b/>
          <w:bCs/>
          <w:sz w:val="32"/>
          <w:szCs w:val="32"/>
          <w:shd w:val="clear" w:color="auto" w:fill="FFFFFF"/>
          <w:lang w:eastAsia="zh-CN"/>
        </w:rPr>
        <w:t>三公</w:t>
      </w:r>
      <w:r>
        <w:rPr>
          <w:rFonts w:hint="eastAsia" w:ascii="楷体" w:hAnsi="楷体" w:eastAsia="楷体" w:cs="楷体"/>
          <w:b/>
          <w:bCs/>
          <w:sz w:val="32"/>
          <w:szCs w:val="32"/>
          <w:shd w:val="clear" w:color="auto" w:fill="FFFFFF"/>
        </w:rPr>
        <w:t>经费支出总体情况说明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w:t>
      </w:r>
      <w:r>
        <w:rPr>
          <w:rFonts w:hint="eastAsia" w:ascii="方正仿宋_GBK" w:hAnsi="方正仿宋_GBK" w:eastAsia="方正仿宋_GBK" w:cs="方正仿宋_GBK"/>
          <w:sz w:val="32"/>
          <w:szCs w:val="32"/>
          <w:shd w:val="clear" w:color="auto" w:fill="FFFFFF"/>
          <w:lang w:eastAsia="zh-CN"/>
        </w:rPr>
        <w:t>三公</w:t>
      </w:r>
      <w:r>
        <w:rPr>
          <w:rFonts w:ascii="方正仿宋_GBK" w:hAnsi="方正仿宋_GBK" w:eastAsia="方正仿宋_GBK" w:cs="方正仿宋_GBK"/>
          <w:sz w:val="32"/>
          <w:szCs w:val="32"/>
          <w:shd w:val="clear" w:color="auto" w:fill="FFFFFF"/>
        </w:rPr>
        <w:t>经费支出共计</w:t>
      </w:r>
      <w:r>
        <w:rPr>
          <w:rFonts w:ascii="方正仿宋_GBK" w:hAnsi="方正仿宋_GBK" w:eastAsia="方正仿宋_GBK" w:cs="方正仿宋_GBK"/>
          <w:sz w:val="32"/>
          <w:szCs w:val="32"/>
        </w:rPr>
        <w:t>9.57</w:t>
      </w:r>
      <w:r>
        <w:rPr>
          <w:rFonts w:ascii="方正仿宋_GBK" w:hAnsi="方正仿宋_GBK" w:eastAsia="方正仿宋_GBK" w:cs="方正仿宋_GBK"/>
          <w:sz w:val="32"/>
          <w:szCs w:val="32"/>
          <w:shd w:val="clear" w:color="auto" w:fill="FFFFFF"/>
        </w:rPr>
        <w:t>万元，较年初预算数减少10.23万元，下降51.67%，主要原因是本年度压减公用经费开支,节约资金。较上年支出数减少0.12万元，下降1.24%，主要原因是本年度压减公用经费开支,节约资金。</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w:t>
      </w:r>
      <w:r>
        <w:rPr>
          <w:rFonts w:hint="eastAsia" w:ascii="楷体" w:hAnsi="楷体" w:eastAsia="楷体" w:cs="楷体"/>
          <w:b/>
          <w:bCs/>
          <w:sz w:val="32"/>
          <w:szCs w:val="32"/>
          <w:shd w:val="clear" w:color="auto" w:fill="FFFFFF"/>
          <w:lang w:eastAsia="zh-CN"/>
        </w:rPr>
        <w:t>三公</w:t>
      </w:r>
      <w:r>
        <w:rPr>
          <w:rFonts w:hint="eastAsia" w:ascii="楷体" w:hAnsi="楷体" w:eastAsia="楷体" w:cs="楷体"/>
          <w:b/>
          <w:bCs/>
          <w:sz w:val="32"/>
          <w:szCs w:val="32"/>
          <w:shd w:val="clear" w:color="auto" w:fill="FFFFFF"/>
        </w:rPr>
        <w:t>经费分项支出情况</w:t>
      </w:r>
    </w:p>
    <w:p>
      <w:pPr>
        <w:pStyle w:val="13"/>
        <w:autoSpaceDE w:val="0"/>
        <w:spacing w:before="0" w:beforeAutospacing="0" w:afterAutospacing="0" w:line="594" w:lineRule="atLeas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2024年</w:t>
      </w:r>
      <w:r>
        <w:rPr>
          <w:rFonts w:ascii="方正仿宋_GBK" w:hAnsi="方正仿宋_GBK" w:eastAsia="方正仿宋_GBK" w:cs="方正仿宋_GBK"/>
          <w:sz w:val="32"/>
          <w:szCs w:val="32"/>
          <w:shd w:val="clear" w:color="auto" w:fill="FFFFFF"/>
        </w:rPr>
        <w:t>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sz w:val="32"/>
          <w:szCs w:val="32"/>
          <w:shd w:val="clear" w:color="auto" w:fill="FFFFFF"/>
        </w:rPr>
        <w:t>本单位2024年度未发生因公出国（境）支出。</w:t>
      </w:r>
      <w:r>
        <w:rPr>
          <w:rFonts w:ascii="方正仿宋_GBK" w:hAnsi="方正仿宋_GBK" w:eastAsia="方正仿宋_GBK" w:cs="方正仿宋_GBK"/>
          <w:sz w:val="32"/>
          <w:szCs w:val="32"/>
          <w:shd w:val="clear" w:color="auto" w:fill="FFFFFF"/>
        </w:rPr>
        <w:t>较上年支出数无增减，主要原因是</w:t>
      </w:r>
      <w:r>
        <w:rPr>
          <w:rFonts w:hint="eastAsia" w:ascii="方正仿宋_GBK" w:hAnsi="方正仿宋_GBK" w:eastAsia="方正仿宋_GBK" w:cs="方正仿宋_GBK"/>
          <w:sz w:val="32"/>
          <w:szCs w:val="32"/>
          <w:shd w:val="clear" w:color="auto" w:fill="FFFFFF"/>
        </w:rPr>
        <w:t>本单位2024年度未发生因公出国（境）支出。</w:t>
      </w:r>
    </w:p>
    <w:p>
      <w:pPr>
        <w:pStyle w:val="7"/>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w:t>
      </w:r>
      <w:r>
        <w:rPr>
          <w:rFonts w:ascii="Times New Roman" w:hAnsi="Times New Roman" w:eastAsia="方正仿宋_GBK" w:cs="方正仿宋_GBK"/>
          <w:sz w:val="32"/>
          <w:szCs w:val="32"/>
          <w:shd w:val="clear" w:color="auto" w:fill="FFFFFF"/>
        </w:rPr>
        <w:t>本单</w:t>
      </w:r>
      <w:r>
        <w:rPr>
          <w:rFonts w:ascii="方正仿宋_GBK" w:hAnsi="方正仿宋_GBK" w:eastAsia="方正仿宋_GBK" w:cs="方正仿宋_GBK"/>
          <w:sz w:val="32"/>
          <w:szCs w:val="32"/>
          <w:shd w:val="clear" w:color="auto" w:fill="FFFFFF"/>
        </w:rPr>
        <w:t>位2024年度未发生公</w:t>
      </w:r>
      <w:r>
        <w:rPr>
          <w:rFonts w:ascii="Times New Roman" w:hAnsi="Times New Roman" w:eastAsia="方正仿宋_GBK" w:cs="方正仿宋_GBK"/>
          <w:sz w:val="32"/>
          <w:szCs w:val="32"/>
          <w:shd w:val="clear" w:color="auto" w:fill="FFFFFF"/>
        </w:rPr>
        <w:t>务</w:t>
      </w:r>
      <w:r>
        <w:rPr>
          <w:rFonts w:hint="eastAsia" w:ascii="Times New Roman" w:hAnsi="Times New Roman" w:eastAsia="方正仿宋_GBK" w:cs="方正仿宋_GBK"/>
          <w:sz w:val="32"/>
          <w:szCs w:val="32"/>
          <w:shd w:val="clear" w:color="auto" w:fill="FFFFFF"/>
          <w:lang w:eastAsia="zh-CN"/>
        </w:rPr>
        <w:t>用车</w:t>
      </w:r>
      <w:bookmarkStart w:id="0" w:name="_GoBack"/>
      <w:bookmarkEnd w:id="0"/>
      <w:r>
        <w:rPr>
          <w:rFonts w:ascii="Times New Roman" w:hAnsi="Times New Roman" w:eastAsia="方正仿宋_GBK" w:cs="方正仿宋_GBK"/>
          <w:sz w:val="32"/>
          <w:szCs w:val="32"/>
          <w:shd w:val="clear" w:color="auto" w:fill="FFFFFF"/>
        </w:rPr>
        <w:t>购置费支出</w:t>
      </w:r>
      <w:r>
        <w:rPr>
          <w:rFonts w:ascii="方正仿宋_GBK" w:hAnsi="方正仿宋_GBK" w:eastAsia="方正仿宋_GBK" w:cs="方正仿宋_GBK"/>
          <w:sz w:val="32"/>
          <w:szCs w:val="32"/>
          <w:shd w:val="clear" w:color="auto" w:fill="FFFFFF"/>
        </w:rPr>
        <w:t>。较上年支出数无增减，主要原因是</w:t>
      </w:r>
      <w:r>
        <w:rPr>
          <w:rFonts w:ascii="Times New Roman" w:hAnsi="Times New Roman" w:eastAsia="方正仿宋_GBK" w:cs="方正仿宋_GBK"/>
          <w:sz w:val="32"/>
          <w:szCs w:val="32"/>
          <w:shd w:val="clear" w:color="auto" w:fill="FFFFFF"/>
        </w:rPr>
        <w:t>本单</w:t>
      </w:r>
      <w:r>
        <w:rPr>
          <w:rFonts w:ascii="方正仿宋_GBK" w:hAnsi="方正仿宋_GBK" w:eastAsia="方正仿宋_GBK" w:cs="方正仿宋_GBK"/>
          <w:sz w:val="32"/>
          <w:szCs w:val="32"/>
          <w:shd w:val="clear" w:color="auto" w:fill="FFFFFF"/>
        </w:rPr>
        <w:t>位2024年度未发生公</w:t>
      </w:r>
      <w:r>
        <w:rPr>
          <w:rFonts w:ascii="Times New Roman" w:hAnsi="Times New Roman" w:eastAsia="方正仿宋_GBK" w:cs="方正仿宋_GBK"/>
          <w:sz w:val="32"/>
          <w:szCs w:val="32"/>
          <w:shd w:val="clear" w:color="auto" w:fill="FFFFFF"/>
        </w:rPr>
        <w:t>务</w:t>
      </w:r>
      <w:r>
        <w:rPr>
          <w:rFonts w:hint="eastAsia" w:ascii="Times New Roman" w:hAnsi="Times New Roman" w:eastAsia="方正仿宋_GBK" w:cs="方正仿宋_GBK"/>
          <w:sz w:val="32"/>
          <w:szCs w:val="32"/>
          <w:shd w:val="clear" w:color="auto" w:fill="FFFFFF"/>
          <w:lang w:eastAsia="zh-CN"/>
        </w:rPr>
        <w:t>用车</w:t>
      </w:r>
      <w:r>
        <w:rPr>
          <w:rFonts w:ascii="Times New Roman" w:hAnsi="Times New Roman" w:eastAsia="方正仿宋_GBK" w:cs="方正仿宋_GBK"/>
          <w:sz w:val="32"/>
          <w:szCs w:val="32"/>
          <w:shd w:val="clear" w:color="auto" w:fill="FFFFFF"/>
        </w:rPr>
        <w:t>购置费支出。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万元。费用支出较年初预算数无增减，主要原因是本单位2024年度未发生公务运行维护费。较上年支出数无增减，主要原因是本单位2024年度未发生公务运行维护费。</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9.57</w:t>
      </w:r>
      <w:r>
        <w:rPr>
          <w:rFonts w:ascii="方正仿宋_GBK" w:hAnsi="方正仿宋_GBK" w:eastAsia="方正仿宋_GBK" w:cs="方正仿宋_GBK"/>
          <w:sz w:val="32"/>
          <w:szCs w:val="32"/>
          <w:shd w:val="clear" w:color="auto" w:fill="FFFFFF"/>
        </w:rPr>
        <w:t>万元，主要用于接待</w:t>
      </w:r>
      <w:r>
        <w:rPr>
          <w:rFonts w:ascii="Times New Roman" w:hAnsi="Times New Roman" w:eastAsia="方正仿宋_GBK" w:cs="方正仿宋_GBK"/>
          <w:sz w:val="32"/>
          <w:szCs w:val="32"/>
          <w:shd w:val="clear" w:color="auto" w:fill="FFFFFF"/>
        </w:rPr>
        <w:t>外来企业、单位等商业主体到新区投资考察，接待其他地区部门单位到新区考察学习。</w:t>
      </w:r>
      <w:r>
        <w:rPr>
          <w:rFonts w:ascii="方正仿宋_GBK" w:hAnsi="方正仿宋_GBK" w:eastAsia="方正仿宋_GBK" w:cs="方正仿宋_GBK"/>
          <w:sz w:val="32"/>
          <w:szCs w:val="32"/>
          <w:shd w:val="clear" w:color="auto" w:fill="FFFFFF"/>
        </w:rPr>
        <w:t>费用支出较年初预算数减少10.23万元，下降51.67%，主要原因是本年度压减公用经费开支，节约资金。较上年支出数减少0.12万元，下降1.24%，主要原因是本年度压减公用经费开支，节约资金。</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w:t>
      </w:r>
      <w:r>
        <w:rPr>
          <w:rFonts w:hint="eastAsia" w:ascii="楷体" w:hAnsi="楷体" w:eastAsia="楷体" w:cs="楷体"/>
          <w:b/>
          <w:bCs/>
          <w:sz w:val="32"/>
          <w:szCs w:val="32"/>
          <w:shd w:val="clear" w:color="auto" w:fill="FFFFFF"/>
          <w:lang w:eastAsia="zh-CN"/>
        </w:rPr>
        <w:t>三公</w:t>
      </w:r>
      <w:r>
        <w:rPr>
          <w:rFonts w:hint="eastAsia" w:ascii="楷体" w:hAnsi="楷体" w:eastAsia="楷体" w:cs="楷体"/>
          <w:b/>
          <w:bCs/>
          <w:sz w:val="32"/>
          <w:szCs w:val="32"/>
          <w:shd w:val="clear" w:color="auto" w:fill="FFFFFF"/>
        </w:rPr>
        <w:t>经费实物量情况</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95</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1022</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93.66</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7"/>
        <w:shd w:val="clear" w:color="auto" w:fill="FFFFFF"/>
        <w:spacing w:before="0" w:beforeAutospacing="0" w:after="0" w:afterAutospacing="0" w:line="596" w:lineRule="exact"/>
        <w:ind w:firstLine="643"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四、其他需要说明的事项</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万元，与2023年度相比，减少2.29万元，下降100.00%，主要原因是本年度压减公用经费开支,节约资金。本年度培训费支出</w:t>
      </w:r>
      <w:r>
        <w:rPr>
          <w:rFonts w:ascii="方正仿宋_GBK" w:hAnsi="方正仿宋_GBK" w:eastAsia="方正仿宋_GBK" w:cs="方正仿宋_GBK"/>
          <w:sz w:val="32"/>
          <w:szCs w:val="32"/>
        </w:rPr>
        <w:t>1.57</w:t>
      </w:r>
      <w:r>
        <w:rPr>
          <w:rFonts w:ascii="方正仿宋_GBK" w:hAnsi="方正仿宋_GBK" w:eastAsia="方正仿宋_GBK" w:cs="方正仿宋_GBK"/>
          <w:sz w:val="32"/>
          <w:szCs w:val="32"/>
          <w:shd w:val="clear" w:color="auto" w:fill="FFFFFF"/>
        </w:rPr>
        <w:t>万元，与2023年度相比，增加0.88万元，增长127.54%，主要原因是2024年职工培训增加。</w:t>
      </w:r>
    </w:p>
    <w:p>
      <w:pPr>
        <w:pStyle w:val="7"/>
        <w:snapToGrid w:val="0"/>
        <w:spacing w:before="0" w:beforeAutospacing="0" w:after="0" w:afterAutospacing="0" w:line="600"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（二）机关运行经费情况说明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47.32</w:t>
      </w:r>
      <w:r>
        <w:rPr>
          <w:rFonts w:ascii="方正仿宋_GBK" w:hAnsi="方正仿宋_GBK" w:eastAsia="方正仿宋_GBK" w:cs="方正仿宋_GBK"/>
          <w:sz w:val="32"/>
          <w:szCs w:val="32"/>
          <w:shd w:val="clear" w:color="auto" w:fill="FFFFFF"/>
        </w:rPr>
        <w:t>万元，机关运行经费主要用于</w:t>
      </w:r>
      <w:r>
        <w:rPr>
          <w:rFonts w:ascii="Times New Roman" w:hAnsi="Times New Roman" w:eastAsia="方正仿宋_GBK" w:cs="方正仿宋_GBK"/>
          <w:kern w:val="2"/>
          <w:sz w:val="32"/>
          <w:szCs w:val="32"/>
        </w:rPr>
        <w:t>开支办公费、维修（护）费、其他交通费用、公务接待费、邮电费、差旅费、印刷费、食堂购买食材、工会经费、职工体检费等。</w:t>
      </w:r>
      <w:r>
        <w:rPr>
          <w:rFonts w:ascii="方正仿宋_GBK" w:hAnsi="方正仿宋_GBK" w:eastAsia="方正仿宋_GBK" w:cs="方正仿宋_GBK"/>
          <w:sz w:val="32"/>
          <w:szCs w:val="32"/>
          <w:shd w:val="clear" w:color="auto" w:fill="FFFFFF"/>
        </w:rPr>
        <w:t>机关运行经费较上年支出数减少27.98万元，下降37.16%，主要原因是本年度压减公用经费开支，节约资金。</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年度我单位未发生政府采购事项，无相关经费支出。</w:t>
      </w:r>
    </w:p>
    <w:p>
      <w:pPr>
        <w:pStyle w:val="13"/>
        <w:spacing w:before="0" w:beforeAutospacing="0" w:after="0" w:afterAutospacing="0" w:line="596" w:lineRule="exact"/>
        <w:ind w:firstLine="643" w:firstLineChars="200"/>
        <w:rPr>
          <w:rStyle w:val="11"/>
          <w:rFonts w:ascii="黑体" w:hAnsi="黑体" w:eastAsia="黑体" w:cs="黑体"/>
          <w:sz w:val="32"/>
          <w:szCs w:val="32"/>
          <w:shd w:val="clear" w:color="auto" w:fill="FFFFFF"/>
        </w:rPr>
      </w:pPr>
      <w:r>
        <w:rPr>
          <w:rStyle w:val="11"/>
          <w:rFonts w:hint="eastAsia" w:ascii="黑体" w:hAnsi="黑体" w:eastAsia="黑体" w:cs="黑体"/>
          <w:sz w:val="32"/>
          <w:szCs w:val="32"/>
          <w:shd w:val="clear" w:color="auto" w:fill="FFFFFF"/>
        </w:rPr>
        <w:t>五、2024年度预算绩效管理情况说明</w:t>
      </w:r>
    </w:p>
    <w:p>
      <w:pPr>
        <w:pStyle w:val="13"/>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13"/>
        <w:autoSpaceDE w:val="0"/>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根据预算绩效管理要求，我单位对8个二级项目开展了绩效自评，涉及财政拨款项目支出资金67330.5万元。</w:t>
      </w:r>
    </w:p>
    <w:p>
      <w:pPr>
        <w:pStyle w:val="13"/>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项目支出绩效自评表</w:t>
      </w:r>
    </w:p>
    <w:p>
      <w:pPr>
        <w:pStyle w:val="13"/>
        <w:spacing w:before="0" w:beforeAutospacing="0" w:after="0" w:afterAutospacing="0" w:line="596" w:lineRule="exact"/>
        <w:jc w:val="center"/>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表1</w:t>
      </w:r>
    </w:p>
    <w:tbl>
      <w:tblPr>
        <w:tblStyle w:val="8"/>
        <w:tblW w:w="8342" w:type="dxa"/>
        <w:tblInd w:w="0" w:type="dxa"/>
        <w:tblLayout w:type="fixed"/>
        <w:tblCellMar>
          <w:top w:w="15" w:type="dxa"/>
          <w:left w:w="15" w:type="dxa"/>
          <w:bottom w:w="15" w:type="dxa"/>
          <w:right w:w="15" w:type="dxa"/>
        </w:tblCellMar>
      </w:tblPr>
      <w:tblGrid>
        <w:gridCol w:w="493"/>
        <w:gridCol w:w="404"/>
        <w:gridCol w:w="404"/>
        <w:gridCol w:w="1278"/>
        <w:gridCol w:w="723"/>
        <w:gridCol w:w="1378"/>
        <w:gridCol w:w="493"/>
        <w:gridCol w:w="1278"/>
        <w:gridCol w:w="404"/>
        <w:gridCol w:w="476"/>
        <w:gridCol w:w="1011"/>
      </w:tblGrid>
      <w:tr>
        <w:tblPrEx>
          <w:tblCellMar>
            <w:top w:w="15" w:type="dxa"/>
            <w:left w:w="15" w:type="dxa"/>
            <w:bottom w:w="15" w:type="dxa"/>
            <w:right w:w="15" w:type="dxa"/>
          </w:tblCellMar>
        </w:tblPrEx>
        <w:trPr>
          <w:trHeight w:val="793" w:hRule="atLeast"/>
        </w:trPr>
        <w:tc>
          <w:tcPr>
            <w:tcW w:w="834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color w:val="000000"/>
                <w:sz w:val="40"/>
                <w:szCs w:val="40"/>
              </w:rPr>
            </w:pPr>
            <w:r>
              <w:rPr>
                <w:rFonts w:ascii="微软雅黑" w:hAnsi="微软雅黑" w:eastAsia="微软雅黑" w:cs="微软雅黑"/>
                <w:b/>
                <w:color w:val="000000"/>
                <w:sz w:val="40"/>
                <w:szCs w:val="40"/>
                <w:lang w:bidi="ar"/>
              </w:rPr>
              <w:t>2024年度二级项目绩效自评表</w:t>
            </w:r>
          </w:p>
        </w:tc>
      </w:tr>
      <w:tr>
        <w:tblPrEx>
          <w:tblCellMar>
            <w:top w:w="15" w:type="dxa"/>
            <w:left w:w="15" w:type="dxa"/>
            <w:bottom w:w="15" w:type="dxa"/>
            <w:right w:w="15" w:type="dxa"/>
          </w:tblCellMar>
        </w:tblPrEx>
        <w:trPr>
          <w:trHeight w:val="493" w:hRule="atLeast"/>
        </w:trPr>
        <w:tc>
          <w:tcPr>
            <w:tcW w:w="834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1" w:firstLineChars="100"/>
              <w:jc w:val="right"/>
              <w:textAlignment w:val="center"/>
              <w:rPr>
                <w:rFonts w:hint="default" w:cs="宋体"/>
                <w:b/>
                <w:color w:val="DA3232"/>
                <w:sz w:val="22"/>
                <w:szCs w:val="22"/>
              </w:rPr>
            </w:pPr>
            <w:r>
              <w:rPr>
                <w:rFonts w:cs="宋体"/>
                <w:b/>
                <w:color w:val="DA3232"/>
                <w:sz w:val="22"/>
                <w:szCs w:val="22"/>
                <w:lang w:bidi="ar"/>
              </w:rPr>
              <w:t>状态：绩效审核已审</w:t>
            </w:r>
          </w:p>
        </w:tc>
      </w:tr>
      <w:tr>
        <w:tblPrEx>
          <w:tblCellMar>
            <w:top w:w="15" w:type="dxa"/>
            <w:left w:w="15" w:type="dxa"/>
            <w:bottom w:w="15" w:type="dxa"/>
            <w:right w:w="15" w:type="dxa"/>
          </w:tblCellMar>
        </w:tblPrEx>
        <w:trPr>
          <w:trHeight w:val="493"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color w:val="000000"/>
                <w:sz w:val="22"/>
                <w:szCs w:val="22"/>
              </w:rPr>
            </w:pPr>
            <w:r>
              <w:rPr>
                <w:rFonts w:cs="宋体"/>
                <w:b/>
                <w:color w:val="000000"/>
                <w:sz w:val="22"/>
                <w:szCs w:val="22"/>
                <w:lang w:bidi="ar"/>
              </w:rPr>
              <w:t>项目名称：</w:t>
            </w:r>
          </w:p>
        </w:tc>
        <w:tc>
          <w:tcPr>
            <w:tcW w:w="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东部片区新型城镇化PPP项目可行性缺口补助</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color w:val="000000"/>
                <w:sz w:val="22"/>
                <w:szCs w:val="22"/>
              </w:rPr>
            </w:pPr>
            <w:r>
              <w:rPr>
                <w:rFonts w:cs="宋体"/>
                <w:b/>
                <w:color w:val="000000"/>
                <w:sz w:val="22"/>
                <w:szCs w:val="22"/>
                <w:lang w:bidi="ar"/>
              </w:rPr>
              <w:t>项目编码：</w:t>
            </w:r>
          </w:p>
        </w:tc>
        <w:tc>
          <w:tcPr>
            <w:tcW w:w="2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50023124T000003952532</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color w:val="000000"/>
                <w:sz w:val="22"/>
                <w:szCs w:val="22"/>
              </w:rPr>
            </w:pPr>
            <w:r>
              <w:rPr>
                <w:rFonts w:cs="宋体"/>
                <w:b/>
                <w:color w:val="000000"/>
                <w:sz w:val="22"/>
                <w:szCs w:val="22"/>
                <w:lang w:bidi="ar"/>
              </w:rPr>
              <w:t>自评总分：</w:t>
            </w:r>
          </w:p>
        </w:tc>
        <w:tc>
          <w:tcPr>
            <w:tcW w:w="1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100.00</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b/>
                <w:color w:val="000000"/>
                <w:sz w:val="22"/>
                <w:szCs w:val="22"/>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r>
      <w:tr>
        <w:tblPrEx>
          <w:tblCellMar>
            <w:top w:w="15" w:type="dxa"/>
            <w:left w:w="15" w:type="dxa"/>
            <w:bottom w:w="15" w:type="dxa"/>
            <w:right w:w="15" w:type="dxa"/>
          </w:tblCellMar>
        </w:tblPrEx>
        <w:trPr>
          <w:trHeight w:val="493"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color w:val="000000"/>
                <w:sz w:val="22"/>
                <w:szCs w:val="22"/>
              </w:rPr>
            </w:pPr>
            <w:r>
              <w:rPr>
                <w:rFonts w:cs="宋体"/>
                <w:b/>
                <w:color w:val="000000"/>
                <w:sz w:val="22"/>
                <w:szCs w:val="22"/>
                <w:lang w:bidi="ar"/>
              </w:rPr>
              <w:t>项目主管部门：</w:t>
            </w:r>
          </w:p>
        </w:tc>
        <w:tc>
          <w:tcPr>
            <w:tcW w:w="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210-垫江县东部新区管理委员会</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color w:val="000000"/>
                <w:sz w:val="22"/>
                <w:szCs w:val="22"/>
              </w:rPr>
            </w:pPr>
            <w:r>
              <w:rPr>
                <w:rFonts w:cs="宋体"/>
                <w:b/>
                <w:color w:val="000000"/>
                <w:sz w:val="22"/>
                <w:szCs w:val="22"/>
                <w:lang w:bidi="ar"/>
              </w:rPr>
              <w:t>财政归口处室：</w:t>
            </w:r>
          </w:p>
        </w:tc>
        <w:tc>
          <w:tcPr>
            <w:tcW w:w="2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005-经建科</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color w:val="000000"/>
                <w:sz w:val="22"/>
                <w:szCs w:val="22"/>
              </w:rPr>
            </w:pPr>
            <w:r>
              <w:rPr>
                <w:rFonts w:cs="宋体"/>
                <w:b/>
                <w:color w:val="000000"/>
                <w:sz w:val="22"/>
                <w:szCs w:val="22"/>
                <w:lang w:bidi="ar"/>
              </w:rPr>
              <w:t>部门联系人：</w:t>
            </w:r>
          </w:p>
        </w:tc>
        <w:tc>
          <w:tcPr>
            <w:tcW w:w="1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eastAsia" w:eastAsia="宋体" w:cs="宋体"/>
                <w:color w:val="000000"/>
                <w:sz w:val="22"/>
                <w:szCs w:val="22"/>
                <w:lang w:eastAsia="zh-CN"/>
              </w:rPr>
            </w:pPr>
            <w:r>
              <w:rPr>
                <w:rFonts w:hint="eastAsia" w:cs="宋体"/>
                <w:color w:val="000000"/>
                <w:sz w:val="22"/>
                <w:szCs w:val="22"/>
                <w:lang w:eastAsia="zh-CN" w:bidi="ar"/>
              </w:rPr>
              <w:t>李老师</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color w:val="000000"/>
                <w:sz w:val="22"/>
                <w:szCs w:val="22"/>
              </w:rPr>
            </w:pPr>
            <w:r>
              <w:rPr>
                <w:rFonts w:cs="宋体"/>
                <w:b/>
                <w:color w:val="000000"/>
                <w:sz w:val="22"/>
                <w:szCs w:val="22"/>
                <w:lang w:bidi="ar"/>
              </w:rPr>
              <w:t>联系电话：</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eastAsia="宋体" w:cs="宋体"/>
                <w:color w:val="000000"/>
                <w:sz w:val="22"/>
                <w:szCs w:val="22"/>
                <w:lang w:eastAsia="zh-CN"/>
              </w:rPr>
            </w:pPr>
            <w:r>
              <w:rPr>
                <w:rFonts w:hint="eastAsia" w:cs="宋体"/>
                <w:color w:val="000000"/>
                <w:sz w:val="22"/>
                <w:szCs w:val="22"/>
                <w:lang w:eastAsia="zh-CN" w:bidi="ar"/>
              </w:rPr>
              <w:t>023-74630799</w:t>
            </w:r>
          </w:p>
        </w:tc>
      </w:tr>
      <w:tr>
        <w:tblPrEx>
          <w:tblCellMar>
            <w:top w:w="15" w:type="dxa"/>
            <w:left w:w="15" w:type="dxa"/>
            <w:bottom w:w="15" w:type="dxa"/>
            <w:right w:w="15" w:type="dxa"/>
          </w:tblCellMar>
        </w:tblPrEx>
        <w:trPr>
          <w:trHeight w:val="600" w:hRule="atLeast"/>
        </w:trPr>
        <w:tc>
          <w:tcPr>
            <w:tcW w:w="834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资金情况</w:t>
            </w:r>
          </w:p>
        </w:tc>
      </w:tr>
      <w:tr>
        <w:tblPrEx>
          <w:tblCellMar>
            <w:top w:w="15" w:type="dxa"/>
            <w:left w:w="15" w:type="dxa"/>
            <w:bottom w:w="15" w:type="dxa"/>
            <w:right w:w="15" w:type="dxa"/>
          </w:tblCellMar>
        </w:tblPrEx>
        <w:trPr>
          <w:trHeight w:val="493" w:hRule="atLeast"/>
        </w:trPr>
        <w:tc>
          <w:tcPr>
            <w:tcW w:w="8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1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年初预算数</w:t>
            </w:r>
          </w:p>
        </w:tc>
        <w:tc>
          <w:tcPr>
            <w:tcW w:w="2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全年（调整）预算数</w:t>
            </w:r>
          </w:p>
        </w:tc>
        <w:tc>
          <w:tcPr>
            <w:tcW w:w="1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全年执行数</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执行率</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b/>
                <w:color w:val="000000"/>
                <w:sz w:val="22"/>
                <w:szCs w:val="22"/>
              </w:rPr>
            </w:pPr>
            <w:r>
              <w:rPr>
                <w:rFonts w:cs="宋体"/>
                <w:b/>
                <w:color w:val="000000"/>
                <w:sz w:val="22"/>
                <w:szCs w:val="22"/>
                <w:lang w:bidi="ar"/>
              </w:rPr>
              <w:t>执行率权重</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执行率得分</w:t>
            </w:r>
          </w:p>
        </w:tc>
      </w:tr>
      <w:tr>
        <w:tblPrEx>
          <w:tblCellMar>
            <w:top w:w="15" w:type="dxa"/>
            <w:left w:w="15" w:type="dxa"/>
            <w:bottom w:w="15" w:type="dxa"/>
            <w:right w:w="15" w:type="dxa"/>
          </w:tblCellMar>
        </w:tblPrEx>
        <w:trPr>
          <w:trHeight w:val="493" w:hRule="atLeast"/>
        </w:trPr>
        <w:tc>
          <w:tcPr>
            <w:tcW w:w="493" w:type="dxa"/>
            <w:tcBorders>
              <w:top w:val="single" w:color="000000" w:sz="4" w:space="0"/>
              <w:left w:val="single" w:color="000000" w:sz="4" w:space="0"/>
              <w:bottom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年度总金额</w:t>
            </w:r>
          </w:p>
        </w:tc>
        <w:tc>
          <w:tcPr>
            <w:tcW w:w="404" w:type="dxa"/>
            <w:tcBorders>
              <w:top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c>
          <w:tcPr>
            <w:tcW w:w="404" w:type="dxa"/>
            <w:tcBorders>
              <w:top w:val="single" w:color="000000" w:sz="4" w:space="0"/>
              <w:left w:val="single" w:color="000000" w:sz="4" w:space="0"/>
              <w:bottom w:val="single" w:color="000000" w:sz="4" w:space="0"/>
            </w:tcBorders>
            <w:shd w:val="clear" w:color="auto" w:fill="auto"/>
            <w:vAlign w:val="center"/>
          </w:tcPr>
          <w:p>
            <w:pPr>
              <w:rPr>
                <w:rFonts w:hint="default" w:cs="宋体"/>
                <w:color w:val="000000"/>
                <w:sz w:val="22"/>
                <w:szCs w:val="22"/>
              </w:rPr>
            </w:pPr>
          </w:p>
        </w:tc>
        <w:tc>
          <w:tcPr>
            <w:tcW w:w="1278" w:type="dxa"/>
            <w:tcBorders>
              <w:top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 xml:space="preserve">180,000,000.00 </w:t>
            </w:r>
          </w:p>
        </w:tc>
        <w:tc>
          <w:tcPr>
            <w:tcW w:w="723" w:type="dxa"/>
            <w:tcBorders>
              <w:top w:val="single" w:color="000000" w:sz="4" w:space="0"/>
              <w:left w:val="single" w:color="000000" w:sz="4" w:space="0"/>
              <w:bottom w:val="single" w:color="000000" w:sz="4" w:space="0"/>
            </w:tcBorders>
            <w:shd w:val="clear" w:color="auto" w:fill="auto"/>
            <w:vAlign w:val="center"/>
          </w:tcPr>
          <w:p>
            <w:pPr>
              <w:rPr>
                <w:rFonts w:hint="default" w:cs="宋体"/>
                <w:color w:val="000000"/>
                <w:sz w:val="22"/>
                <w:szCs w:val="22"/>
              </w:rPr>
            </w:pPr>
          </w:p>
        </w:tc>
        <w:tc>
          <w:tcPr>
            <w:tcW w:w="1378" w:type="dxa"/>
            <w:tcBorders>
              <w:top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 xml:space="preserve">300,006,162.42 </w:t>
            </w:r>
          </w:p>
        </w:tc>
        <w:tc>
          <w:tcPr>
            <w:tcW w:w="493" w:type="dxa"/>
            <w:tcBorders>
              <w:top w:val="single" w:color="000000" w:sz="4" w:space="0"/>
              <w:left w:val="single" w:color="000000" w:sz="4" w:space="0"/>
              <w:bottom w:val="single" w:color="000000" w:sz="4" w:space="0"/>
            </w:tcBorders>
            <w:shd w:val="clear" w:color="auto" w:fill="auto"/>
            <w:vAlign w:val="center"/>
          </w:tcPr>
          <w:p>
            <w:pPr>
              <w:rPr>
                <w:rFonts w:hint="default" w:cs="宋体"/>
                <w:color w:val="000000"/>
                <w:sz w:val="22"/>
                <w:szCs w:val="22"/>
              </w:rPr>
            </w:pPr>
          </w:p>
        </w:tc>
        <w:tc>
          <w:tcPr>
            <w:tcW w:w="1278" w:type="dxa"/>
            <w:tcBorders>
              <w:top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 xml:space="preserve">300,006,162.42 </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r>
      <w:tr>
        <w:tblPrEx>
          <w:tblCellMar>
            <w:top w:w="15" w:type="dxa"/>
            <w:left w:w="15" w:type="dxa"/>
            <w:bottom w:w="15" w:type="dxa"/>
            <w:right w:w="15" w:type="dxa"/>
          </w:tblCellMar>
        </w:tblPrEx>
        <w:trPr>
          <w:trHeight w:val="493" w:hRule="atLeast"/>
        </w:trPr>
        <w:tc>
          <w:tcPr>
            <w:tcW w:w="493" w:type="dxa"/>
            <w:tcBorders>
              <w:top w:val="single" w:color="000000" w:sz="4" w:space="0"/>
              <w:left w:val="single" w:color="000000" w:sz="4" w:space="0"/>
              <w:bottom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其中：财政拨款</w:t>
            </w:r>
          </w:p>
        </w:tc>
        <w:tc>
          <w:tcPr>
            <w:tcW w:w="404" w:type="dxa"/>
            <w:tcBorders>
              <w:top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c>
          <w:tcPr>
            <w:tcW w:w="404" w:type="dxa"/>
            <w:tcBorders>
              <w:top w:val="single" w:color="000000" w:sz="4" w:space="0"/>
              <w:left w:val="single" w:color="000000" w:sz="4" w:space="0"/>
              <w:bottom w:val="single" w:color="000000" w:sz="4" w:space="0"/>
            </w:tcBorders>
            <w:shd w:val="clear" w:color="auto" w:fill="auto"/>
            <w:vAlign w:val="center"/>
          </w:tcPr>
          <w:p>
            <w:pPr>
              <w:rPr>
                <w:rFonts w:hint="default" w:cs="宋体"/>
                <w:color w:val="000000"/>
                <w:sz w:val="22"/>
                <w:szCs w:val="22"/>
              </w:rPr>
            </w:pPr>
          </w:p>
        </w:tc>
        <w:tc>
          <w:tcPr>
            <w:tcW w:w="1278" w:type="dxa"/>
            <w:tcBorders>
              <w:top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 xml:space="preserve">180,000,000.00 </w:t>
            </w:r>
          </w:p>
        </w:tc>
        <w:tc>
          <w:tcPr>
            <w:tcW w:w="723" w:type="dxa"/>
            <w:tcBorders>
              <w:top w:val="single" w:color="000000" w:sz="4" w:space="0"/>
              <w:left w:val="single" w:color="000000" w:sz="4" w:space="0"/>
              <w:bottom w:val="single" w:color="000000" w:sz="4" w:space="0"/>
            </w:tcBorders>
            <w:shd w:val="clear" w:color="auto" w:fill="auto"/>
            <w:vAlign w:val="center"/>
          </w:tcPr>
          <w:p>
            <w:pPr>
              <w:rPr>
                <w:rFonts w:hint="default" w:cs="宋体"/>
                <w:color w:val="000000"/>
                <w:sz w:val="22"/>
                <w:szCs w:val="22"/>
              </w:rPr>
            </w:pPr>
          </w:p>
        </w:tc>
        <w:tc>
          <w:tcPr>
            <w:tcW w:w="1378" w:type="dxa"/>
            <w:tcBorders>
              <w:top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 xml:space="preserve">300,006,162.42 </w:t>
            </w:r>
          </w:p>
        </w:tc>
        <w:tc>
          <w:tcPr>
            <w:tcW w:w="493" w:type="dxa"/>
            <w:tcBorders>
              <w:top w:val="single" w:color="000000" w:sz="4" w:space="0"/>
              <w:left w:val="single" w:color="000000" w:sz="4" w:space="0"/>
              <w:bottom w:val="single" w:color="000000" w:sz="4" w:space="0"/>
            </w:tcBorders>
            <w:shd w:val="clear" w:color="auto" w:fill="auto"/>
            <w:vAlign w:val="center"/>
          </w:tcPr>
          <w:p>
            <w:pPr>
              <w:rPr>
                <w:rFonts w:hint="default" w:cs="宋体"/>
                <w:color w:val="000000"/>
                <w:sz w:val="22"/>
                <w:szCs w:val="22"/>
              </w:rPr>
            </w:pPr>
          </w:p>
        </w:tc>
        <w:tc>
          <w:tcPr>
            <w:tcW w:w="1278" w:type="dxa"/>
            <w:tcBorders>
              <w:top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 xml:space="preserve">300,006,162.42 </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100</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10.00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 xml:space="preserve">10.00 </w:t>
            </w:r>
          </w:p>
        </w:tc>
      </w:tr>
      <w:tr>
        <w:tblPrEx>
          <w:tblCellMar>
            <w:top w:w="15" w:type="dxa"/>
            <w:left w:w="15" w:type="dxa"/>
            <w:bottom w:w="15" w:type="dxa"/>
            <w:right w:w="15" w:type="dxa"/>
          </w:tblCellMar>
        </w:tblPrEx>
        <w:trPr>
          <w:trHeight w:val="493" w:hRule="atLeast"/>
        </w:trPr>
        <w:tc>
          <w:tcPr>
            <w:tcW w:w="493" w:type="dxa"/>
            <w:tcBorders>
              <w:top w:val="single" w:color="000000" w:sz="4" w:space="0"/>
              <w:left w:val="single" w:color="000000" w:sz="4" w:space="0"/>
              <w:bottom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一般公共预算</w:t>
            </w:r>
          </w:p>
        </w:tc>
        <w:tc>
          <w:tcPr>
            <w:tcW w:w="404" w:type="dxa"/>
            <w:tcBorders>
              <w:top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c>
          <w:tcPr>
            <w:tcW w:w="404" w:type="dxa"/>
            <w:tcBorders>
              <w:top w:val="single" w:color="000000" w:sz="4" w:space="0"/>
              <w:left w:val="single" w:color="000000" w:sz="4" w:space="0"/>
              <w:bottom w:val="single" w:color="000000" w:sz="4" w:space="0"/>
            </w:tcBorders>
            <w:shd w:val="clear" w:color="auto" w:fill="auto"/>
            <w:vAlign w:val="center"/>
          </w:tcPr>
          <w:p>
            <w:pPr>
              <w:rPr>
                <w:rFonts w:hint="default" w:cs="宋体"/>
                <w:color w:val="000000"/>
                <w:sz w:val="22"/>
                <w:szCs w:val="22"/>
              </w:rPr>
            </w:pPr>
          </w:p>
        </w:tc>
        <w:tc>
          <w:tcPr>
            <w:tcW w:w="1278" w:type="dxa"/>
            <w:tcBorders>
              <w:top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 xml:space="preserve">180,000,000.00 </w:t>
            </w:r>
          </w:p>
        </w:tc>
        <w:tc>
          <w:tcPr>
            <w:tcW w:w="723" w:type="dxa"/>
            <w:tcBorders>
              <w:top w:val="single" w:color="000000" w:sz="4" w:space="0"/>
              <w:left w:val="single" w:color="000000" w:sz="4" w:space="0"/>
              <w:bottom w:val="single" w:color="000000" w:sz="4" w:space="0"/>
            </w:tcBorders>
            <w:shd w:val="clear" w:color="auto" w:fill="auto"/>
            <w:vAlign w:val="center"/>
          </w:tcPr>
          <w:p>
            <w:pPr>
              <w:rPr>
                <w:rFonts w:hint="default" w:cs="宋体"/>
                <w:color w:val="000000"/>
                <w:sz w:val="22"/>
                <w:szCs w:val="22"/>
              </w:rPr>
            </w:pPr>
          </w:p>
        </w:tc>
        <w:tc>
          <w:tcPr>
            <w:tcW w:w="1378" w:type="dxa"/>
            <w:tcBorders>
              <w:top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 xml:space="preserve">300,006,162.42 </w:t>
            </w:r>
          </w:p>
        </w:tc>
        <w:tc>
          <w:tcPr>
            <w:tcW w:w="493" w:type="dxa"/>
            <w:tcBorders>
              <w:top w:val="single" w:color="000000" w:sz="4" w:space="0"/>
              <w:left w:val="single" w:color="000000" w:sz="4" w:space="0"/>
              <w:bottom w:val="single" w:color="000000" w:sz="4" w:space="0"/>
            </w:tcBorders>
            <w:shd w:val="clear" w:color="auto" w:fill="auto"/>
            <w:vAlign w:val="center"/>
          </w:tcPr>
          <w:p>
            <w:pPr>
              <w:rPr>
                <w:rFonts w:hint="default" w:cs="宋体"/>
                <w:color w:val="000000"/>
                <w:sz w:val="22"/>
                <w:szCs w:val="22"/>
              </w:rPr>
            </w:pPr>
          </w:p>
        </w:tc>
        <w:tc>
          <w:tcPr>
            <w:tcW w:w="1278" w:type="dxa"/>
            <w:tcBorders>
              <w:top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 xml:space="preserve">300,006,162.42 </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100</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r>
      <w:tr>
        <w:tblPrEx>
          <w:tblCellMar>
            <w:top w:w="15" w:type="dxa"/>
            <w:left w:w="15" w:type="dxa"/>
            <w:bottom w:w="15" w:type="dxa"/>
            <w:right w:w="15" w:type="dxa"/>
          </w:tblCellMar>
        </w:tblPrEx>
        <w:trPr>
          <w:trHeight w:val="600" w:hRule="atLeast"/>
        </w:trPr>
        <w:tc>
          <w:tcPr>
            <w:tcW w:w="834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绩效目标</w:t>
            </w:r>
          </w:p>
        </w:tc>
      </w:tr>
      <w:tr>
        <w:tblPrEx>
          <w:tblCellMar>
            <w:top w:w="15" w:type="dxa"/>
            <w:left w:w="15" w:type="dxa"/>
            <w:bottom w:w="15" w:type="dxa"/>
            <w:right w:w="15" w:type="dxa"/>
          </w:tblCellMar>
        </w:tblPrEx>
        <w:trPr>
          <w:trHeight w:val="493" w:hRule="atLeast"/>
        </w:trPr>
        <w:tc>
          <w:tcPr>
            <w:tcW w:w="25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年初绩效目标</w:t>
            </w:r>
          </w:p>
        </w:tc>
        <w:tc>
          <w:tcPr>
            <w:tcW w:w="38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全年（调整）绩效目标</w:t>
            </w:r>
          </w:p>
        </w:tc>
        <w:tc>
          <w:tcPr>
            <w:tcW w:w="18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全年目标实际完成情况</w:t>
            </w:r>
          </w:p>
        </w:tc>
      </w:tr>
      <w:tr>
        <w:tblPrEx>
          <w:tblCellMar>
            <w:top w:w="15" w:type="dxa"/>
            <w:left w:w="15" w:type="dxa"/>
            <w:bottom w:w="15" w:type="dxa"/>
            <w:right w:w="15" w:type="dxa"/>
          </w:tblCellMar>
        </w:tblPrEx>
        <w:trPr>
          <w:trHeight w:val="1597" w:hRule="atLeast"/>
        </w:trPr>
        <w:tc>
          <w:tcPr>
            <w:tcW w:w="2579" w:type="dxa"/>
            <w:gridSpan w:val="4"/>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color w:val="000000"/>
                <w:sz w:val="22"/>
                <w:szCs w:val="22"/>
              </w:rPr>
            </w:pPr>
            <w:r>
              <w:rPr>
                <w:rFonts w:cs="宋体"/>
                <w:color w:val="000000"/>
                <w:sz w:val="22"/>
                <w:szCs w:val="22"/>
                <w:lang w:bidi="ar"/>
              </w:rPr>
              <w:t>保障县政府履约《东部片区PPP项目合同》、《东部片区PPP项目框架协议》，确保PPP项目财政可行性缺口补助支付</w:t>
            </w:r>
          </w:p>
        </w:tc>
        <w:tc>
          <w:tcPr>
            <w:tcW w:w="3872" w:type="dxa"/>
            <w:gridSpan w:val="4"/>
            <w:tcBorders>
              <w:top w:val="single" w:color="000000" w:sz="4" w:space="0"/>
              <w:left w:val="single" w:color="000000" w:sz="4" w:space="0"/>
              <w:bottom w:val="single" w:color="000000" w:sz="4" w:space="0"/>
              <w:right w:val="single" w:color="000000" w:sz="4" w:space="0"/>
            </w:tcBorders>
            <w:shd w:val="clear" w:color="auto" w:fill="auto"/>
          </w:tcPr>
          <w:p>
            <w:pPr>
              <w:rPr>
                <w:rFonts w:hint="default" w:cs="宋体"/>
                <w:color w:val="000000"/>
                <w:sz w:val="22"/>
                <w:szCs w:val="22"/>
              </w:rPr>
            </w:pPr>
          </w:p>
        </w:tc>
        <w:tc>
          <w:tcPr>
            <w:tcW w:w="1891" w:type="dxa"/>
            <w:gridSpan w:val="3"/>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color w:val="000000"/>
                <w:sz w:val="22"/>
                <w:szCs w:val="22"/>
              </w:rPr>
            </w:pPr>
            <w:r>
              <w:rPr>
                <w:rFonts w:cs="宋体"/>
                <w:color w:val="000000"/>
                <w:sz w:val="22"/>
                <w:szCs w:val="22"/>
                <w:lang w:bidi="ar"/>
              </w:rPr>
              <w:t>全额完成</w:t>
            </w:r>
          </w:p>
        </w:tc>
      </w:tr>
      <w:tr>
        <w:tblPrEx>
          <w:tblCellMar>
            <w:top w:w="15" w:type="dxa"/>
            <w:left w:w="15" w:type="dxa"/>
            <w:bottom w:w="15" w:type="dxa"/>
            <w:right w:w="15" w:type="dxa"/>
          </w:tblCellMar>
        </w:tblPrEx>
        <w:trPr>
          <w:trHeight w:val="600" w:hRule="atLeast"/>
        </w:trPr>
        <w:tc>
          <w:tcPr>
            <w:tcW w:w="834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绩效指标</w:t>
            </w:r>
          </w:p>
        </w:tc>
      </w:tr>
      <w:tr>
        <w:tblPrEx>
          <w:tblCellMar>
            <w:top w:w="15" w:type="dxa"/>
            <w:left w:w="15" w:type="dxa"/>
            <w:bottom w:w="15" w:type="dxa"/>
            <w:right w:w="15" w:type="dxa"/>
          </w:tblCellMar>
        </w:tblPrEx>
        <w:trPr>
          <w:trHeight w:val="493"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指标名称</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计量单位</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指标性质</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指标值</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全年完成值</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偏离度（%）</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得分系数（%）</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指标权重</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指标得分</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是否核心指标</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说明</w:t>
            </w:r>
          </w:p>
        </w:tc>
      </w:tr>
      <w:tr>
        <w:tblPrEx>
          <w:tblCellMar>
            <w:top w:w="15" w:type="dxa"/>
            <w:left w:w="15" w:type="dxa"/>
            <w:bottom w:w="15" w:type="dxa"/>
            <w:right w:w="15" w:type="dxa"/>
          </w:tblCellMar>
        </w:tblPrEx>
        <w:trPr>
          <w:trHeight w:val="493"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督促项目公司完成项目数量</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个</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r>
      <w:tr>
        <w:tblPrEx>
          <w:tblCellMar>
            <w:top w:w="15" w:type="dxa"/>
            <w:left w:w="15" w:type="dxa"/>
            <w:bottom w:w="15" w:type="dxa"/>
            <w:right w:w="15" w:type="dxa"/>
          </w:tblCellMar>
        </w:tblPrEx>
        <w:trPr>
          <w:trHeight w:val="493"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项目验收合格率</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r>
      <w:tr>
        <w:tblPrEx>
          <w:tblCellMar>
            <w:top w:w="15" w:type="dxa"/>
            <w:left w:w="15" w:type="dxa"/>
            <w:bottom w:w="15" w:type="dxa"/>
            <w:right w:w="15" w:type="dxa"/>
          </w:tblCellMar>
        </w:tblPrEx>
        <w:trPr>
          <w:trHeight w:val="493"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PPP项目可行性缺口补助时限</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年</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r>
      <w:tr>
        <w:tblPrEx>
          <w:tblCellMar>
            <w:top w:w="15" w:type="dxa"/>
            <w:left w:w="15" w:type="dxa"/>
            <w:bottom w:w="15" w:type="dxa"/>
            <w:right w:w="15" w:type="dxa"/>
          </w:tblCellMar>
        </w:tblPrEx>
        <w:trPr>
          <w:trHeight w:val="493"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督促项目公司累计完成PPP项目投资额</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亿元</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62.76</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62.76</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r>
      <w:tr>
        <w:tblPrEx>
          <w:tblCellMar>
            <w:top w:w="15" w:type="dxa"/>
            <w:left w:w="15" w:type="dxa"/>
            <w:bottom w:w="15" w:type="dxa"/>
            <w:right w:w="15" w:type="dxa"/>
          </w:tblCellMar>
        </w:tblPrEx>
        <w:trPr>
          <w:trHeight w:val="493"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服务对象满意度</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定性</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r>
      <w:tr>
        <w:tblPrEx>
          <w:tblCellMar>
            <w:top w:w="15" w:type="dxa"/>
            <w:left w:w="15" w:type="dxa"/>
            <w:bottom w:w="15" w:type="dxa"/>
            <w:right w:w="15" w:type="dxa"/>
          </w:tblCellMar>
        </w:tblPrEx>
        <w:trPr>
          <w:trHeight w:val="493"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PPP项目可行性缺口补助</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万元</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18000</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18000</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追加了两次PPP项目财政可行性缺口补助，详见垫东部文【2024】20号，垫东部文【2024】22号。</w:t>
            </w:r>
          </w:p>
        </w:tc>
      </w:tr>
    </w:tbl>
    <w:p>
      <w:pPr>
        <w:pStyle w:val="13"/>
        <w:spacing w:before="0" w:beforeAutospacing="0" w:after="0" w:afterAutospacing="0" w:line="596" w:lineRule="exact"/>
        <w:jc w:val="center"/>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表2</w:t>
      </w:r>
    </w:p>
    <w:tbl>
      <w:tblPr>
        <w:tblStyle w:val="8"/>
        <w:tblW w:w="8340" w:type="dxa"/>
        <w:tblInd w:w="0" w:type="dxa"/>
        <w:tblLayout w:type="fixed"/>
        <w:tblCellMar>
          <w:top w:w="15" w:type="dxa"/>
          <w:left w:w="15" w:type="dxa"/>
          <w:bottom w:w="15" w:type="dxa"/>
          <w:right w:w="15" w:type="dxa"/>
        </w:tblCellMar>
      </w:tblPr>
      <w:tblGrid>
        <w:gridCol w:w="408"/>
        <w:gridCol w:w="408"/>
        <w:gridCol w:w="408"/>
        <w:gridCol w:w="1292"/>
        <w:gridCol w:w="612"/>
        <w:gridCol w:w="1511"/>
        <w:gridCol w:w="498"/>
        <w:gridCol w:w="1292"/>
        <w:gridCol w:w="408"/>
        <w:gridCol w:w="481"/>
        <w:gridCol w:w="1022"/>
      </w:tblGrid>
      <w:tr>
        <w:tblPrEx>
          <w:tblCellMar>
            <w:top w:w="15" w:type="dxa"/>
            <w:left w:w="15" w:type="dxa"/>
            <w:bottom w:w="15" w:type="dxa"/>
            <w:right w:w="15" w:type="dxa"/>
          </w:tblCellMar>
        </w:tblPrEx>
        <w:trPr>
          <w:trHeight w:val="793" w:hRule="atLeast"/>
        </w:trPr>
        <w:tc>
          <w:tcPr>
            <w:tcW w:w="83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color w:val="000000"/>
                <w:sz w:val="40"/>
                <w:szCs w:val="40"/>
              </w:rPr>
            </w:pPr>
            <w:r>
              <w:rPr>
                <w:rFonts w:ascii="微软雅黑" w:hAnsi="微软雅黑" w:eastAsia="微软雅黑" w:cs="微软雅黑"/>
                <w:b/>
                <w:color w:val="000000"/>
                <w:sz w:val="40"/>
                <w:szCs w:val="40"/>
                <w:lang w:bidi="ar"/>
              </w:rPr>
              <w:t>2024年度二级项目绩效自评表</w:t>
            </w:r>
          </w:p>
        </w:tc>
      </w:tr>
      <w:tr>
        <w:tblPrEx>
          <w:tblCellMar>
            <w:top w:w="15" w:type="dxa"/>
            <w:left w:w="15" w:type="dxa"/>
            <w:bottom w:w="15" w:type="dxa"/>
            <w:right w:w="15" w:type="dxa"/>
          </w:tblCellMar>
        </w:tblPrEx>
        <w:trPr>
          <w:trHeight w:val="493" w:hRule="atLeast"/>
        </w:trPr>
        <w:tc>
          <w:tcPr>
            <w:tcW w:w="83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1" w:firstLineChars="100"/>
              <w:jc w:val="right"/>
              <w:textAlignment w:val="center"/>
              <w:rPr>
                <w:rFonts w:hint="default" w:cs="宋体"/>
                <w:b/>
                <w:color w:val="DA3232"/>
                <w:sz w:val="22"/>
                <w:szCs w:val="22"/>
              </w:rPr>
            </w:pPr>
            <w:r>
              <w:rPr>
                <w:rFonts w:cs="宋体"/>
                <w:b/>
                <w:color w:val="DA3232"/>
                <w:sz w:val="22"/>
                <w:szCs w:val="22"/>
                <w:lang w:bidi="ar"/>
              </w:rPr>
              <w:t>状态：绩效审核已审</w:t>
            </w:r>
          </w:p>
        </w:tc>
      </w:tr>
      <w:tr>
        <w:tblPrEx>
          <w:tblCellMar>
            <w:top w:w="15" w:type="dxa"/>
            <w:left w:w="15" w:type="dxa"/>
            <w:bottom w:w="15" w:type="dxa"/>
            <w:right w:w="15" w:type="dxa"/>
          </w:tblCellMar>
        </w:tblPrEx>
        <w:trPr>
          <w:trHeight w:val="493" w:hRule="atLeast"/>
        </w:trPr>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color w:val="000000"/>
                <w:sz w:val="22"/>
                <w:szCs w:val="22"/>
              </w:rPr>
            </w:pPr>
            <w:r>
              <w:rPr>
                <w:rFonts w:cs="宋体"/>
                <w:b/>
                <w:color w:val="000000"/>
                <w:sz w:val="22"/>
                <w:szCs w:val="22"/>
                <w:lang w:bidi="ar"/>
              </w:rPr>
              <w:t>项目名称：</w:t>
            </w: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垫江县棚户区改造项目政府购买服务</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color w:val="000000"/>
                <w:sz w:val="22"/>
                <w:szCs w:val="22"/>
              </w:rPr>
            </w:pPr>
            <w:r>
              <w:rPr>
                <w:rFonts w:cs="宋体"/>
                <w:b/>
                <w:color w:val="000000"/>
                <w:sz w:val="22"/>
                <w:szCs w:val="22"/>
                <w:lang w:bidi="ar"/>
              </w:rPr>
              <w:t>项目编码：</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50023124T000003800935</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color w:val="000000"/>
                <w:sz w:val="22"/>
                <w:szCs w:val="22"/>
              </w:rPr>
            </w:pPr>
            <w:r>
              <w:rPr>
                <w:rFonts w:cs="宋体"/>
                <w:b/>
                <w:color w:val="000000"/>
                <w:sz w:val="22"/>
                <w:szCs w:val="22"/>
                <w:lang w:bidi="ar"/>
              </w:rPr>
              <w:t>自评总分：</w:t>
            </w:r>
          </w:p>
        </w:tc>
        <w:tc>
          <w:tcPr>
            <w:tcW w:w="1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100.00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b/>
                <w:color w:val="000000"/>
                <w:sz w:val="22"/>
                <w:szCs w:val="22"/>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r>
      <w:tr>
        <w:tblPrEx>
          <w:tblCellMar>
            <w:top w:w="15" w:type="dxa"/>
            <w:left w:w="15" w:type="dxa"/>
            <w:bottom w:w="15" w:type="dxa"/>
            <w:right w:w="15" w:type="dxa"/>
          </w:tblCellMar>
        </w:tblPrEx>
        <w:trPr>
          <w:trHeight w:val="493" w:hRule="atLeast"/>
        </w:trPr>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color w:val="000000"/>
                <w:sz w:val="22"/>
                <w:szCs w:val="22"/>
              </w:rPr>
            </w:pPr>
            <w:r>
              <w:rPr>
                <w:rFonts w:cs="宋体"/>
                <w:b/>
                <w:color w:val="000000"/>
                <w:sz w:val="22"/>
                <w:szCs w:val="22"/>
                <w:lang w:bidi="ar"/>
              </w:rPr>
              <w:t>项目主管部门：</w:t>
            </w: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210-垫江县东部新区管理委员会</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color w:val="000000"/>
                <w:sz w:val="22"/>
                <w:szCs w:val="22"/>
              </w:rPr>
            </w:pPr>
            <w:r>
              <w:rPr>
                <w:rFonts w:cs="宋体"/>
                <w:b/>
                <w:color w:val="000000"/>
                <w:sz w:val="22"/>
                <w:szCs w:val="22"/>
                <w:lang w:bidi="ar"/>
              </w:rPr>
              <w:t>财政归口处室：</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005-经建科</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color w:val="000000"/>
                <w:sz w:val="22"/>
                <w:szCs w:val="22"/>
              </w:rPr>
            </w:pPr>
            <w:r>
              <w:rPr>
                <w:rFonts w:cs="宋体"/>
                <w:b/>
                <w:color w:val="000000"/>
                <w:sz w:val="22"/>
                <w:szCs w:val="22"/>
                <w:lang w:bidi="ar"/>
              </w:rPr>
              <w:t>部门联系人：</w:t>
            </w:r>
          </w:p>
        </w:tc>
        <w:tc>
          <w:tcPr>
            <w:tcW w:w="1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eastAsia" w:eastAsia="宋体" w:cs="宋体"/>
                <w:color w:val="000000"/>
                <w:sz w:val="22"/>
                <w:szCs w:val="22"/>
                <w:lang w:eastAsia="zh-CN"/>
              </w:rPr>
            </w:pPr>
            <w:r>
              <w:rPr>
                <w:rFonts w:hint="eastAsia" w:cs="宋体"/>
                <w:color w:val="000000"/>
                <w:sz w:val="22"/>
                <w:szCs w:val="22"/>
                <w:lang w:eastAsia="zh-CN" w:bidi="ar"/>
              </w:rPr>
              <w:t>李老师</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color w:val="000000"/>
                <w:sz w:val="22"/>
                <w:szCs w:val="22"/>
              </w:rPr>
            </w:pPr>
            <w:r>
              <w:rPr>
                <w:rFonts w:cs="宋体"/>
                <w:b/>
                <w:color w:val="000000"/>
                <w:sz w:val="22"/>
                <w:szCs w:val="22"/>
                <w:lang w:bidi="ar"/>
              </w:rPr>
              <w:t>联系电话：</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eastAsia="宋体" w:cs="宋体"/>
                <w:color w:val="000000"/>
                <w:sz w:val="22"/>
                <w:szCs w:val="22"/>
                <w:lang w:eastAsia="zh-CN"/>
              </w:rPr>
            </w:pPr>
            <w:r>
              <w:rPr>
                <w:rFonts w:hint="eastAsia" w:cs="宋体"/>
                <w:color w:val="000000"/>
                <w:sz w:val="22"/>
                <w:szCs w:val="22"/>
                <w:lang w:eastAsia="zh-CN" w:bidi="ar"/>
              </w:rPr>
              <w:t>023-74630799</w:t>
            </w:r>
          </w:p>
        </w:tc>
      </w:tr>
      <w:tr>
        <w:tblPrEx>
          <w:tblCellMar>
            <w:top w:w="15" w:type="dxa"/>
            <w:left w:w="15" w:type="dxa"/>
            <w:bottom w:w="15" w:type="dxa"/>
            <w:right w:w="15" w:type="dxa"/>
          </w:tblCellMar>
        </w:tblPrEx>
        <w:trPr>
          <w:trHeight w:val="600" w:hRule="atLeast"/>
        </w:trPr>
        <w:tc>
          <w:tcPr>
            <w:tcW w:w="83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资金情况</w:t>
            </w:r>
          </w:p>
        </w:tc>
      </w:tr>
      <w:tr>
        <w:tblPrEx>
          <w:tblCellMar>
            <w:top w:w="15" w:type="dxa"/>
            <w:left w:w="15" w:type="dxa"/>
            <w:bottom w:w="15" w:type="dxa"/>
            <w:right w:w="15" w:type="dxa"/>
          </w:tblCellMar>
        </w:tblPrEx>
        <w:trPr>
          <w:trHeight w:val="493" w:hRule="atLeast"/>
        </w:trPr>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1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年初预算数</w:t>
            </w:r>
          </w:p>
        </w:tc>
        <w:tc>
          <w:tcPr>
            <w:tcW w:w="2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全年（调整）预算数</w:t>
            </w:r>
          </w:p>
        </w:tc>
        <w:tc>
          <w:tcPr>
            <w:tcW w:w="17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全年执行数</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执行率</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b/>
                <w:color w:val="000000"/>
                <w:sz w:val="22"/>
                <w:szCs w:val="22"/>
              </w:rPr>
            </w:pPr>
            <w:r>
              <w:rPr>
                <w:rFonts w:cs="宋体"/>
                <w:b/>
                <w:color w:val="000000"/>
                <w:sz w:val="22"/>
                <w:szCs w:val="22"/>
                <w:lang w:bidi="ar"/>
              </w:rPr>
              <w:t>执行率权重</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执行率得分</w:t>
            </w:r>
          </w:p>
        </w:tc>
      </w:tr>
      <w:tr>
        <w:tblPrEx>
          <w:tblCellMar>
            <w:top w:w="15" w:type="dxa"/>
            <w:left w:w="15" w:type="dxa"/>
            <w:bottom w:w="15" w:type="dxa"/>
            <w:right w:w="15" w:type="dxa"/>
          </w:tblCellMar>
        </w:tblPrEx>
        <w:trPr>
          <w:trHeight w:val="493" w:hRule="atLeast"/>
        </w:trPr>
        <w:tc>
          <w:tcPr>
            <w:tcW w:w="408" w:type="dxa"/>
            <w:tcBorders>
              <w:top w:val="single" w:color="000000" w:sz="4" w:space="0"/>
              <w:left w:val="single" w:color="000000" w:sz="4" w:space="0"/>
              <w:bottom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年度总金额</w:t>
            </w:r>
          </w:p>
        </w:tc>
        <w:tc>
          <w:tcPr>
            <w:tcW w:w="408" w:type="dxa"/>
            <w:tcBorders>
              <w:top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c>
          <w:tcPr>
            <w:tcW w:w="408" w:type="dxa"/>
            <w:tcBorders>
              <w:top w:val="single" w:color="000000" w:sz="4" w:space="0"/>
              <w:left w:val="single" w:color="000000" w:sz="4" w:space="0"/>
              <w:bottom w:val="single" w:color="000000" w:sz="4" w:space="0"/>
            </w:tcBorders>
            <w:shd w:val="clear" w:color="auto" w:fill="auto"/>
            <w:vAlign w:val="center"/>
          </w:tcPr>
          <w:p>
            <w:pPr>
              <w:rPr>
                <w:rFonts w:hint="default" w:cs="宋体"/>
                <w:color w:val="000000"/>
                <w:sz w:val="22"/>
                <w:szCs w:val="22"/>
              </w:rPr>
            </w:pPr>
          </w:p>
        </w:tc>
        <w:tc>
          <w:tcPr>
            <w:tcW w:w="1292" w:type="dxa"/>
            <w:tcBorders>
              <w:top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 xml:space="preserve">156,500,000.00 </w:t>
            </w:r>
          </w:p>
        </w:tc>
        <w:tc>
          <w:tcPr>
            <w:tcW w:w="612" w:type="dxa"/>
            <w:tcBorders>
              <w:top w:val="single" w:color="000000" w:sz="4" w:space="0"/>
              <w:left w:val="single" w:color="000000" w:sz="4" w:space="0"/>
              <w:bottom w:val="single" w:color="000000" w:sz="4" w:space="0"/>
            </w:tcBorders>
            <w:shd w:val="clear" w:color="auto" w:fill="auto"/>
            <w:vAlign w:val="center"/>
          </w:tcPr>
          <w:p>
            <w:pPr>
              <w:rPr>
                <w:rFonts w:hint="default" w:cs="宋体"/>
                <w:color w:val="000000"/>
                <w:sz w:val="22"/>
                <w:szCs w:val="22"/>
              </w:rPr>
            </w:pPr>
          </w:p>
        </w:tc>
        <w:tc>
          <w:tcPr>
            <w:tcW w:w="1511" w:type="dxa"/>
            <w:tcBorders>
              <w:top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 xml:space="preserve">108,400,000.00 </w:t>
            </w:r>
          </w:p>
        </w:tc>
        <w:tc>
          <w:tcPr>
            <w:tcW w:w="498" w:type="dxa"/>
            <w:tcBorders>
              <w:top w:val="single" w:color="000000" w:sz="4" w:space="0"/>
              <w:left w:val="single" w:color="000000" w:sz="4" w:space="0"/>
              <w:bottom w:val="single" w:color="000000" w:sz="4" w:space="0"/>
            </w:tcBorders>
            <w:shd w:val="clear" w:color="auto" w:fill="auto"/>
            <w:vAlign w:val="center"/>
          </w:tcPr>
          <w:p>
            <w:pPr>
              <w:rPr>
                <w:rFonts w:hint="default" w:cs="宋体"/>
                <w:color w:val="000000"/>
                <w:sz w:val="22"/>
                <w:szCs w:val="22"/>
              </w:rPr>
            </w:pPr>
          </w:p>
        </w:tc>
        <w:tc>
          <w:tcPr>
            <w:tcW w:w="1292" w:type="dxa"/>
            <w:tcBorders>
              <w:top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 xml:space="preserve">108,400,000.00 </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r>
      <w:tr>
        <w:tblPrEx>
          <w:tblCellMar>
            <w:top w:w="15" w:type="dxa"/>
            <w:left w:w="15" w:type="dxa"/>
            <w:bottom w:w="15" w:type="dxa"/>
            <w:right w:w="15" w:type="dxa"/>
          </w:tblCellMar>
        </w:tblPrEx>
        <w:trPr>
          <w:trHeight w:val="493" w:hRule="atLeast"/>
        </w:trPr>
        <w:tc>
          <w:tcPr>
            <w:tcW w:w="408" w:type="dxa"/>
            <w:tcBorders>
              <w:top w:val="single" w:color="000000" w:sz="4" w:space="0"/>
              <w:left w:val="single" w:color="000000" w:sz="4" w:space="0"/>
              <w:bottom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其中：财政拨款</w:t>
            </w:r>
          </w:p>
        </w:tc>
        <w:tc>
          <w:tcPr>
            <w:tcW w:w="408" w:type="dxa"/>
            <w:tcBorders>
              <w:top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c>
          <w:tcPr>
            <w:tcW w:w="408" w:type="dxa"/>
            <w:tcBorders>
              <w:top w:val="single" w:color="000000" w:sz="4" w:space="0"/>
              <w:left w:val="single" w:color="000000" w:sz="4" w:space="0"/>
              <w:bottom w:val="single" w:color="000000" w:sz="4" w:space="0"/>
            </w:tcBorders>
            <w:shd w:val="clear" w:color="auto" w:fill="auto"/>
            <w:vAlign w:val="center"/>
          </w:tcPr>
          <w:p>
            <w:pPr>
              <w:rPr>
                <w:rFonts w:hint="default" w:cs="宋体"/>
                <w:color w:val="000000"/>
                <w:sz w:val="22"/>
                <w:szCs w:val="22"/>
              </w:rPr>
            </w:pPr>
          </w:p>
        </w:tc>
        <w:tc>
          <w:tcPr>
            <w:tcW w:w="1292" w:type="dxa"/>
            <w:tcBorders>
              <w:top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 xml:space="preserve">156,500,000.00 </w:t>
            </w:r>
          </w:p>
        </w:tc>
        <w:tc>
          <w:tcPr>
            <w:tcW w:w="612" w:type="dxa"/>
            <w:tcBorders>
              <w:top w:val="single" w:color="000000" w:sz="4" w:space="0"/>
              <w:left w:val="single" w:color="000000" w:sz="4" w:space="0"/>
              <w:bottom w:val="single" w:color="000000" w:sz="4" w:space="0"/>
            </w:tcBorders>
            <w:shd w:val="clear" w:color="auto" w:fill="auto"/>
            <w:vAlign w:val="center"/>
          </w:tcPr>
          <w:p>
            <w:pPr>
              <w:rPr>
                <w:rFonts w:hint="default" w:cs="宋体"/>
                <w:color w:val="000000"/>
                <w:sz w:val="22"/>
                <w:szCs w:val="22"/>
              </w:rPr>
            </w:pPr>
          </w:p>
        </w:tc>
        <w:tc>
          <w:tcPr>
            <w:tcW w:w="1511" w:type="dxa"/>
            <w:tcBorders>
              <w:top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 xml:space="preserve">108,400,000.00 </w:t>
            </w:r>
          </w:p>
        </w:tc>
        <w:tc>
          <w:tcPr>
            <w:tcW w:w="498" w:type="dxa"/>
            <w:tcBorders>
              <w:top w:val="single" w:color="000000" w:sz="4" w:space="0"/>
              <w:left w:val="single" w:color="000000" w:sz="4" w:space="0"/>
              <w:bottom w:val="single" w:color="000000" w:sz="4" w:space="0"/>
            </w:tcBorders>
            <w:shd w:val="clear" w:color="auto" w:fill="auto"/>
            <w:vAlign w:val="center"/>
          </w:tcPr>
          <w:p>
            <w:pPr>
              <w:rPr>
                <w:rFonts w:hint="default" w:cs="宋体"/>
                <w:color w:val="000000"/>
                <w:sz w:val="22"/>
                <w:szCs w:val="22"/>
              </w:rPr>
            </w:pPr>
          </w:p>
        </w:tc>
        <w:tc>
          <w:tcPr>
            <w:tcW w:w="1292" w:type="dxa"/>
            <w:tcBorders>
              <w:top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 xml:space="preserve">108,400,000.00 </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100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10.00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 xml:space="preserve">10.00 </w:t>
            </w:r>
          </w:p>
        </w:tc>
      </w:tr>
      <w:tr>
        <w:tblPrEx>
          <w:tblCellMar>
            <w:top w:w="15" w:type="dxa"/>
            <w:left w:w="15" w:type="dxa"/>
            <w:bottom w:w="15" w:type="dxa"/>
            <w:right w:w="15" w:type="dxa"/>
          </w:tblCellMar>
        </w:tblPrEx>
        <w:trPr>
          <w:trHeight w:val="493" w:hRule="atLeast"/>
        </w:trPr>
        <w:tc>
          <w:tcPr>
            <w:tcW w:w="408" w:type="dxa"/>
            <w:tcBorders>
              <w:top w:val="single" w:color="000000" w:sz="4" w:space="0"/>
              <w:left w:val="single" w:color="000000" w:sz="4" w:space="0"/>
              <w:bottom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一般公共预算</w:t>
            </w:r>
          </w:p>
        </w:tc>
        <w:tc>
          <w:tcPr>
            <w:tcW w:w="408" w:type="dxa"/>
            <w:tcBorders>
              <w:top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c>
          <w:tcPr>
            <w:tcW w:w="408" w:type="dxa"/>
            <w:tcBorders>
              <w:top w:val="single" w:color="000000" w:sz="4" w:space="0"/>
              <w:left w:val="single" w:color="000000" w:sz="4" w:space="0"/>
              <w:bottom w:val="single" w:color="000000" w:sz="4" w:space="0"/>
            </w:tcBorders>
            <w:shd w:val="clear" w:color="auto" w:fill="auto"/>
            <w:vAlign w:val="center"/>
          </w:tcPr>
          <w:p>
            <w:pPr>
              <w:rPr>
                <w:rFonts w:hint="default" w:cs="宋体"/>
                <w:color w:val="000000"/>
                <w:sz w:val="22"/>
                <w:szCs w:val="22"/>
              </w:rPr>
            </w:pPr>
          </w:p>
        </w:tc>
        <w:tc>
          <w:tcPr>
            <w:tcW w:w="1292" w:type="dxa"/>
            <w:tcBorders>
              <w:top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 xml:space="preserve">0.00 </w:t>
            </w:r>
          </w:p>
        </w:tc>
        <w:tc>
          <w:tcPr>
            <w:tcW w:w="612" w:type="dxa"/>
            <w:tcBorders>
              <w:top w:val="single" w:color="000000" w:sz="4" w:space="0"/>
              <w:left w:val="single" w:color="000000" w:sz="4" w:space="0"/>
              <w:bottom w:val="single" w:color="000000" w:sz="4" w:space="0"/>
            </w:tcBorders>
            <w:shd w:val="clear" w:color="auto" w:fill="auto"/>
            <w:vAlign w:val="center"/>
          </w:tcPr>
          <w:p>
            <w:pPr>
              <w:rPr>
                <w:rFonts w:hint="default" w:cs="宋体"/>
                <w:color w:val="000000"/>
                <w:sz w:val="22"/>
                <w:szCs w:val="22"/>
              </w:rPr>
            </w:pPr>
          </w:p>
        </w:tc>
        <w:tc>
          <w:tcPr>
            <w:tcW w:w="1511" w:type="dxa"/>
            <w:tcBorders>
              <w:top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 xml:space="preserve">0.00 </w:t>
            </w:r>
          </w:p>
        </w:tc>
        <w:tc>
          <w:tcPr>
            <w:tcW w:w="498" w:type="dxa"/>
            <w:tcBorders>
              <w:top w:val="single" w:color="000000" w:sz="4" w:space="0"/>
              <w:left w:val="single" w:color="000000" w:sz="4" w:space="0"/>
              <w:bottom w:val="single" w:color="000000" w:sz="4" w:space="0"/>
            </w:tcBorders>
            <w:shd w:val="clear" w:color="auto" w:fill="auto"/>
            <w:vAlign w:val="center"/>
          </w:tcPr>
          <w:p>
            <w:pPr>
              <w:rPr>
                <w:rFonts w:hint="default" w:cs="宋体"/>
                <w:color w:val="000000"/>
                <w:sz w:val="22"/>
                <w:szCs w:val="22"/>
              </w:rPr>
            </w:pPr>
          </w:p>
        </w:tc>
        <w:tc>
          <w:tcPr>
            <w:tcW w:w="1292" w:type="dxa"/>
            <w:tcBorders>
              <w:top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 xml:space="preserve">0.00 </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100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r>
      <w:tr>
        <w:tblPrEx>
          <w:tblCellMar>
            <w:top w:w="15" w:type="dxa"/>
            <w:left w:w="15" w:type="dxa"/>
            <w:bottom w:w="15" w:type="dxa"/>
            <w:right w:w="15" w:type="dxa"/>
          </w:tblCellMar>
        </w:tblPrEx>
        <w:trPr>
          <w:trHeight w:val="600" w:hRule="atLeast"/>
        </w:trPr>
        <w:tc>
          <w:tcPr>
            <w:tcW w:w="83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绩效目标</w:t>
            </w:r>
          </w:p>
        </w:tc>
      </w:tr>
      <w:tr>
        <w:tblPrEx>
          <w:tblCellMar>
            <w:top w:w="15" w:type="dxa"/>
            <w:left w:w="15" w:type="dxa"/>
            <w:bottom w:w="15" w:type="dxa"/>
            <w:right w:w="15" w:type="dxa"/>
          </w:tblCellMar>
        </w:tblPrEx>
        <w:trPr>
          <w:trHeight w:val="493" w:hRule="atLeast"/>
        </w:trPr>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年初绩效目标</w:t>
            </w:r>
          </w:p>
        </w:tc>
        <w:tc>
          <w:tcPr>
            <w:tcW w:w="39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全年（调整）绩效目标</w:t>
            </w:r>
          </w:p>
        </w:tc>
        <w:tc>
          <w:tcPr>
            <w:tcW w:w="19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全年目标实际完成情况</w:t>
            </w:r>
          </w:p>
        </w:tc>
      </w:tr>
      <w:tr>
        <w:tblPrEx>
          <w:tblCellMar>
            <w:top w:w="15" w:type="dxa"/>
            <w:left w:w="15" w:type="dxa"/>
            <w:bottom w:w="15" w:type="dxa"/>
            <w:right w:w="15" w:type="dxa"/>
          </w:tblCellMar>
        </w:tblPrEx>
        <w:trPr>
          <w:trHeight w:val="1597" w:hRule="atLeast"/>
        </w:trPr>
        <w:tc>
          <w:tcPr>
            <w:tcW w:w="2516" w:type="dxa"/>
            <w:gridSpan w:val="4"/>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color w:val="000000"/>
                <w:sz w:val="22"/>
                <w:szCs w:val="22"/>
              </w:rPr>
            </w:pPr>
            <w:r>
              <w:rPr>
                <w:rFonts w:cs="宋体"/>
                <w:color w:val="000000"/>
                <w:sz w:val="22"/>
                <w:szCs w:val="22"/>
                <w:lang w:bidi="ar"/>
              </w:rPr>
              <w:t>完成文化路片区棚改项目、城东片区一期B区（城中村）项目、城东片区二期棚户区改造项目建设</w:t>
            </w:r>
          </w:p>
        </w:tc>
        <w:tc>
          <w:tcPr>
            <w:tcW w:w="3913" w:type="dxa"/>
            <w:gridSpan w:val="4"/>
            <w:tcBorders>
              <w:top w:val="single" w:color="000000" w:sz="4" w:space="0"/>
              <w:left w:val="single" w:color="000000" w:sz="4" w:space="0"/>
              <w:bottom w:val="single" w:color="000000" w:sz="4" w:space="0"/>
              <w:right w:val="single" w:color="000000" w:sz="4" w:space="0"/>
            </w:tcBorders>
            <w:shd w:val="clear" w:color="auto" w:fill="auto"/>
          </w:tcPr>
          <w:p>
            <w:pPr>
              <w:rPr>
                <w:rFonts w:hint="default" w:cs="宋体"/>
                <w:color w:val="000000"/>
                <w:sz w:val="22"/>
                <w:szCs w:val="22"/>
              </w:rPr>
            </w:pPr>
          </w:p>
        </w:tc>
        <w:tc>
          <w:tcPr>
            <w:tcW w:w="1911" w:type="dxa"/>
            <w:gridSpan w:val="3"/>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color w:val="000000"/>
                <w:sz w:val="22"/>
                <w:szCs w:val="22"/>
              </w:rPr>
            </w:pPr>
            <w:r>
              <w:rPr>
                <w:rFonts w:cs="宋体"/>
                <w:color w:val="000000"/>
                <w:sz w:val="22"/>
                <w:szCs w:val="22"/>
                <w:lang w:bidi="ar"/>
              </w:rPr>
              <w:t>全额完成</w:t>
            </w:r>
          </w:p>
        </w:tc>
      </w:tr>
      <w:tr>
        <w:tblPrEx>
          <w:tblCellMar>
            <w:top w:w="15" w:type="dxa"/>
            <w:left w:w="15" w:type="dxa"/>
            <w:bottom w:w="15" w:type="dxa"/>
            <w:right w:w="15" w:type="dxa"/>
          </w:tblCellMar>
        </w:tblPrEx>
        <w:trPr>
          <w:trHeight w:val="600" w:hRule="atLeast"/>
        </w:trPr>
        <w:tc>
          <w:tcPr>
            <w:tcW w:w="83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绩效指标</w:t>
            </w:r>
          </w:p>
        </w:tc>
      </w:tr>
      <w:tr>
        <w:tblPrEx>
          <w:tblCellMar>
            <w:top w:w="15" w:type="dxa"/>
            <w:left w:w="15" w:type="dxa"/>
            <w:bottom w:w="15" w:type="dxa"/>
            <w:right w:w="15" w:type="dxa"/>
          </w:tblCellMar>
        </w:tblPrEx>
        <w:trPr>
          <w:trHeight w:val="493" w:hRule="atLeast"/>
        </w:trPr>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指标名称</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计量单位</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指标性质</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指标值</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全年完成值</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偏离度（%）</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得分系数（%）</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指标权重</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指标得分</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是否核心指标</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color w:val="000000"/>
                <w:sz w:val="22"/>
                <w:szCs w:val="22"/>
              </w:rPr>
            </w:pPr>
            <w:r>
              <w:rPr>
                <w:rFonts w:cs="宋体"/>
                <w:b/>
                <w:color w:val="000000"/>
                <w:sz w:val="22"/>
                <w:szCs w:val="22"/>
                <w:lang w:bidi="ar"/>
              </w:rPr>
              <w:t>说明</w:t>
            </w:r>
          </w:p>
        </w:tc>
      </w:tr>
      <w:tr>
        <w:tblPrEx>
          <w:tblCellMar>
            <w:top w:w="15" w:type="dxa"/>
            <w:left w:w="15" w:type="dxa"/>
            <w:bottom w:w="15" w:type="dxa"/>
            <w:right w:w="15" w:type="dxa"/>
          </w:tblCellMar>
        </w:tblPrEx>
        <w:trPr>
          <w:trHeight w:val="493" w:hRule="atLeast"/>
        </w:trPr>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完成项目建设</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r>
      <w:tr>
        <w:tblPrEx>
          <w:tblCellMar>
            <w:top w:w="15" w:type="dxa"/>
            <w:left w:w="15" w:type="dxa"/>
            <w:bottom w:w="15" w:type="dxa"/>
            <w:right w:w="15" w:type="dxa"/>
          </w:tblCellMar>
        </w:tblPrEx>
        <w:trPr>
          <w:trHeight w:val="493" w:hRule="atLeast"/>
        </w:trPr>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按质量要求完成项目建设</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定性</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有所增加</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r>
      <w:tr>
        <w:tblPrEx>
          <w:tblCellMar>
            <w:top w:w="15" w:type="dxa"/>
            <w:left w:w="15" w:type="dxa"/>
            <w:bottom w:w="15" w:type="dxa"/>
            <w:right w:w="15" w:type="dxa"/>
          </w:tblCellMar>
        </w:tblPrEx>
        <w:trPr>
          <w:trHeight w:val="493" w:hRule="atLeast"/>
        </w:trPr>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按项目计划时间完成项目建设</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定性</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有所增加</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r>
      <w:tr>
        <w:tblPrEx>
          <w:tblCellMar>
            <w:top w:w="15" w:type="dxa"/>
            <w:left w:w="15" w:type="dxa"/>
            <w:bottom w:w="15" w:type="dxa"/>
            <w:right w:w="15" w:type="dxa"/>
          </w:tblCellMar>
        </w:tblPrEx>
        <w:trPr>
          <w:trHeight w:val="493" w:hRule="atLeast"/>
        </w:trPr>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建设项目带来的效益</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30</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30</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r>
      <w:tr>
        <w:tblPrEx>
          <w:tblCellMar>
            <w:top w:w="15" w:type="dxa"/>
            <w:left w:w="15" w:type="dxa"/>
            <w:bottom w:w="15" w:type="dxa"/>
            <w:right w:w="15" w:type="dxa"/>
          </w:tblCellMar>
        </w:tblPrEx>
        <w:trPr>
          <w:trHeight w:val="493" w:hRule="atLeast"/>
        </w:trPr>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群众满意度</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r>
      <w:tr>
        <w:tblPrEx>
          <w:tblCellMar>
            <w:top w:w="15" w:type="dxa"/>
            <w:left w:w="15" w:type="dxa"/>
            <w:bottom w:w="15" w:type="dxa"/>
            <w:right w:w="15" w:type="dxa"/>
          </w:tblCellMar>
        </w:tblPrEx>
        <w:trPr>
          <w:trHeight w:val="493" w:hRule="atLeast"/>
        </w:trPr>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完成项目投资</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元</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r>
    </w:tbl>
    <w:p>
      <w:pPr>
        <w:pStyle w:val="13"/>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p>
    <w:p>
      <w:pPr>
        <w:pStyle w:val="13"/>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pPr>
        <w:pStyle w:val="17"/>
        <w:autoSpaceDE w:val="0"/>
        <w:spacing w:line="596" w:lineRule="exact"/>
        <w:ind w:firstLine="640"/>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我单位未开展绩效评价</w:t>
      </w:r>
      <w:r>
        <w:rPr>
          <w:rFonts w:hint="eastAsia" w:ascii="方正仿宋_GBK" w:hAnsi="方正仿宋_GBK" w:eastAsia="方正仿宋_GBK" w:cs="方正仿宋_GBK"/>
          <w:sz w:val="32"/>
          <w:szCs w:val="32"/>
          <w:shd w:val="clear" w:color="auto" w:fill="FFFFFF"/>
          <w:lang w:val="en-US" w:eastAsia="zh-CN"/>
        </w:rPr>
        <w:t>。</w:t>
      </w:r>
    </w:p>
    <w:p>
      <w:pPr>
        <w:pStyle w:val="17"/>
        <w:autoSpaceDE w:val="0"/>
        <w:spacing w:line="596"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pPr>
        <w:pStyle w:val="13"/>
        <w:autoSpaceDE w:val="0"/>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县财政局未委托第三方对我单位开展绩效评价。</w:t>
      </w:r>
    </w:p>
    <w:p>
      <w:pPr>
        <w:pStyle w:val="13"/>
        <w:autoSpaceDE w:val="0"/>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黑体" w:hAnsi="黑体" w:eastAsia="黑体" w:cs="黑体"/>
          <w:sz w:val="32"/>
          <w:szCs w:val="32"/>
          <w:shd w:val="clear" w:color="auto" w:fill="FFFFFF"/>
        </w:rPr>
        <w:t>六、专业名词解释</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（十二）</w:t>
      </w:r>
      <w:r>
        <w:rPr>
          <w:rStyle w:val="11"/>
          <w:rFonts w:hint="eastAsia" w:ascii="楷体" w:hAnsi="楷体" w:eastAsia="楷体" w:cs="楷体"/>
          <w:sz w:val="32"/>
          <w:szCs w:val="32"/>
          <w:shd w:val="clear" w:color="auto" w:fill="FFFFFF"/>
          <w:lang w:eastAsia="zh-CN"/>
        </w:rPr>
        <w:t>三公</w:t>
      </w:r>
      <w:r>
        <w:rPr>
          <w:rStyle w:val="11"/>
          <w:rFonts w:hint="eastAsia" w:ascii="楷体" w:hAnsi="楷体" w:eastAsia="楷体" w:cs="楷体"/>
          <w:sz w:val="32"/>
          <w:szCs w:val="32"/>
          <w:shd w:val="clear" w:color="auto" w:fill="FFFFFF"/>
        </w:rPr>
        <w:t>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黑体" w:hAnsi="黑体" w:eastAsia="黑体" w:cs="黑体"/>
          <w:sz w:val="32"/>
          <w:szCs w:val="32"/>
          <w:shd w:val="clear" w:color="auto" w:fill="FFFFFF"/>
        </w:rPr>
        <w:t>七、决算公开联系方式及信息反馈渠道</w:t>
      </w:r>
    </w:p>
    <w:p>
      <w:pPr>
        <w:pStyle w:val="13"/>
        <w:spacing w:before="0" w:beforeAutospacing="0" w:after="0" w:afterAutospacing="0" w:line="596"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pPr>
        <w:pStyle w:val="13"/>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李老师  023-74630799</w:t>
      </w:r>
    </w:p>
    <w:p>
      <w:pPr>
        <w:pStyle w:val="12"/>
        <w:autoSpaceDE w:val="0"/>
        <w:spacing w:line="596" w:lineRule="exact"/>
        <w:ind w:firstLine="643"/>
        <w:jc w:val="both"/>
        <w:rPr>
          <w:rStyle w:val="11"/>
          <w:rFonts w:ascii="方正仿宋_GBK" w:hAnsi="方正仿宋_GBK" w:eastAsia="方正仿宋_GBK" w:cs="方正仿宋_GBK"/>
          <w:sz w:val="32"/>
          <w:szCs w:val="32"/>
          <w:shd w:val="clear" w:color="auto" w:fill="FFFF00"/>
        </w:rPr>
      </w:pPr>
    </w:p>
    <w:p>
      <w:pPr>
        <w:pStyle w:val="12"/>
        <w:autoSpaceDE w:val="0"/>
        <w:spacing w:line="596" w:lineRule="exact"/>
        <w:ind w:firstLine="643"/>
        <w:jc w:val="both"/>
        <w:rPr>
          <w:rStyle w:val="11"/>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8"/>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垫江县东部新区管理委员会（本级）</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30,464.23</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191.73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36,404.53</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42.87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65,085.57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66,868.76</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66,868.76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66,868.76</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66,868.76</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8"/>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垫江县东部新区管理委员会（本级）</w:t>
            </w: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66,868.76</w:t>
            </w:r>
            <w:r>
              <w:rPr>
                <w:rFonts w:ascii="Times New Roman" w:hAnsi="Times New Roman"/>
                <w:b/>
                <w:color w:val="000000"/>
                <w:sz w:val="20"/>
              </w:rPr>
              <w:t xml:space="preserve"> </w:t>
            </w:r>
          </w:p>
        </w:tc>
        <w:tc>
          <w:tcPr>
            <w:tcW w:w="14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66,868.76</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191.73</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191.73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191.73</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191.73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190.13</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190.13</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0.79</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0.79</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0.79</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42.87</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42.87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33.27</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33.27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20.88</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20.88</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10.48</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10.48</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11.31</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11.31</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11.31</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11.31</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1,500.00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1,500.00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其他污染防治支出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65,085.57</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65,085.57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198.59</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198.59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198.59</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198.59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28,500.62</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28,500.62</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16,500.00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16,500.00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其他城乡社区公共设施支出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12,000.62</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12,000.62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36,386.36</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36,386.36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城市建设支出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25,546.36</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25,546.36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2120810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棚户区改造支出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10,840.00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10,840.00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18.33</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18.33</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18.33</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18.33</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18.17</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18.17</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用于体育事业的彩票公益金支出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18.17</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8"/>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垫江县东部新区管理委员会（本级） </w:t>
            </w: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66,868.76</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253.82</w:t>
            </w:r>
            <w:r>
              <w:rPr>
                <w:rFonts w:ascii="Times New Roman" w:hAnsi="Times New Roman"/>
                <w:b/>
                <w:color w:val="000000"/>
                <w:sz w:val="20"/>
              </w:rPr>
              <w:t xml:space="preserve"> </w:t>
            </w:r>
          </w:p>
        </w:tc>
        <w:tc>
          <w:tcPr>
            <w:tcW w:w="16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66,614.94</w:t>
            </w:r>
            <w:r>
              <w:rPr>
                <w:rFonts w:ascii="Times New Roman" w:hAnsi="Times New Roman"/>
                <w:b/>
                <w:color w:val="000000"/>
                <w:sz w:val="20"/>
              </w:rPr>
              <w:t xml:space="preserve"> </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191.73</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190.13</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191.73</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190.13</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190.13</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190.13</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0.79</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0.79</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0.79</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0.79</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0.79</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0.79</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42.87</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33.27</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33.27</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33.27</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20.88</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20.88</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10.48</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10.48</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11.31</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11.31</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11.31</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11.31</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11.31</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11.31</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1,500.00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1,500.00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其他污染防治支出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65,085.57</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65,085.57</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198.59</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198.59</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198.59</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198.59</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28,500.62</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28,500.62</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16,500.00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16,500.00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其他城乡社区公共设施支出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12,000.62</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12,000.62</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36,386.36</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36,386.36</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城市建设支出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25,546.36</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25,546.36</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2120810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棚户区改造支出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10,840.00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10,840.00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18.33</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18.33</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18.33</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18.33</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18.33</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18.33</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18.17</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18.17</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18.17</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18.17</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用于体育事业的彩票公益金支出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18.17</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18.17</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8"/>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垫江县东部新区管理委员会（本级）</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30,464.23</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191.73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191.73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36,404.53</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42.87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42.87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1,500.00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1,500.00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65,085.57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28,699.21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36,386.36</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18.17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18.17</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66,868.76</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66,868.76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30,464.23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36,404.53</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66,868.76</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66,868.76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30,464.23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36,404.53</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垫江县东部新区管理委员会（本级）</w:t>
            </w: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30,464.23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253.82</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30,210.41</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191.73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190.13</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191.73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190.13</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190.13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190.13</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0.79</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0.79</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0.79</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42.87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33.27</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33.27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33.27</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20.88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20.88</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10.48</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1.91</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11.31</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11.31</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11.31</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其他污染防治支出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28,699.21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28,699.21</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198.59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198.59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198.59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198.59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28,500.62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28,500.62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16,500.00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16,500.00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其他城乡社区公共设施支出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12,000.62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12,000.62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18.33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18.33</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18.33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18.33</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18.33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18.33</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8"/>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垫江县东部新区管理委员会（本级）</w:t>
            </w:r>
          </w:p>
        </w:tc>
        <w:tc>
          <w:tcPr>
            <w:tcW w:w="1418"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418"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204.59</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47.32</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43.07</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3.93</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30.76</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63.54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20.88</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10.48</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10.59</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11.31</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2.66</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18.33</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1.81</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1.91</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0.79</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1.91</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7.89</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206.50</w:t>
            </w:r>
            <w:r>
              <w:rPr>
                <w:rFonts w:ascii="Times New Roman" w:hAnsi="Times New Roman"/>
                <w:color w:val="000000"/>
                <w:sz w:val="18"/>
              </w:rPr>
              <w:t xml:space="preserve"> </w:t>
            </w:r>
          </w:p>
        </w:tc>
        <w:tc>
          <w:tcPr>
            <w:tcW w:w="8659"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47.32</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垫江县东部新区管理委员会（本级）</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36,404.53</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36,404.53</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36,404.53</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36,386.36</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36,386.36</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36,386.36</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36,386.36</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36,386.36</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36,386.36</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2120803</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城市建设支出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25,546.36</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25,546.36</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25,546.36</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2120810</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棚户区改造支出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10,840.00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10,840.00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10,840.00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18.17</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18.17</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18.17</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18.17</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18.17</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18.17</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2296003</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用于体育事业的彩票公益金支出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18.17</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18.17</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18.17</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垫江县东部新区管理委员会（本级）</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8"/>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垫江县东部新区管理委员会（本级）</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w:t>
            </w:r>
            <w:r>
              <w:rPr>
                <w:rFonts w:hint="eastAsia" w:cs="宋体"/>
                <w:b/>
                <w:color w:val="000000"/>
                <w:kern w:val="2"/>
                <w:sz w:val="16"/>
                <w:szCs w:val="16"/>
                <w:lang w:eastAsia="zh-CN"/>
              </w:rPr>
              <w:t>三公</w:t>
            </w:r>
            <w:r>
              <w:rPr>
                <w:rFonts w:cs="宋体"/>
                <w:b/>
                <w:color w:val="000000"/>
                <w:kern w:val="2"/>
                <w:sz w:val="16"/>
                <w:szCs w:val="16"/>
              </w:rPr>
              <w:t>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47.32</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9.57</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9.57</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47.32</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9.57</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9.57</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9.57</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95</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1,022</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1.57</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34.97</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w:t>
      </w:r>
      <w:r>
        <w:rPr>
          <w:rFonts w:hint="eastAsia" w:cs="宋体"/>
          <w:sz w:val="18"/>
          <w:szCs w:val="18"/>
          <w:lang w:eastAsia="zh-CN"/>
        </w:rPr>
        <w:t>三公</w:t>
      </w:r>
      <w:r>
        <w:rPr>
          <w:rFonts w:cs="宋体"/>
          <w:sz w:val="18"/>
          <w:szCs w:val="18"/>
        </w:rPr>
        <w:t>经费支出预决算情况。其中，预算数为</w:t>
      </w:r>
      <w:r>
        <w:rPr>
          <w:rFonts w:hint="eastAsia" w:cs="宋体"/>
          <w:sz w:val="18"/>
          <w:szCs w:val="18"/>
          <w:lang w:eastAsia="zh-CN"/>
        </w:rPr>
        <w:t>三公</w:t>
      </w:r>
      <w:r>
        <w:rPr>
          <w:rFonts w:cs="宋体"/>
          <w:sz w:val="18"/>
          <w:szCs w:val="18"/>
        </w:rPr>
        <w:t>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- 10 -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- 10 -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kNmIwODI1Y2QwNGQxZDFhYmRhZWMyNWM5ZTJhMjUifQ=="/>
  </w:docVars>
  <w:rsids>
    <w:rsidRoot w:val="00B03CCD"/>
    <w:rsid w:val="000239C6"/>
    <w:rsid w:val="000928EC"/>
    <w:rsid w:val="0016250D"/>
    <w:rsid w:val="001D3BB7"/>
    <w:rsid w:val="002B254B"/>
    <w:rsid w:val="003046BA"/>
    <w:rsid w:val="0034050A"/>
    <w:rsid w:val="0044504F"/>
    <w:rsid w:val="00466C9B"/>
    <w:rsid w:val="00486CFC"/>
    <w:rsid w:val="00491DDD"/>
    <w:rsid w:val="00550ABE"/>
    <w:rsid w:val="00551F76"/>
    <w:rsid w:val="005B71A4"/>
    <w:rsid w:val="00623A85"/>
    <w:rsid w:val="00770383"/>
    <w:rsid w:val="007819D4"/>
    <w:rsid w:val="007B419D"/>
    <w:rsid w:val="007B7C4B"/>
    <w:rsid w:val="007D3D39"/>
    <w:rsid w:val="009439A0"/>
    <w:rsid w:val="00984C6A"/>
    <w:rsid w:val="00994AF7"/>
    <w:rsid w:val="009B67B8"/>
    <w:rsid w:val="009C14C9"/>
    <w:rsid w:val="009D2B67"/>
    <w:rsid w:val="009E1452"/>
    <w:rsid w:val="00A566F9"/>
    <w:rsid w:val="00AA7485"/>
    <w:rsid w:val="00AF2751"/>
    <w:rsid w:val="00B03CCD"/>
    <w:rsid w:val="00BE2B89"/>
    <w:rsid w:val="00BF0D89"/>
    <w:rsid w:val="00C10E9E"/>
    <w:rsid w:val="00C20C3E"/>
    <w:rsid w:val="00C5163E"/>
    <w:rsid w:val="00CF2ACF"/>
    <w:rsid w:val="00D03AAF"/>
    <w:rsid w:val="00DD0539"/>
    <w:rsid w:val="00E07662"/>
    <w:rsid w:val="00E368E9"/>
    <w:rsid w:val="00E83B37"/>
    <w:rsid w:val="00EB6441"/>
    <w:rsid w:val="00EE1E33"/>
    <w:rsid w:val="00F73F90"/>
    <w:rsid w:val="00FB4B3B"/>
    <w:rsid w:val="00FE2EE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AE4529E"/>
    <w:rsid w:val="0B9335CE"/>
    <w:rsid w:val="0BF2311A"/>
    <w:rsid w:val="0C7927C4"/>
    <w:rsid w:val="0C9B098C"/>
    <w:rsid w:val="0D3B009B"/>
    <w:rsid w:val="0D673E11"/>
    <w:rsid w:val="0DDA54E4"/>
    <w:rsid w:val="0E3A5F83"/>
    <w:rsid w:val="0EA65217"/>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004704"/>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9310A5F"/>
    <w:rsid w:val="298A7B75"/>
    <w:rsid w:val="29B36D5A"/>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825454"/>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A9C34E6"/>
    <w:rsid w:val="4B135857"/>
    <w:rsid w:val="4B7951CB"/>
    <w:rsid w:val="4B7C315C"/>
    <w:rsid w:val="4D1F53CA"/>
    <w:rsid w:val="4DAC4ACA"/>
    <w:rsid w:val="4DBE01D2"/>
    <w:rsid w:val="4EFD467F"/>
    <w:rsid w:val="4F0C6BA3"/>
    <w:rsid w:val="4F186D58"/>
    <w:rsid w:val="500A62D1"/>
    <w:rsid w:val="504B6EAA"/>
    <w:rsid w:val="50F06B6E"/>
    <w:rsid w:val="51D21804"/>
    <w:rsid w:val="52234D33"/>
    <w:rsid w:val="522F6E0C"/>
    <w:rsid w:val="52463BA1"/>
    <w:rsid w:val="52F163D4"/>
    <w:rsid w:val="531A2DB4"/>
    <w:rsid w:val="53C0244D"/>
    <w:rsid w:val="53DD4D4E"/>
    <w:rsid w:val="53E578CE"/>
    <w:rsid w:val="541330F0"/>
    <w:rsid w:val="54272666"/>
    <w:rsid w:val="543B029D"/>
    <w:rsid w:val="547B2008"/>
    <w:rsid w:val="54861779"/>
    <w:rsid w:val="55084A4C"/>
    <w:rsid w:val="552256E1"/>
    <w:rsid w:val="554E5773"/>
    <w:rsid w:val="555829E0"/>
    <w:rsid w:val="555A3CBC"/>
    <w:rsid w:val="5582012B"/>
    <w:rsid w:val="558E4E05"/>
    <w:rsid w:val="55BE2E85"/>
    <w:rsid w:val="56530F5D"/>
    <w:rsid w:val="567700D3"/>
    <w:rsid w:val="56FF7E9E"/>
    <w:rsid w:val="57494DC4"/>
    <w:rsid w:val="578867FC"/>
    <w:rsid w:val="5842572D"/>
    <w:rsid w:val="5A3B59D6"/>
    <w:rsid w:val="5AD134D8"/>
    <w:rsid w:val="5BF41F67"/>
    <w:rsid w:val="5C263CE4"/>
    <w:rsid w:val="5C336652"/>
    <w:rsid w:val="5C5D2777"/>
    <w:rsid w:val="5CF66BF3"/>
    <w:rsid w:val="5D290C69"/>
    <w:rsid w:val="5DA80C2C"/>
    <w:rsid w:val="5E833780"/>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CDF338A"/>
    <w:rsid w:val="6D903FF5"/>
    <w:rsid w:val="6DA474FF"/>
    <w:rsid w:val="6DA955B8"/>
    <w:rsid w:val="6DC14955"/>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A7C39E0"/>
    <w:rsid w:val="7B420052"/>
    <w:rsid w:val="7BD06A28"/>
    <w:rsid w:val="7C3A7C0B"/>
    <w:rsid w:val="7C5248E4"/>
    <w:rsid w:val="7C566698"/>
    <w:rsid w:val="7C5866A3"/>
    <w:rsid w:val="7D7406BB"/>
    <w:rsid w:val="7DE94331"/>
    <w:rsid w:val="7EA064E6"/>
    <w:rsid w:val="7F13585B"/>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spacing w:line="425" w:lineRule="atLeast"/>
      <w:ind w:firstLine="420"/>
      <w:textAlignment w:val="baseline"/>
    </w:pPr>
    <w:rPr>
      <w:rFonts w:ascii="Calibri" w:hAnsi="Calibri"/>
      <w:color w:val="000000"/>
      <w:sz w:val="21"/>
      <w:szCs w:val="22"/>
    </w:r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basedOn w:val="10"/>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字符"/>
    <w:basedOn w:val="10"/>
    <w:link w:val="3"/>
    <w:qFormat/>
    <w:uiPriority w:val="0"/>
    <w:rPr>
      <w:rFonts w:ascii="宋体" w:hAnsi="宋体"/>
      <w:sz w:val="18"/>
      <w:szCs w:val="18"/>
    </w:rPr>
  </w:style>
  <w:style w:type="paragraph" w:customStyle="1" w:styleId="17">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29</Pages>
  <Words>11101</Words>
  <Characters>16012</Characters>
  <Lines>142</Lines>
  <Paragraphs>40</Paragraphs>
  <TotalTime>14</TotalTime>
  <ScaleCrop>false</ScaleCrop>
  <LinksUpToDate>false</LinksUpToDate>
  <CharactersWithSpaces>17398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毕欢</cp:lastModifiedBy>
  <dcterms:modified xsi:type="dcterms:W3CDTF">2025-09-16T07:29:01Z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BB46EABDBB2749749395447164B066B3_12</vt:lpwstr>
  </property>
  <property fmtid="{D5CDD505-2E9C-101B-9397-08002B2CF9AE}" pid="4" name="KSOTemplateDocerSaveRecord">
    <vt:lpwstr>eyJoZGlkIjoiNjlhMWI4ODZlYWQ3MGY2ZWZjYmU1YTAwMzlkNWM5MzMiLCJ1c2VySWQiOiIyMzYwOTE3NjkifQ==</vt:lpwstr>
  </property>
</Properties>
</file>