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垫江县东部新区服务中心</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7"/>
        <w:shd w:val="clear" w:color="auto" w:fill="FFFFFF"/>
        <w:ind w:firstLine="420"/>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负责统筹协调新区的发展工作；2.根据城市总体规划，协助编制新区专业规划、新区控制性详细规划、城市设计及专项规划；3.协助编制阶段性城市拓展、产城融合战略实施方案、新区年度建设计划并组织实施；4.协助新区规划范围内重大投资项目的开发建设工作；5.负责统筹协调相关职能部门和街道开展新区规划范围内项目建设中的土地征收、房屋拆迁、补偿安置及管护工作；6.负责新区规划范围内道路、园林景观、水、电、气、通讯等基础设施建设工作；7.负责新区规划范围建设期内的城市道路、园林景观管理维护工作，并适时移交给相关职能部门进行行业管理；8.负责协调新区规划范围内政府投资类基本建设项目所需资金的统筹、调度、使用和管理工作；9.配合参与开发新区规划范围内的产业发展、招商引资工作；10.负责企业和投资者的管理和服务工作，实行会商、会审制度，协调相关部门研究解决新区开发建设中存在的矛盾和问题；11.负责东部新区项目运营管理，PPP项目运营期绩效考核；12.协助招标投标活动的监督，负责招标文件备案、信息公开、开标评标监督、投诉处理、合同备案等工作；13.协助做好生态环境保护及动态管理、安全生产、消防等监管工作。</w:t>
      </w:r>
    </w:p>
    <w:p>
      <w:pPr>
        <w:pStyle w:val="7"/>
        <w:shd w:val="clear" w:color="auto" w:fill="FFFFFF"/>
        <w:ind w:firstLine="420"/>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（二）机构设置</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垫江县东部新区服务中心设6个内设机构：</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综合科：负责组织制定工作目标，并实施考核；负责文秘、会务、信访、安保、党建、机构编制、组织人事、档案、后勤管理等工作；负责县人大议案、县政协提案办理等工作。</w:t>
      </w:r>
    </w:p>
    <w:p>
      <w:pPr>
        <w:pStyle w:val="7"/>
        <w:spacing w:before="0" w:beforeAutospacing="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财务科：负责财务收支预决算工作；负责财务管理和综合统计工作；负责资产管理；负责内部审计工作；负责按年度投资计划指导编制资金筹措计划，并协调落实政府投资类基本建设项目建设资金；协助融资公司开展投融资管理和投融资项目的策划、包装、论证等工作；负责落实征地拆迁安置资金和支付征地拆迁安置各项补偿相关费用。</w:t>
      </w:r>
    </w:p>
    <w:p>
      <w:pPr>
        <w:pStyle w:val="7"/>
        <w:spacing w:before="0" w:beforeAutospacing="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规划发展科：根据城市总体规划，协助编制新区专业规划、新区控制性详细规划、城市设计及专项规划；配合开展新区规划的报批和规划管理工作；配合做好政府投资类基本建设项目的可行性研究、立项、初步设计及审批、施工图设计、招标投标工作。</w:t>
      </w:r>
    </w:p>
    <w:p>
      <w:pPr>
        <w:pStyle w:val="7"/>
        <w:spacing w:before="0" w:beforeAutospacing="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建设管理科：负责政府投资类基本建设项目的建设管理、合同管理等工作；负责政府投资类基本建设项目建设期间的市政、环卫、园林绿化管理工作；协助做好开发建设项目的督查检查及监督管理工作。</w:t>
      </w:r>
    </w:p>
    <w:p>
      <w:pPr>
        <w:pStyle w:val="7"/>
        <w:spacing w:before="0" w:beforeAutospacing="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招商科：负责招商引资、商务合作工作；负责企业及投资者的管理和服务工作。</w:t>
      </w:r>
    </w:p>
    <w:p>
      <w:pPr>
        <w:pStyle w:val="7"/>
        <w:spacing w:before="0" w:beforeAutospacing="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运营管理科：负责东部新区项目运营管理，PPP项目运营期绩效考核；协助做好生态环境保护及动态管理；协助做好安全生产、消防等监管工作。</w:t>
      </w:r>
    </w:p>
    <w:p>
      <w:pPr>
        <w:pStyle w:val="7"/>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二、单位决算收支情况说明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napToGrid w:val="0"/>
        <w:spacing w:line="594" w:lineRule="exact"/>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2024年度收入总计461.74万元，支出总计</w:t>
      </w:r>
      <w:r>
        <w:rPr>
          <w:rFonts w:ascii="方正仿宋_GBK" w:hAnsi="方正仿宋_GBK" w:eastAsia="方正仿宋_GBK" w:cs="方正仿宋_GBK"/>
          <w:sz w:val="32"/>
          <w:szCs w:val="32"/>
        </w:rPr>
        <w:t>461.74</w:t>
      </w:r>
      <w:r>
        <w:rPr>
          <w:rFonts w:ascii="方正仿宋_GBK" w:hAnsi="方正仿宋_GBK" w:eastAsia="方正仿宋_GBK" w:cs="方正仿宋_GBK"/>
          <w:sz w:val="32"/>
          <w:szCs w:val="32"/>
          <w:shd w:val="clear" w:color="auto" w:fill="FFFFFF"/>
        </w:rPr>
        <w:t>万元。收、支与2023年度相比，增加29.66万元，增长6.86%，主要原因是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本单位补缴了事业编制职工2022</w:t>
      </w:r>
      <w:r>
        <w:rPr>
          <w:rFonts w:hint="eastAsia" w:ascii="仿宋_GB2312" w:hAnsi="仿宋" w:eastAsia="仿宋_GB2312" w:cs="仿宋"/>
          <w:color w:val="000000"/>
          <w:sz w:val="32"/>
          <w:szCs w:val="32"/>
          <w:lang w:eastAsia="zh-CN"/>
        </w:rPr>
        <w:t>—</w:t>
      </w:r>
      <w:r>
        <w:rPr>
          <w:rFonts w:ascii="仿宋_GB2312" w:hAnsi="仿宋" w:eastAsia="仿宋_GB2312" w:cs="仿宋"/>
          <w:color w:val="000000"/>
          <w:sz w:val="32"/>
          <w:szCs w:val="32"/>
        </w:rPr>
        <w:t>2024年度养老保险和职业年金、2024年医疗保险。</w:t>
      </w:r>
    </w:p>
    <w:p>
      <w:pPr>
        <w:snapToGrid w:val="0"/>
        <w:spacing w:line="594" w:lineRule="exact"/>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2024年度收入合计461.74万元，与2023年度相比，增加29.66万元，增长6.86%，</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本单位补缴了事业编制职工2022</w:t>
      </w:r>
      <w:r>
        <w:rPr>
          <w:rFonts w:hint="eastAsia" w:ascii="仿宋_GB2312" w:hAnsi="仿宋" w:eastAsia="仿宋_GB2312" w:cs="仿宋"/>
          <w:color w:val="000000"/>
          <w:sz w:val="32"/>
          <w:szCs w:val="32"/>
          <w:lang w:eastAsia="zh-CN"/>
        </w:rPr>
        <w:t>—</w:t>
      </w:r>
      <w:r>
        <w:rPr>
          <w:rFonts w:ascii="仿宋_GB2312" w:hAnsi="仿宋" w:eastAsia="仿宋_GB2312" w:cs="仿宋"/>
          <w:color w:val="000000"/>
          <w:sz w:val="32"/>
          <w:szCs w:val="32"/>
        </w:rPr>
        <w:t>2024年度养老保险和职业年金、2024年医疗保险。</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461.74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snapToGrid w:val="0"/>
        <w:spacing w:line="594" w:lineRule="exact"/>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461.74</w:t>
      </w:r>
      <w:r>
        <w:rPr>
          <w:rFonts w:ascii="方正仿宋_GBK" w:hAnsi="方正仿宋_GBK" w:eastAsia="方正仿宋_GBK" w:cs="方正仿宋_GBK"/>
          <w:sz w:val="32"/>
          <w:szCs w:val="32"/>
          <w:shd w:val="clear" w:color="auto" w:fill="FFFFFF"/>
        </w:rPr>
        <w:t>万元，与2023年度相比，增加29.66万元，增长6.86%，主要原因是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本单位补缴了事业编制职工2022</w:t>
      </w:r>
      <w:r>
        <w:rPr>
          <w:rFonts w:hint="eastAsia" w:ascii="仿宋_GB2312" w:hAnsi="仿宋" w:eastAsia="仿宋_GB2312" w:cs="仿宋"/>
          <w:color w:val="000000"/>
          <w:sz w:val="32"/>
          <w:szCs w:val="32"/>
          <w:lang w:eastAsia="zh-CN"/>
        </w:rPr>
        <w:t>—</w:t>
      </w:r>
      <w:r>
        <w:rPr>
          <w:rFonts w:ascii="仿宋_GB2312" w:hAnsi="仿宋" w:eastAsia="仿宋_GB2312" w:cs="仿宋"/>
          <w:color w:val="000000"/>
          <w:sz w:val="32"/>
          <w:szCs w:val="32"/>
        </w:rPr>
        <w:t>2024年度养老保险和职业年金、2024年医疗保险。</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461.74</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万元，与2023年度相比，无增减，主要原因是本单位2024年年末结转和结余为0元。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2024年度财政拨款收、支总计461.74万元。与2023年相比，财政拨款收、支总计各增加29.66万元，增长6.86%。主要原因是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本单位补缴了事业编制职工2022-2024年度养老保险和职业年金、2024年医疗保险。</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461.74</w:t>
      </w:r>
      <w:r>
        <w:rPr>
          <w:rFonts w:ascii="方正仿宋_GBK" w:hAnsi="方正仿宋_GBK" w:eastAsia="方正仿宋_GBK" w:cs="方正仿宋_GBK"/>
          <w:sz w:val="32"/>
          <w:szCs w:val="32"/>
          <w:shd w:val="clear" w:color="auto" w:fill="FFFFFF"/>
        </w:rPr>
        <w:t>万元，与2023年度相比，增加29.66万元，增长6.86%。主要原因是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本单位补缴了事业编制职工2022-2024年度养老保险和职业年金、2024年医疗保险。</w:t>
      </w:r>
      <w:r>
        <w:rPr>
          <w:rFonts w:ascii="方正仿宋_GBK" w:hAnsi="方正仿宋_GBK" w:eastAsia="方正仿宋_GBK" w:cs="方正仿宋_GBK"/>
          <w:sz w:val="32"/>
          <w:szCs w:val="32"/>
          <w:shd w:val="clear" w:color="auto" w:fill="FFFFFF"/>
        </w:rPr>
        <w:t>较年初预算数增加65.68万元，增长16.58%。主要原因是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本单位补缴了事业编制职工2022-2024年度养老保险和职业年金、2024年医疗保险。</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461.74</w:t>
      </w:r>
      <w:r>
        <w:rPr>
          <w:rFonts w:ascii="方正仿宋_GBK" w:hAnsi="方正仿宋_GBK" w:eastAsia="方正仿宋_GBK" w:cs="方正仿宋_GBK"/>
          <w:sz w:val="32"/>
          <w:szCs w:val="32"/>
          <w:shd w:val="clear" w:color="auto" w:fill="FFFFFF"/>
        </w:rPr>
        <w:t>万元，与2023年度相比，增加29.66万元，增长6.86%。主要原因是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本单位补缴了事业编制职工2022-2024年度养老保险和职业年金、2024年医疗保险。</w:t>
      </w:r>
      <w:r>
        <w:rPr>
          <w:rFonts w:ascii="方正仿宋_GBK" w:hAnsi="方正仿宋_GBK" w:eastAsia="方正仿宋_GBK" w:cs="方正仿宋_GBK"/>
          <w:sz w:val="32"/>
          <w:szCs w:val="32"/>
          <w:shd w:val="clear" w:color="auto" w:fill="FFFFFF"/>
        </w:rPr>
        <w:t>较年初预算数增加65.68万元，增长16.58%。主要原因是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本单位补缴了事业编制职工2022-2024年度养老保险和职业年金、2024年医疗保险。</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万元，与2023年度相比，无增减，主要原因是本单位2024年年末结转和结余为0元。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%，较年初预算数无增减，主要原因是严格执行</w:t>
      </w:r>
      <w:r>
        <w:rPr>
          <w:rFonts w:hint="default" w:ascii="方正仿宋_GBK" w:hAnsi="方正仿宋_GBK" w:eastAsia="方正仿宋_GBK" w:cs="方正仿宋_GBK"/>
          <w:sz w:val="32"/>
          <w:szCs w:val="32"/>
          <w:shd w:val="clear" w:color="auto" w:fill="FFFFFF"/>
        </w:rPr>
        <w:t>预算</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仿宋_GB2312" w:hAnsi="仿宋" w:eastAsia="仿宋_GB2312" w:cs="仿宋"/>
          <w:color w:val="000000"/>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80.67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17.47</w:t>
      </w:r>
      <w:r>
        <w:rPr>
          <w:rFonts w:ascii="方正仿宋_GBK" w:hAnsi="方正仿宋_GBK" w:eastAsia="方正仿宋_GBK" w:cs="方正仿宋_GBK"/>
          <w:sz w:val="32"/>
          <w:szCs w:val="32"/>
          <w:shd w:val="clear" w:color="auto" w:fill="FFFFFF"/>
        </w:rPr>
        <w:t>%，较年初预算数增加43.37万元，增长116.27%，主要原因是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本单位补缴了事业编制职工2022-2024年度养老保险和职业年金。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23.88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5.17</w:t>
      </w:r>
      <w:r>
        <w:rPr>
          <w:rFonts w:ascii="方正仿宋_GBK" w:hAnsi="方正仿宋_GBK" w:eastAsia="方正仿宋_GBK" w:cs="方正仿宋_GBK"/>
          <w:sz w:val="32"/>
          <w:szCs w:val="32"/>
          <w:shd w:val="clear" w:color="auto" w:fill="FFFFFF"/>
        </w:rPr>
        <w:t>%，较年初预算数增加8.34万元，增长53.67%，主要原因是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本单位补缴了事业编制职工2024年医疗保险。</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（4）城乡社区支出</w:t>
      </w:r>
      <w:r>
        <w:rPr>
          <w:rFonts w:ascii="方正仿宋_GBK" w:hAnsi="方正仿宋_GBK" w:eastAsia="方正仿宋_GBK" w:cs="方正仿宋_GBK"/>
          <w:sz w:val="32"/>
          <w:szCs w:val="32"/>
        </w:rPr>
        <w:t>327.66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70.96</w:t>
      </w:r>
      <w:r>
        <w:rPr>
          <w:rFonts w:ascii="方正仿宋_GBK" w:hAnsi="方正仿宋_GBK" w:eastAsia="方正仿宋_GBK" w:cs="方正仿宋_GBK"/>
          <w:sz w:val="32"/>
          <w:szCs w:val="32"/>
          <w:shd w:val="clear" w:color="auto" w:fill="FFFFFF"/>
        </w:rPr>
        <w:t>%，较年初预算数增加4.33万元，增长1.34%，主要原因是本单位2024年城乡社区支出稍微超出年初预算数</w:t>
      </w:r>
      <w:r>
        <w:rPr>
          <w:rFonts w:ascii="仿宋_GB2312" w:hAnsi="仿宋" w:eastAsia="仿宋_GB2312" w:cs="仿宋"/>
          <w:color w:val="000000"/>
          <w:sz w:val="32"/>
          <w:szCs w:val="32"/>
        </w:rPr>
        <w:t>。</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住房保障支出28.29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6.13</w:t>
      </w:r>
      <w:r>
        <w:rPr>
          <w:rFonts w:ascii="方正仿宋_GBK" w:hAnsi="方正仿宋_GBK" w:eastAsia="方正仿宋_GBK" w:cs="方正仿宋_GBK"/>
          <w:sz w:val="32"/>
          <w:szCs w:val="32"/>
          <w:shd w:val="clear" w:color="auto" w:fill="FFFFFF"/>
        </w:rPr>
        <w:t>%，较年初预算数增加9.64万元，增长51.69%，主要原因是职工工资基数增长导致公积金缴纳增多。</w:t>
      </w:r>
    </w:p>
    <w:p>
      <w:pPr>
        <w:pStyle w:val="12"/>
        <w:autoSpaceDE w:val="0"/>
        <w:ind w:firstLine="643"/>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461.74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421.99</w:t>
      </w:r>
      <w:r>
        <w:rPr>
          <w:rFonts w:ascii="方正仿宋_GBK" w:hAnsi="方正仿宋_GBK" w:eastAsia="方正仿宋_GBK" w:cs="方正仿宋_GBK"/>
          <w:sz w:val="32"/>
          <w:szCs w:val="32"/>
          <w:shd w:val="clear" w:color="auto" w:fill="FFFFFF"/>
        </w:rPr>
        <w:t>万元，与2023年度相比，增加36.02万元，增长9.33%，主要原因是</w:t>
      </w:r>
      <w:r>
        <w:rPr>
          <w:rFonts w:ascii="仿宋_GB2312" w:hAnsi="仿宋" w:eastAsia="仿宋_GB2312" w:cs="仿宋"/>
          <w:bCs/>
          <w:color w:val="000000"/>
          <w:sz w:val="32"/>
          <w:szCs w:val="32"/>
        </w:rPr>
        <w:t>2024年</w:t>
      </w:r>
      <w:r>
        <w:rPr>
          <w:rFonts w:ascii="仿宋_GB2312" w:hAnsi="仿宋" w:eastAsia="仿宋_GB2312" w:cs="仿宋"/>
          <w:color w:val="000000"/>
          <w:sz w:val="32"/>
          <w:szCs w:val="32"/>
        </w:rPr>
        <w:t>本单位补缴了事业编制职工2022</w:t>
      </w:r>
      <w:r>
        <w:rPr>
          <w:rFonts w:hint="eastAsia" w:ascii="仿宋_GB2312" w:hAnsi="仿宋" w:eastAsia="仿宋_GB2312" w:cs="仿宋"/>
          <w:color w:val="000000"/>
          <w:sz w:val="32"/>
          <w:szCs w:val="32"/>
          <w:lang w:eastAsia="zh-CN"/>
        </w:rPr>
        <w:t>—</w:t>
      </w:r>
      <w:bookmarkStart w:id="0" w:name="_GoBack"/>
      <w:bookmarkEnd w:id="0"/>
      <w:r>
        <w:rPr>
          <w:rFonts w:ascii="仿宋_GB2312" w:hAnsi="仿宋" w:eastAsia="仿宋_GB2312" w:cs="仿宋"/>
          <w:color w:val="000000"/>
          <w:sz w:val="32"/>
          <w:szCs w:val="32"/>
        </w:rPr>
        <w:t>2024年度养老保险和职业年金、2024年医疗保险。</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cs="方正仿宋_GBK"/>
          <w:sz w:val="32"/>
          <w:szCs w:val="32"/>
          <w:shd w:val="clear" w:color="auto" w:fill="FFFFFF"/>
        </w:rPr>
        <w:t>基本工资、绩效工资</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津</w:t>
      </w:r>
      <w:r>
        <w:rPr>
          <w:rFonts w:ascii="方正仿宋_GBK" w:hAnsi="方正仿宋_GBK" w:eastAsia="方正仿宋_GBK" w:cs="方正仿宋_GBK"/>
          <w:sz w:val="32"/>
          <w:szCs w:val="32"/>
          <w:shd w:val="clear" w:color="auto" w:fill="FFFFFF"/>
        </w:rPr>
        <w:t>补贴、养老保险、医疗保险、工伤保险、职业年金、住房公积金等。公用经费</w:t>
      </w:r>
      <w:r>
        <w:rPr>
          <w:rFonts w:ascii="方正仿宋_GBK" w:hAnsi="方正仿宋_GBK" w:eastAsia="方正仿宋_GBK" w:cs="方正仿宋_GBK"/>
          <w:sz w:val="32"/>
          <w:szCs w:val="32"/>
        </w:rPr>
        <w:t>39.75</w:t>
      </w:r>
      <w:r>
        <w:rPr>
          <w:rFonts w:ascii="方正仿宋_GBK" w:hAnsi="方正仿宋_GBK" w:eastAsia="方正仿宋_GBK" w:cs="方正仿宋_GBK"/>
          <w:sz w:val="32"/>
          <w:szCs w:val="32"/>
          <w:shd w:val="clear" w:color="auto" w:fill="FFFFFF"/>
        </w:rPr>
        <w:t>万元，与2023年度相比，减少6.36万元，下降13.79%，主要原因是本年度压减公用经费开支,节约资金。公用经费用途主要包括</w:t>
      </w:r>
      <w:r>
        <w:rPr>
          <w:rFonts w:ascii="Times New Roman" w:hAnsi="Times New Roman" w:eastAsia="方正仿宋_GBK" w:cs="方正仿宋_GBK"/>
          <w:sz w:val="32"/>
          <w:szCs w:val="32"/>
          <w:shd w:val="clear" w:color="auto" w:fill="FFFFFF"/>
        </w:rPr>
        <w:t>差旅费、办公费、印刷费、会议费、邮电费、劳务费、工会经费、三公经费等。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2"/>
        <w:autoSpaceDE w:val="0"/>
        <w:ind w:firstLine="643"/>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w:t>
      </w:r>
      <w:r>
        <w:rPr>
          <w:rStyle w:val="11"/>
          <w:rFonts w:hint="eastAsia" w:ascii="黑体" w:hAnsi="黑体" w:eastAsia="黑体" w:cs="黑体"/>
          <w:sz w:val="32"/>
          <w:szCs w:val="32"/>
          <w:shd w:val="clear" w:color="auto" w:fill="FFFFFF"/>
          <w:lang w:eastAsia="zh-CN"/>
        </w:rPr>
        <w:t>三公</w:t>
      </w:r>
      <w:r>
        <w:rPr>
          <w:rStyle w:val="11"/>
          <w:rFonts w:ascii="黑体" w:hAnsi="黑体" w:eastAsia="黑体" w:cs="黑体"/>
          <w:sz w:val="32"/>
          <w:szCs w:val="32"/>
          <w:shd w:val="clear" w:color="auto" w:fill="FFFFFF"/>
        </w:rPr>
        <w:t>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5.47</w:t>
      </w:r>
      <w:r>
        <w:rPr>
          <w:rFonts w:ascii="方正仿宋_GBK" w:hAnsi="方正仿宋_GBK" w:eastAsia="方正仿宋_GBK" w:cs="方正仿宋_GBK"/>
          <w:sz w:val="32"/>
          <w:szCs w:val="32"/>
          <w:shd w:val="clear" w:color="auto" w:fill="FFFFFF"/>
        </w:rPr>
        <w:t>万元，较年初预算数减少7.53万元，下降57.92%，主要原因是本年度压减公用经费开支,节约资金。较上年支出数减少0.78万元，下降12.48%，主要原因是本年度压减公用经费开支,节约资金。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万元，费用支出较年初预算数无增减，主要原因是本单位2024年没有因公出国（境），较上年支出数无增减，主要原因是本单位2024年没有因公出国（境）。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Times New Roman" w:hAnsi="Times New Roman" w:eastAsia="方正仿宋_GBK" w:cs="方正仿宋_GBK"/>
          <w:sz w:val="32"/>
          <w:szCs w:val="32"/>
          <w:shd w:val="clear" w:color="auto" w:fill="FFFFFF"/>
        </w:rPr>
        <w:t>本单</w:t>
      </w:r>
      <w:r>
        <w:rPr>
          <w:rFonts w:ascii="方正仿宋_GBK" w:hAnsi="方正仿宋_GBK" w:eastAsia="方正仿宋_GBK" w:cs="方正仿宋_GBK"/>
          <w:sz w:val="32"/>
          <w:szCs w:val="32"/>
          <w:shd w:val="clear" w:color="auto" w:fill="FFFFFF"/>
        </w:rPr>
        <w:t>位2024年度未发生公</w:t>
      </w:r>
      <w:r>
        <w:rPr>
          <w:rFonts w:ascii="Times New Roman" w:hAnsi="Times New Roman" w:eastAsia="方正仿宋_GBK" w:cs="方正仿宋_GBK"/>
          <w:sz w:val="32"/>
          <w:szCs w:val="32"/>
          <w:shd w:val="clear" w:color="auto" w:fill="FFFFFF"/>
        </w:rPr>
        <w:t>务</w:t>
      </w:r>
      <w:r>
        <w:rPr>
          <w:rFonts w:hint="eastAsia" w:ascii="Times New Roman" w:hAnsi="Times New Roman" w:eastAsia="方正仿宋_GBK" w:cs="方正仿宋_GBK"/>
          <w:sz w:val="32"/>
          <w:szCs w:val="32"/>
          <w:shd w:val="clear" w:color="auto" w:fill="FFFFFF"/>
          <w:lang w:eastAsia="zh-CN"/>
        </w:rPr>
        <w:t>用车</w:t>
      </w:r>
      <w:r>
        <w:rPr>
          <w:rFonts w:ascii="Times New Roman" w:hAnsi="Times New Roman" w:eastAsia="方正仿宋_GBK" w:cs="方正仿宋_GBK"/>
          <w:sz w:val="32"/>
          <w:szCs w:val="32"/>
          <w:shd w:val="clear" w:color="auto" w:fill="FFFFFF"/>
        </w:rPr>
        <w:t>购置费支出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cs="方正仿宋_GBK"/>
          <w:sz w:val="32"/>
          <w:szCs w:val="32"/>
          <w:shd w:val="clear" w:color="auto" w:fill="FFFFFF"/>
        </w:rPr>
        <w:t>本单</w:t>
      </w:r>
      <w:r>
        <w:rPr>
          <w:rFonts w:ascii="方正仿宋_GBK" w:hAnsi="方正仿宋_GBK" w:eastAsia="方正仿宋_GBK" w:cs="方正仿宋_GBK"/>
          <w:sz w:val="32"/>
          <w:szCs w:val="32"/>
          <w:shd w:val="clear" w:color="auto" w:fill="FFFFFF"/>
        </w:rPr>
        <w:t>位2024年度未发生公</w:t>
      </w:r>
      <w:r>
        <w:rPr>
          <w:rFonts w:ascii="Times New Roman" w:hAnsi="Times New Roman" w:eastAsia="方正仿宋_GBK" w:cs="方正仿宋_GBK"/>
          <w:sz w:val="32"/>
          <w:szCs w:val="32"/>
          <w:shd w:val="clear" w:color="auto" w:fill="FFFFFF"/>
        </w:rPr>
        <w:t>务</w:t>
      </w:r>
      <w:r>
        <w:rPr>
          <w:rFonts w:hint="eastAsia" w:ascii="Times New Roman" w:hAnsi="Times New Roman" w:eastAsia="方正仿宋_GBK" w:cs="方正仿宋_GBK"/>
          <w:sz w:val="32"/>
          <w:szCs w:val="32"/>
          <w:shd w:val="clear" w:color="auto" w:fill="FFFFFF"/>
          <w:lang w:eastAsia="zh-CN"/>
        </w:rPr>
        <w:t>用车</w:t>
      </w:r>
      <w:r>
        <w:rPr>
          <w:rFonts w:ascii="Times New Roman" w:hAnsi="Times New Roman" w:eastAsia="方正仿宋_GBK" w:cs="方正仿宋_GBK"/>
          <w:sz w:val="32"/>
          <w:szCs w:val="32"/>
          <w:shd w:val="clear" w:color="auto" w:fill="FFFFFF"/>
        </w:rPr>
        <w:t>购置费支出。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2.42</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方正仿宋_GBK"/>
          <w:sz w:val="32"/>
          <w:szCs w:val="32"/>
          <w:shd w:val="clear" w:color="auto" w:fill="FFFFFF"/>
        </w:rPr>
        <w:t>公务车加油、高速公路过路费、停车费、维修保养费、修理费等支出。</w:t>
      </w:r>
      <w:r>
        <w:rPr>
          <w:rFonts w:ascii="方正仿宋_GBK" w:hAnsi="方正仿宋_GBK" w:eastAsia="方正仿宋_GBK" w:cs="方正仿宋_GBK"/>
          <w:sz w:val="32"/>
          <w:szCs w:val="32"/>
          <w:shd w:val="clear" w:color="auto" w:fill="FFFFFF"/>
        </w:rPr>
        <w:t>费用支出较年初预算数减少0.58万元，下降19.33%，主要原因是</w:t>
      </w:r>
      <w:r>
        <w:rPr>
          <w:rFonts w:ascii="Times New Roman" w:hAnsi="Times New Roman" w:eastAsia="方正仿宋_GBK" w:cs="方正仿宋_GBK"/>
          <w:sz w:val="32"/>
          <w:szCs w:val="32"/>
          <w:shd w:val="clear" w:color="auto" w:fill="FFFFFF"/>
        </w:rPr>
        <w:t>大力压减三公经费，节约资金。</w:t>
      </w:r>
      <w:r>
        <w:rPr>
          <w:rFonts w:ascii="方正仿宋_GBK" w:hAnsi="方正仿宋_GBK" w:eastAsia="方正仿宋_GBK" w:cs="方正仿宋_GBK"/>
          <w:sz w:val="32"/>
          <w:szCs w:val="32"/>
          <w:shd w:val="clear" w:color="auto" w:fill="FFFFFF"/>
        </w:rPr>
        <w:t>较上年支出数减少0.65万元，下降21.17%，主要原因是2023年增加公务车更换发动机、空调压缩机等费用，2024年未发生以上公务车运行维护费用。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3.05</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cs="方正仿宋_GBK"/>
          <w:sz w:val="32"/>
          <w:szCs w:val="32"/>
          <w:shd w:val="clear" w:color="auto" w:fill="FFFFFF"/>
        </w:rPr>
        <w:t>外来企业、单位等商业主体到新区投资考察，接待其他地区部门单位到新区考察学习。</w:t>
      </w:r>
      <w:r>
        <w:rPr>
          <w:rFonts w:ascii="方正仿宋_GBK" w:hAnsi="方正仿宋_GBK" w:eastAsia="方正仿宋_GBK" w:cs="方正仿宋_GBK"/>
          <w:sz w:val="32"/>
          <w:szCs w:val="32"/>
          <w:shd w:val="clear" w:color="auto" w:fill="FFFFFF"/>
        </w:rPr>
        <w:t>费用支出较年初预算数减少6.95万元，下降69.50%，主要原因是</w:t>
      </w:r>
      <w:r>
        <w:rPr>
          <w:rFonts w:ascii="Times New Roman" w:hAnsi="Times New Roman" w:eastAsia="方正仿宋_GBK" w:cs="方正仿宋_GBK"/>
          <w:sz w:val="32"/>
          <w:szCs w:val="32"/>
          <w:shd w:val="clear" w:color="auto" w:fill="FFFFFF"/>
        </w:rPr>
        <w:t>大力压减三公经费，节约资金</w:t>
      </w:r>
      <w:r>
        <w:rPr>
          <w:rFonts w:ascii="方正仿宋_GBK" w:hAnsi="方正仿宋_GBK" w:eastAsia="方正仿宋_GBK" w:cs="方正仿宋_GBK"/>
          <w:sz w:val="32"/>
          <w:szCs w:val="32"/>
          <w:shd w:val="clear" w:color="auto" w:fill="FFFFFF"/>
        </w:rPr>
        <w:t>。较上年支出数减少0.14万元，下降4.39%，主要原因是</w:t>
      </w:r>
      <w:r>
        <w:rPr>
          <w:rFonts w:ascii="Times New Roman" w:hAnsi="Times New Roman" w:eastAsia="方正仿宋_GBK" w:cs="方正仿宋_GBK"/>
          <w:sz w:val="32"/>
          <w:szCs w:val="32"/>
          <w:shd w:val="clear" w:color="auto" w:fill="FFFFFF"/>
        </w:rPr>
        <w:t>大力压减三公经费，节约资金。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338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90.21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2.42</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万元，与2023年度相比，减少0.19万元，下降79.17%，主要原因是压减会议经费，节约资金。本年度培训费支出</w:t>
      </w:r>
      <w:r>
        <w:rPr>
          <w:rFonts w:ascii="方正仿宋_GBK" w:hAnsi="方正仿宋_GBK" w:eastAsia="方正仿宋_GBK" w:cs="方正仿宋_GBK"/>
          <w:sz w:val="32"/>
          <w:szCs w:val="32"/>
        </w:rPr>
        <w:t>1.24</w:t>
      </w:r>
      <w:r>
        <w:rPr>
          <w:rFonts w:ascii="方正仿宋_GBK" w:hAnsi="方正仿宋_GBK" w:eastAsia="方正仿宋_GBK" w:cs="方正仿宋_GBK"/>
          <w:sz w:val="32"/>
          <w:szCs w:val="32"/>
          <w:shd w:val="clear" w:color="auto" w:fill="FFFFFF"/>
        </w:rPr>
        <w:t>万元，与2023年度相比，增加0.39万元，增长45.88%，主要原因是2024年职工培训增加。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2"/>
        <w:autoSpaceDE w:val="0"/>
        <w:ind w:firstLine="640"/>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3"/>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after="0" w:afterAutospacing="0" w:line="596" w:lineRule="exact"/>
        <w:ind w:firstLine="640" w:firstLineChars="200"/>
        <w:rPr>
          <w:rFonts w:hint="eastAsia" w:ascii="楷体" w:hAnsi="楷体" w:eastAsia="楷体" w:cs="楷体"/>
          <w:bCs/>
          <w:sz w:val="32"/>
          <w:szCs w:val="32"/>
          <w:shd w:val="clear" w:color="auto" w:fill="FFFFFF"/>
        </w:rPr>
      </w:pPr>
      <w:r>
        <w:rPr>
          <w:rFonts w:hint="eastAsia" w:ascii="方正仿宋_GBK" w:hAnsi="方正仿宋_GBK" w:eastAsia="方正仿宋_GBK" w:cs="方正仿宋_GBK"/>
          <w:sz w:val="32"/>
          <w:szCs w:val="32"/>
          <w:shd w:val="clear" w:color="auto" w:fill="FFFFFF"/>
        </w:rPr>
        <w:t>我</w:t>
      </w:r>
      <w:r>
        <w:rPr>
          <w:rFonts w:ascii="方正仿宋_GBK" w:hAnsi="方正仿宋_GBK" w:eastAsia="方正仿宋_GBK" w:cs="方正仿宋_GBK"/>
          <w:sz w:val="32"/>
          <w:szCs w:val="32"/>
          <w:shd w:val="clear" w:color="auto" w:fill="FFFFFF"/>
        </w:rPr>
        <w:t>单位无项目自评。</w:t>
      </w:r>
    </w:p>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7"/>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我单位未开展了绩效评价</w:t>
      </w:r>
    </w:p>
    <w:p>
      <w:pPr>
        <w:pStyle w:val="17"/>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7"/>
        <w:autoSpaceDE w:val="0"/>
        <w:spacing w:line="596"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县财政局未委托第三方对单位开展绩效评价。</w:t>
      </w:r>
    </w:p>
    <w:p>
      <w:pPr>
        <w:pStyle w:val="13"/>
        <w:autoSpaceDE w:val="0"/>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六、专业名词解释</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w:t>
      </w:r>
      <w:r>
        <w:rPr>
          <w:rStyle w:val="11"/>
          <w:rFonts w:hint="eastAsia" w:ascii="楷体" w:hAnsi="楷体" w:eastAsia="楷体" w:cs="楷体"/>
          <w:sz w:val="32"/>
          <w:szCs w:val="32"/>
          <w:shd w:val="clear" w:color="auto" w:fill="FFFFFF"/>
          <w:lang w:eastAsia="zh-CN"/>
        </w:rPr>
        <w:t>三公</w:t>
      </w:r>
      <w:r>
        <w:rPr>
          <w:rStyle w:val="11"/>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3"/>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李老师  023-74630799</w:t>
      </w:r>
    </w:p>
    <w:p>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垫江县东部新区服务中心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垫江县东部新区服务中心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461.74</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461.74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327.66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垫江县东部新区服务中心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461.74</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461.74</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327.66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327.66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垫江县东部新区服务中心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461.74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461.74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461.74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垫江县东部新区服务中心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461.74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461.74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327.66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327.66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垫江县东部新区服务中心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81.66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191.23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421.99</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垫江县东部新区服务中心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垫江县东部新区服务中心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垫江县东部新区服务中心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5.47</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3.05</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063FC6"/>
    <w:rsid w:val="00150267"/>
    <w:rsid w:val="001D3BB7"/>
    <w:rsid w:val="002B254B"/>
    <w:rsid w:val="002B2717"/>
    <w:rsid w:val="0033675D"/>
    <w:rsid w:val="0034050A"/>
    <w:rsid w:val="0044504F"/>
    <w:rsid w:val="00466C9B"/>
    <w:rsid w:val="00486CFC"/>
    <w:rsid w:val="00491DDD"/>
    <w:rsid w:val="00550ABE"/>
    <w:rsid w:val="00623A85"/>
    <w:rsid w:val="00770383"/>
    <w:rsid w:val="007819D4"/>
    <w:rsid w:val="007B419D"/>
    <w:rsid w:val="007B7C4B"/>
    <w:rsid w:val="007D3D39"/>
    <w:rsid w:val="0086766D"/>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EF4F44"/>
    <w:rsid w:val="00F439DC"/>
    <w:rsid w:val="00F5677A"/>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7EC6F61"/>
    <w:rsid w:val="08051BCA"/>
    <w:rsid w:val="086C12F4"/>
    <w:rsid w:val="08705944"/>
    <w:rsid w:val="08BA052C"/>
    <w:rsid w:val="08DB07BA"/>
    <w:rsid w:val="0969353F"/>
    <w:rsid w:val="098305D0"/>
    <w:rsid w:val="09B1218B"/>
    <w:rsid w:val="0A0721D2"/>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2D9558F"/>
    <w:rsid w:val="13335469"/>
    <w:rsid w:val="13871C70"/>
    <w:rsid w:val="13A71CB4"/>
    <w:rsid w:val="13AF1D43"/>
    <w:rsid w:val="13CE1647"/>
    <w:rsid w:val="13FD55AB"/>
    <w:rsid w:val="14200702"/>
    <w:rsid w:val="14370EA1"/>
    <w:rsid w:val="154A5FAE"/>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6038F0"/>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2020"/>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FB1BE9"/>
    <w:rsid w:val="45CB699A"/>
    <w:rsid w:val="46423C66"/>
    <w:rsid w:val="465B470D"/>
    <w:rsid w:val="469D6AD4"/>
    <w:rsid w:val="46E93EA5"/>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7B4AB0"/>
    <w:rsid w:val="4DAC4ACA"/>
    <w:rsid w:val="4DBE01D2"/>
    <w:rsid w:val="4DCB2178"/>
    <w:rsid w:val="4EFD467F"/>
    <w:rsid w:val="4F0C6BA3"/>
    <w:rsid w:val="4F186D58"/>
    <w:rsid w:val="504B6EAA"/>
    <w:rsid w:val="50B04E3D"/>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1055B"/>
    <w:rsid w:val="578867FC"/>
    <w:rsid w:val="5842572D"/>
    <w:rsid w:val="5A3B59D6"/>
    <w:rsid w:val="5A7A6148"/>
    <w:rsid w:val="5AD134D8"/>
    <w:rsid w:val="5BF41F67"/>
    <w:rsid w:val="5C263CE4"/>
    <w:rsid w:val="5C3E42BC"/>
    <w:rsid w:val="5C5D2777"/>
    <w:rsid w:val="5CF66BF3"/>
    <w:rsid w:val="5D290C69"/>
    <w:rsid w:val="5DA80C2C"/>
    <w:rsid w:val="5E705627"/>
    <w:rsid w:val="5F2D4A41"/>
    <w:rsid w:val="60C74F6C"/>
    <w:rsid w:val="61015958"/>
    <w:rsid w:val="61025A59"/>
    <w:rsid w:val="613D5BBC"/>
    <w:rsid w:val="61536C39"/>
    <w:rsid w:val="62944DD7"/>
    <w:rsid w:val="6319381F"/>
    <w:rsid w:val="63C25DC5"/>
    <w:rsid w:val="63C62057"/>
    <w:rsid w:val="63D014EB"/>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757365"/>
    <w:rsid w:val="781926BC"/>
    <w:rsid w:val="796D60A4"/>
    <w:rsid w:val="79A031D5"/>
    <w:rsid w:val="79B47FDF"/>
    <w:rsid w:val="79E569A9"/>
    <w:rsid w:val="7A1525F7"/>
    <w:rsid w:val="7B420052"/>
    <w:rsid w:val="7BD06A28"/>
    <w:rsid w:val="7C3A7C0B"/>
    <w:rsid w:val="7C4938D3"/>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425" w:lineRule="atLeast"/>
      <w:ind w:firstLine="420"/>
      <w:textAlignment w:val="baseline"/>
    </w:pPr>
    <w:rPr>
      <w:rFonts w:ascii="Calibri" w:hAnsi="Calibri"/>
      <w:color w:val="000000"/>
      <w:sz w:val="21"/>
      <w:szCs w:val="22"/>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正文-公1"/>
    <w:basedOn w:val="19"/>
    <w:next w:val="1"/>
    <w:qFormat/>
    <w:uiPriority w:val="0"/>
    <w:pPr>
      <w:ind w:firstLine="200" w:firstLine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9480</Words>
  <Characters>12064</Characters>
  <Lines>105</Lines>
  <Paragraphs>29</Paragraphs>
  <TotalTime>0</TotalTime>
  <ScaleCrop>false</ScaleCrop>
  <LinksUpToDate>false</LinksUpToDate>
  <CharactersWithSpaces>13085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cp:lastPrinted>2025-09-15T08:49:00Z</cp:lastPrinted>
  <dcterms:modified xsi:type="dcterms:W3CDTF">2025-09-16T07:35:29Z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eyJoZGlkIjoiNjlhMWI4ODZlYWQ3MGY2ZWZjYmU1YTAwMzlkNWM5MzMiLCJ1c2VySWQiOiIyMzYwOTE3NjkifQ==</vt:lpwstr>
  </property>
</Properties>
</file>