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before="0" w:before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 xml:space="preserve">中共垫江县委全面深化改革委员会办公室   </w:t>
      </w:r>
      <w:r>
        <w:rPr>
          <w:rFonts w:hint="default" w:ascii="Times New Roman" w:hAnsi="Times New Roman" w:eastAsia="方正小标宋_GBK" w:cs="Times New Roman"/>
          <w:sz w:val="44"/>
          <w:szCs w:val="44"/>
          <w:shd w:val="clear" w:color="auto" w:fill="FFFFFF"/>
        </w:rPr>
        <w:t>2024年度决算公开说明</w:t>
      </w:r>
    </w:p>
    <w:p>
      <w:pPr>
        <w:pStyle w:val="7"/>
        <w:widowControl w:val="0"/>
        <w:spacing w:before="0" w:beforeAutospacing="0" w:after="0" w:afterAutospacing="0"/>
        <w:ind w:firstLine="643" w:firstLineChars="200"/>
        <w:jc w:val="both"/>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一、部门基本情况</w:t>
      </w:r>
    </w:p>
    <w:p>
      <w:pPr>
        <w:pStyle w:val="7"/>
        <w:widowControl w:val="0"/>
        <w:spacing w:before="0" w:beforeAutospacing="0" w:after="0" w:afterAutospacing="0"/>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楷体" w:cs="Times New Roman"/>
          <w:sz w:val="32"/>
          <w:szCs w:val="32"/>
          <w:shd w:val="clear" w:color="auto" w:fill="FFFFFF"/>
        </w:rPr>
        <w:t>（一）职能职责</w:t>
      </w:r>
    </w:p>
    <w:p>
      <w:pPr>
        <w:widowControl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县委改革办负责贯彻落实党中央关于全面深化改革工作的方针政策、决策部署和市委工作要求、县委具体安排，把坚持和加强党对全面深化改革工作的全面领导落实到履行职责过程中。</w:t>
      </w:r>
    </w:p>
    <w:p>
      <w:pPr>
        <w:widowControl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负责统筹协调、指导推进全县改革工作，协调督促有关方面落实县委深改委研究事项、工作部署和要求；指导协调全县推进数字重庆建设，推动有关工作任务落实；统筹协调各类改革试点，组织开展重大改革事项的研究谋划、推进实施、效果评估、经验推广等工作；</w:t>
      </w:r>
      <w:r>
        <w:rPr>
          <w:rFonts w:hint="default" w:ascii="Times New Roman" w:hAnsi="Times New Roman" w:eastAsia="仿宋_GB2312" w:cs="Times New Roman"/>
          <w:sz w:val="32"/>
          <w:szCs w:val="32"/>
        </w:rPr>
        <w:t>完成县委交办的其他任务</w:t>
      </w:r>
      <w:r>
        <w:rPr>
          <w:rFonts w:hint="default" w:ascii="Times New Roman" w:hAnsi="Times New Roman" w:eastAsia="方正仿宋_GBK" w:cs="Times New Roman"/>
          <w:sz w:val="32"/>
          <w:szCs w:val="32"/>
        </w:rPr>
        <w:t>。</w:t>
      </w:r>
    </w:p>
    <w:p>
      <w:pPr>
        <w:widowControl w:val="0"/>
        <w:spacing w:line="594" w:lineRule="exact"/>
        <w:ind w:firstLine="643" w:firstLineChars="200"/>
        <w:jc w:val="both"/>
        <w:rPr>
          <w:rFonts w:hint="default" w:ascii="Times New Roman" w:hAnsi="Times New Roman" w:eastAsia="楷体" w:cs="Times New Roman"/>
          <w:sz w:val="32"/>
          <w:szCs w:val="32"/>
        </w:rPr>
      </w:pPr>
      <w:r>
        <w:rPr>
          <w:rStyle w:val="11"/>
          <w:rFonts w:hint="default" w:ascii="Times New Roman" w:hAnsi="Times New Roman" w:eastAsia="楷体" w:cs="Times New Roman"/>
          <w:sz w:val="32"/>
          <w:szCs w:val="32"/>
          <w:shd w:val="clear" w:color="auto" w:fill="FFFFFF"/>
        </w:rPr>
        <w:t>（二）机构设置</w:t>
      </w:r>
    </w:p>
    <w:p>
      <w:pPr>
        <w:widowControl w:val="0"/>
        <w:spacing w:line="594" w:lineRule="exact"/>
        <w:ind w:firstLine="640" w:firstLineChars="20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本部门为2024年机构改革新成立单位，</w:t>
      </w:r>
      <w:r>
        <w:rPr>
          <w:rFonts w:hint="default" w:ascii="Times New Roman" w:hAnsi="Times New Roman" w:eastAsia="仿宋_GB2312" w:cs="Times New Roman"/>
          <w:bCs/>
          <w:sz w:val="32"/>
          <w:szCs w:val="32"/>
        </w:rPr>
        <w:t>纳入部门决算编制范围的独立核算单位共</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Cs/>
          <w:sz w:val="32"/>
          <w:szCs w:val="32"/>
        </w:rPr>
        <w:t>个，属行政单位，执行的政府会计准则制度。</w:t>
      </w:r>
    </w:p>
    <w:p>
      <w:pPr>
        <w:widowControl w:val="0"/>
        <w:spacing w:line="594" w:lineRule="exact"/>
        <w:ind w:firstLine="643" w:firstLineChars="200"/>
        <w:jc w:val="both"/>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二、部门决算收支情况说明</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12"/>
        <w:widowControl w:val="0"/>
        <w:spacing w:line="594" w:lineRule="exact"/>
        <w:ind w:firstLine="643"/>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2024年度收入总计130.50万元，支出总计</w:t>
      </w:r>
      <w:r>
        <w:rPr>
          <w:rFonts w:hint="default" w:ascii="Times New Roman" w:hAnsi="Times New Roman" w:eastAsia="方正仿宋_GBK" w:cs="Times New Roman"/>
          <w:sz w:val="32"/>
          <w:szCs w:val="32"/>
        </w:rPr>
        <w:t>130.50</w:t>
      </w:r>
      <w:r>
        <w:rPr>
          <w:rFonts w:hint="default" w:ascii="Times New Roman" w:hAnsi="Times New Roman" w:eastAsia="方正仿宋_GBK" w:cs="Times New Roman"/>
          <w:sz w:val="32"/>
          <w:szCs w:val="32"/>
          <w:shd w:val="clear" w:color="auto" w:fill="FFFFFF"/>
        </w:rPr>
        <w:t>万元。收、支与2023年度相比，增加130.50万元，增长100.00%，主要原因是</w:t>
      </w:r>
      <w:r>
        <w:rPr>
          <w:rFonts w:hint="default" w:ascii="Times New Roman" w:hAnsi="Times New Roman" w:eastAsia="仿宋_GB2312" w:cs="Times New Roman"/>
          <w:sz w:val="32"/>
          <w:szCs w:val="32"/>
        </w:rPr>
        <w:t>本部门为2024年机构改革新成立单位，无上年数据。</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2024年度收入合计80.63万元，与2023年度相比，增加80.63万元，增长100.00%，主要原因是</w:t>
      </w:r>
      <w:r>
        <w:rPr>
          <w:rFonts w:hint="default" w:ascii="Times New Roman" w:hAnsi="Times New Roman" w:eastAsia="仿宋_GB2312" w:cs="Times New Roman"/>
          <w:sz w:val="32"/>
          <w:szCs w:val="32"/>
        </w:rPr>
        <w:t>本部门为2024年机构改革新成立单位，无上年数据。</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80.63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49.86</w:t>
      </w:r>
      <w:r>
        <w:rPr>
          <w:rFonts w:hint="default" w:ascii="Times New Roman" w:hAnsi="Times New Roman" w:eastAsia="方正仿宋_GBK" w:cs="Times New Roman"/>
          <w:sz w:val="32"/>
          <w:szCs w:val="32"/>
          <w:shd w:val="clear" w:color="auto" w:fill="FFFFFF"/>
        </w:rPr>
        <w:t>万元。</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130.50</w:t>
      </w:r>
      <w:r>
        <w:rPr>
          <w:rFonts w:hint="default" w:ascii="Times New Roman" w:hAnsi="Times New Roman" w:eastAsia="方正仿宋_GBK" w:cs="Times New Roman"/>
          <w:sz w:val="32"/>
          <w:szCs w:val="32"/>
          <w:shd w:val="clear" w:color="auto" w:fill="FFFFFF"/>
        </w:rPr>
        <w:t>万元，与2023年度相比，增加130.50万元，增长100.00%，主要原因是</w:t>
      </w:r>
      <w:r>
        <w:rPr>
          <w:rFonts w:hint="default" w:ascii="Times New Roman" w:hAnsi="Times New Roman" w:eastAsia="仿宋_GB2312" w:cs="Times New Roman"/>
          <w:sz w:val="32"/>
          <w:szCs w:val="32"/>
        </w:rPr>
        <w:t>本部门为2024年机构改革新成立单位，无上年数据。</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75.32</w:t>
      </w:r>
      <w:r>
        <w:rPr>
          <w:rFonts w:hint="default" w:ascii="Times New Roman" w:hAnsi="Times New Roman" w:eastAsia="方正仿宋_GBK" w:cs="Times New Roman"/>
          <w:sz w:val="32"/>
          <w:szCs w:val="32"/>
          <w:shd w:val="clear" w:color="auto" w:fill="FFFFFF"/>
        </w:rPr>
        <w:t>万元，占57.72%；项目支出</w:t>
      </w:r>
      <w:r>
        <w:rPr>
          <w:rFonts w:hint="default" w:ascii="Times New Roman" w:hAnsi="Times New Roman" w:eastAsia="方正仿宋_GBK" w:cs="Times New Roman"/>
          <w:sz w:val="32"/>
          <w:szCs w:val="32"/>
        </w:rPr>
        <w:t>55.18</w:t>
      </w:r>
      <w:r>
        <w:rPr>
          <w:rFonts w:hint="default" w:ascii="Times New Roman" w:hAnsi="Times New Roman" w:eastAsia="方正仿宋_GBK" w:cs="Times New Roman"/>
          <w:sz w:val="32"/>
          <w:szCs w:val="32"/>
          <w:shd w:val="clear" w:color="auto" w:fill="FFFFFF"/>
        </w:rPr>
        <w:t>万元，占42.28%；经营支出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仿宋_GB2312" w:cs="Times New Roman"/>
          <w:sz w:val="32"/>
          <w:szCs w:val="32"/>
        </w:rPr>
        <w:t>本部门为2024年机构改革新成立单位，无上年数据。</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2024年度财政拨款收、支总计130.50万元。与2023年相比，财政拨款收、支总计各增加130.50万元，增长100.00%。主要原因是</w:t>
      </w:r>
      <w:r>
        <w:rPr>
          <w:rFonts w:hint="default" w:ascii="Times New Roman" w:hAnsi="Times New Roman" w:eastAsia="仿宋_GB2312" w:cs="Times New Roman"/>
          <w:sz w:val="32"/>
          <w:szCs w:val="32"/>
        </w:rPr>
        <w:t>本部门为2024年机构改革新成立单位，无上年数据。</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80.63</w:t>
      </w:r>
      <w:r>
        <w:rPr>
          <w:rFonts w:hint="default" w:ascii="Times New Roman" w:hAnsi="Times New Roman" w:eastAsia="方正仿宋_GBK" w:cs="Times New Roman"/>
          <w:sz w:val="32"/>
          <w:szCs w:val="32"/>
          <w:shd w:val="clear" w:color="auto" w:fill="FFFFFF"/>
        </w:rPr>
        <w:t>万元，与2023年度相比，增加80.63万元，增长100.00%。主要原因是</w:t>
      </w:r>
      <w:r>
        <w:rPr>
          <w:rFonts w:hint="default" w:ascii="Times New Roman" w:hAnsi="Times New Roman" w:eastAsia="仿宋_GB2312" w:cs="Times New Roman"/>
          <w:sz w:val="32"/>
          <w:szCs w:val="32"/>
        </w:rPr>
        <w:t>本部门为2024年机构改革新成立单位，无上年数据。</w:t>
      </w:r>
      <w:r>
        <w:rPr>
          <w:rFonts w:hint="default" w:ascii="Times New Roman" w:hAnsi="Times New Roman" w:eastAsia="方正仿宋_GBK" w:cs="Times New Roman"/>
          <w:sz w:val="32"/>
          <w:szCs w:val="32"/>
          <w:shd w:val="clear" w:color="auto" w:fill="FFFFFF"/>
        </w:rPr>
        <w:t>较年初预算数增加80.63万元，增长100.00%。主要原因是</w:t>
      </w:r>
      <w:r>
        <w:rPr>
          <w:rFonts w:hint="default" w:ascii="Times New Roman" w:hAnsi="Times New Roman" w:eastAsia="仿宋_GB2312" w:cs="Times New Roman"/>
          <w:sz w:val="32"/>
          <w:szCs w:val="32"/>
        </w:rPr>
        <w:t>本部门为2024年机构改革新成立单位，无年初预算数。</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49.86</w:t>
      </w:r>
      <w:r>
        <w:rPr>
          <w:rFonts w:hint="default" w:ascii="Times New Roman" w:hAnsi="Times New Roman" w:eastAsia="方正仿宋_GBK" w:cs="Times New Roman"/>
          <w:sz w:val="32"/>
          <w:szCs w:val="32"/>
          <w:shd w:val="clear" w:color="auto" w:fill="FFFFFF"/>
        </w:rPr>
        <w:t>万元。</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130.50</w:t>
      </w:r>
      <w:r>
        <w:rPr>
          <w:rFonts w:hint="default" w:ascii="Times New Roman" w:hAnsi="Times New Roman" w:eastAsia="方正仿宋_GBK" w:cs="Times New Roman"/>
          <w:sz w:val="32"/>
          <w:szCs w:val="32"/>
          <w:shd w:val="clear" w:color="auto" w:fill="FFFFFF"/>
        </w:rPr>
        <w:t>万元，与2023年度相比，增加130.50万元，增长100.00%。主要原因是</w:t>
      </w:r>
      <w:r>
        <w:rPr>
          <w:rFonts w:hint="default" w:ascii="Times New Roman" w:hAnsi="Times New Roman" w:eastAsia="仿宋_GB2312" w:cs="Times New Roman"/>
          <w:sz w:val="32"/>
          <w:szCs w:val="32"/>
        </w:rPr>
        <w:t>本部门为2024年机构改革新成立单位，无上年数据。</w:t>
      </w:r>
      <w:r>
        <w:rPr>
          <w:rFonts w:hint="default" w:ascii="Times New Roman" w:hAnsi="Times New Roman" w:eastAsia="方正仿宋_GBK" w:cs="Times New Roman"/>
          <w:sz w:val="32"/>
          <w:szCs w:val="32"/>
          <w:shd w:val="clear" w:color="auto" w:fill="FFFFFF"/>
        </w:rPr>
        <w:t>较年初预算数增加130.50万元，增长100.00%。主要原因</w:t>
      </w:r>
      <w:r>
        <w:rPr>
          <w:rFonts w:hint="default" w:ascii="Times New Roman" w:hAnsi="Times New Roman" w:eastAsia="仿宋_GB2312" w:cs="Times New Roman"/>
          <w:sz w:val="32"/>
          <w:szCs w:val="32"/>
        </w:rPr>
        <w:t>本部门为2024年机构改革新成立单位，无年初预算数。</w:t>
      </w:r>
    </w:p>
    <w:p>
      <w:pPr>
        <w:pStyle w:val="7"/>
        <w:widowControl w:val="0"/>
        <w:spacing w:before="0" w:beforeAutospacing="0" w:after="0" w:afterAutospacing="0" w:line="594" w:lineRule="exact"/>
        <w:ind w:firstLine="643" w:firstLineChars="200"/>
        <w:jc w:val="both"/>
        <w:rPr>
          <w:rFonts w:hint="default" w:ascii="Times New Roman" w:hAnsi="Times New Roman" w:eastAsia="仿宋_GB2312" w:cs="Times New Roman"/>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仿宋_GB2312" w:cs="Times New Roman"/>
          <w:sz w:val="32"/>
          <w:szCs w:val="32"/>
        </w:rPr>
        <w:t>本部门为2024年机构改革新成立单位，无上年数据。本年度及上年度均无一般公共预算财政拨款结转和结余。</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118.34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90.69</w:t>
      </w:r>
      <w:r>
        <w:rPr>
          <w:rFonts w:hint="default" w:ascii="Times New Roman" w:hAnsi="Times New Roman" w:eastAsia="方正仿宋_GBK" w:cs="Times New Roman"/>
          <w:sz w:val="32"/>
          <w:szCs w:val="32"/>
          <w:shd w:val="clear" w:color="auto" w:fill="FFFFFF"/>
        </w:rPr>
        <w:t>%，较年初预算数增加118.34万元，增长100.00%，主要原因是</w:t>
      </w:r>
      <w:r>
        <w:rPr>
          <w:rFonts w:hint="default" w:ascii="Times New Roman" w:hAnsi="Times New Roman" w:eastAsia="仿宋_GB2312" w:cs="Times New Roman"/>
          <w:sz w:val="32"/>
          <w:szCs w:val="32"/>
        </w:rPr>
        <w:t>本部门为2024年机构改革新成立单位，无年初预算数。</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（2）教育支出</w:t>
      </w:r>
      <w:r>
        <w:rPr>
          <w:rFonts w:hint="default" w:ascii="Times New Roman" w:hAnsi="Times New Roman" w:eastAsia="方正仿宋_GBK" w:cs="Times New Roman"/>
          <w:sz w:val="32"/>
          <w:szCs w:val="32"/>
        </w:rPr>
        <w:t>0.06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0.05</w:t>
      </w:r>
      <w:r>
        <w:rPr>
          <w:rFonts w:hint="default" w:ascii="Times New Roman" w:hAnsi="Times New Roman" w:eastAsia="方正仿宋_GBK" w:cs="Times New Roman"/>
          <w:sz w:val="32"/>
          <w:szCs w:val="32"/>
          <w:shd w:val="clear" w:color="auto" w:fill="FFFFFF"/>
        </w:rPr>
        <w:t>%，较年初预算数增加0.06万元，增长100.00%，主要原因是</w:t>
      </w:r>
      <w:r>
        <w:rPr>
          <w:rFonts w:hint="default" w:ascii="Times New Roman" w:hAnsi="Times New Roman" w:eastAsia="仿宋_GB2312" w:cs="Times New Roman"/>
          <w:sz w:val="32"/>
          <w:szCs w:val="32"/>
        </w:rPr>
        <w:t>本部门为2024年机构改革新成立单位，无年初预算数。</w:t>
      </w:r>
    </w:p>
    <w:p>
      <w:pPr>
        <w:pStyle w:val="7"/>
        <w:widowControl w:val="0"/>
        <w:spacing w:before="0" w:beforeAutospacing="0" w:after="0" w:afterAutospacing="0" w:line="594"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6.17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4.73</w:t>
      </w:r>
      <w:r>
        <w:rPr>
          <w:rFonts w:hint="default" w:ascii="Times New Roman" w:hAnsi="Times New Roman" w:eastAsia="方正仿宋_GBK" w:cs="Times New Roman"/>
          <w:sz w:val="32"/>
          <w:szCs w:val="32"/>
          <w:shd w:val="clear" w:color="auto" w:fill="FFFFFF"/>
        </w:rPr>
        <w:t>%，较年初预算数增加6.17万元，增长100.00%，主要原因是</w:t>
      </w:r>
      <w:r>
        <w:rPr>
          <w:rFonts w:hint="default" w:ascii="Times New Roman" w:hAnsi="Times New Roman" w:eastAsia="仿宋_GB2312" w:cs="Times New Roman"/>
          <w:sz w:val="32"/>
          <w:szCs w:val="32"/>
        </w:rPr>
        <w:t>本部门为2024年机构改革新成立单位，无年初预算数。</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2.57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1.97</w:t>
      </w:r>
      <w:r>
        <w:rPr>
          <w:rFonts w:hint="default" w:ascii="Times New Roman" w:hAnsi="Times New Roman" w:eastAsia="方正仿宋_GBK" w:cs="Times New Roman"/>
          <w:sz w:val="32"/>
          <w:szCs w:val="32"/>
          <w:shd w:val="clear" w:color="auto" w:fill="FFFFFF"/>
        </w:rPr>
        <w:t>%，较年初预算数增加2.57万元，增长100.00%，主要原因是</w:t>
      </w:r>
      <w:r>
        <w:rPr>
          <w:rFonts w:hint="default" w:ascii="Times New Roman" w:hAnsi="Times New Roman" w:eastAsia="仿宋_GB2312" w:cs="Times New Roman"/>
          <w:sz w:val="32"/>
          <w:szCs w:val="32"/>
        </w:rPr>
        <w:t>本部门为2024年机构改革新成立单位，无年初预算数。</w:t>
      </w:r>
    </w:p>
    <w:p>
      <w:pPr>
        <w:widowControl w:val="0"/>
        <w:spacing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住房保障支出3.35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2.57</w:t>
      </w:r>
      <w:r>
        <w:rPr>
          <w:rFonts w:hint="default" w:ascii="Times New Roman" w:hAnsi="Times New Roman" w:eastAsia="方正仿宋_GBK" w:cs="Times New Roman"/>
          <w:sz w:val="32"/>
          <w:szCs w:val="32"/>
          <w:shd w:val="clear" w:color="auto" w:fill="FFFFFF"/>
        </w:rPr>
        <w:t>%，较年初预算数增加3.35万元，增长100.00%，主要原因是</w:t>
      </w:r>
      <w:r>
        <w:rPr>
          <w:rFonts w:hint="default" w:ascii="Times New Roman" w:hAnsi="Times New Roman" w:eastAsia="仿宋_GB2312" w:cs="Times New Roman"/>
          <w:sz w:val="32"/>
          <w:szCs w:val="32"/>
        </w:rPr>
        <w:t>本部门为2024年机构改革新成立单位，无年初预算数。</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75.32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57.40</w:t>
      </w:r>
      <w:r>
        <w:rPr>
          <w:rFonts w:hint="default" w:ascii="Times New Roman" w:hAnsi="Times New Roman" w:eastAsia="方正仿宋_GBK" w:cs="Times New Roman"/>
          <w:sz w:val="32"/>
          <w:szCs w:val="32"/>
          <w:shd w:val="clear" w:color="auto" w:fill="FFFFFF"/>
        </w:rPr>
        <w:t>万元，与2023年度相比，增加57.40万元，增长100.00%，主要原因是</w:t>
      </w:r>
      <w:r>
        <w:rPr>
          <w:rFonts w:hint="default" w:ascii="Times New Roman" w:hAnsi="Times New Roman" w:eastAsia="仿宋_GB2312" w:cs="Times New Roman"/>
          <w:sz w:val="32"/>
          <w:szCs w:val="32"/>
        </w:rPr>
        <w:t>本部门为2024年机构改革新成立单位，无上年数据。</w:t>
      </w:r>
      <w:r>
        <w:rPr>
          <w:rFonts w:hint="default" w:ascii="Times New Roman" w:hAnsi="Times New Roman" w:eastAsia="方正仿宋_GBK" w:cs="Times New Roman"/>
          <w:sz w:val="32"/>
          <w:szCs w:val="32"/>
          <w:shd w:val="clear" w:color="auto" w:fill="FFFFFF"/>
        </w:rPr>
        <w:t>人员经费用途主要包括工资福利支出、对个人和家庭的补助。公用经费</w:t>
      </w:r>
      <w:r>
        <w:rPr>
          <w:rFonts w:hint="default" w:ascii="Times New Roman" w:hAnsi="Times New Roman" w:eastAsia="方正仿宋_GBK" w:cs="Times New Roman"/>
          <w:sz w:val="32"/>
          <w:szCs w:val="32"/>
        </w:rPr>
        <w:t>17.92</w:t>
      </w:r>
      <w:r>
        <w:rPr>
          <w:rFonts w:hint="default" w:ascii="Times New Roman" w:hAnsi="Times New Roman" w:eastAsia="方正仿宋_GBK" w:cs="Times New Roman"/>
          <w:sz w:val="32"/>
          <w:szCs w:val="32"/>
          <w:shd w:val="clear" w:color="auto" w:fill="FFFFFF"/>
        </w:rPr>
        <w:t>万元，与2023年度相比，增加17.92万元，增长100.00%，主要原因是</w:t>
      </w:r>
      <w:r>
        <w:rPr>
          <w:rFonts w:hint="default" w:ascii="Times New Roman" w:hAnsi="Times New Roman" w:eastAsia="仿宋_GB2312" w:cs="Times New Roman"/>
          <w:sz w:val="32"/>
          <w:szCs w:val="32"/>
        </w:rPr>
        <w:t>本部门为2024年机构改革新成立单位，无上年数据。</w:t>
      </w:r>
      <w:r>
        <w:rPr>
          <w:rFonts w:hint="default" w:ascii="Times New Roman" w:hAnsi="Times New Roman" w:eastAsia="方正仿宋_GBK" w:cs="Times New Roman"/>
          <w:sz w:val="32"/>
          <w:szCs w:val="32"/>
          <w:shd w:val="clear" w:color="auto" w:fill="FFFFFF"/>
        </w:rPr>
        <w:t>公用经费用途主要包括办公及印刷费、邮电费、差旅费、会议费、福利费、日常维护费、一般设备购置费以及其他费用。</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本年度无政府性基金预算财政拨款支出。本部门2024年度无政府性基金预算财政拨款收支。</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7"/>
        <w:widowControl w:val="0"/>
        <w:spacing w:before="0" w:beforeAutospacing="0" w:after="0" w:afterAutospacing="0" w:line="594" w:lineRule="exact"/>
        <w:ind w:firstLine="640" w:firstLineChars="200"/>
        <w:jc w:val="both"/>
        <w:rPr>
          <w:rStyle w:val="11"/>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sz w:val="32"/>
          <w:szCs w:val="32"/>
          <w:shd w:val="clear" w:color="auto" w:fill="FFFFFF"/>
        </w:rPr>
        <w:t> 2024年度国有资本经营</w:t>
      </w:r>
      <w:r>
        <w:rPr>
          <w:rFonts w:hint="default" w:ascii="Times New Roman" w:hAnsi="Times New Roman" w:eastAsia="方正仿宋_GBK" w:cs="Times New Roman"/>
          <w:sz w:val="32"/>
          <w:szCs w:val="32"/>
        </w:rPr>
        <w:t>预算财政拨</w:t>
      </w:r>
      <w:r>
        <w:rPr>
          <w:rFonts w:hint="eastAsia" w:ascii="Times New Roman" w:hAnsi="Times New Roman" w:eastAsia="方正仿宋_GBK" w:cs="Times New Roman"/>
          <w:sz w:val="32"/>
          <w:szCs w:val="32"/>
          <w:lang w:eastAsia="zh-CN"/>
        </w:rPr>
        <w:t>款</w:t>
      </w:r>
      <w:r>
        <w:rPr>
          <w:rFonts w:hint="default" w:ascii="Times New Roman" w:hAnsi="Times New Roman" w:eastAsia="方正仿宋_GBK" w:cs="Times New Roman"/>
          <w:sz w:val="32"/>
          <w:szCs w:val="32"/>
        </w:rPr>
        <w:t>本年支出0.00万元，基本支出0.00万元，项目支出0.00万元。</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 xml:space="preserve">本部门2024年度无国有资本经营预算财政拨款支出。  </w:t>
      </w:r>
    </w:p>
    <w:p>
      <w:pPr>
        <w:pStyle w:val="7"/>
        <w:widowControl w:val="0"/>
        <w:spacing w:before="0" w:beforeAutospacing="0" w:after="0" w:afterAutospacing="0" w:line="594" w:lineRule="exact"/>
        <w:ind w:firstLine="643" w:firstLineChars="200"/>
        <w:jc w:val="both"/>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三、财政拨款</w:t>
      </w:r>
      <w:r>
        <w:rPr>
          <w:rStyle w:val="11"/>
          <w:rFonts w:hint="eastAsia" w:ascii="Times New Roman" w:hAnsi="Times New Roman" w:eastAsia="黑体" w:cs="Times New Roman"/>
          <w:sz w:val="32"/>
          <w:szCs w:val="32"/>
          <w:shd w:val="clear" w:color="auto" w:fill="FFFFFF"/>
          <w:lang w:eastAsia="zh-CN"/>
        </w:rPr>
        <w:t>三公</w:t>
      </w:r>
      <w:r>
        <w:rPr>
          <w:rStyle w:val="11"/>
          <w:rFonts w:hint="default" w:ascii="Times New Roman" w:hAnsi="Times New Roman" w:eastAsia="黑体" w:cs="Times New Roman"/>
          <w:sz w:val="32"/>
          <w:szCs w:val="32"/>
          <w:shd w:val="clear" w:color="auto" w:fill="FFFFFF"/>
        </w:rPr>
        <w:t>经费情况说明</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w:t>
      </w:r>
      <w:r>
        <w:rPr>
          <w:rFonts w:hint="eastAsia"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经费支出总体情况说明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三公</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仿宋_GB2312" w:cs="Times New Roman"/>
          <w:sz w:val="32"/>
          <w:szCs w:val="32"/>
        </w:rPr>
        <w:t>本部门为2024年机构改革新成立单位，无</w:t>
      </w:r>
      <w:r>
        <w:rPr>
          <w:rFonts w:hint="default" w:ascii="Times New Roman" w:hAnsi="Times New Roman" w:eastAsia="方正仿宋_GBK" w:cs="Times New Roman"/>
          <w:sz w:val="32"/>
          <w:szCs w:val="32"/>
          <w:shd w:val="clear" w:color="auto" w:fill="FFFFFF"/>
        </w:rPr>
        <w:t>年初预算数</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仿宋_GB2312" w:cs="Times New Roman"/>
          <w:sz w:val="32"/>
          <w:szCs w:val="32"/>
        </w:rPr>
        <w:t>本部门为2024年机构改革新成立单位，无</w:t>
      </w:r>
      <w:r>
        <w:rPr>
          <w:rFonts w:hint="default" w:ascii="Times New Roman" w:hAnsi="Times New Roman" w:eastAsia="方正仿宋_GBK" w:cs="Times New Roman"/>
          <w:sz w:val="32"/>
          <w:szCs w:val="32"/>
          <w:shd w:val="clear" w:color="auto" w:fill="FFFFFF"/>
        </w:rPr>
        <w:t>上年数据</w:t>
      </w:r>
      <w:r>
        <w:rPr>
          <w:rFonts w:hint="default" w:ascii="Times New Roman" w:hAnsi="Times New Roman" w:eastAsia="仿宋_GB2312" w:cs="Times New Roman"/>
          <w:sz w:val="32"/>
          <w:szCs w:val="32"/>
        </w:rPr>
        <w:t>。</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eastAsia"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经费分项支出情况</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仿宋_GB2312" w:cs="Times New Roman"/>
          <w:sz w:val="32"/>
          <w:szCs w:val="32"/>
        </w:rPr>
        <w:t>本部门为2024年机构改革新成立单位，无</w:t>
      </w:r>
      <w:r>
        <w:rPr>
          <w:rFonts w:hint="default" w:ascii="Times New Roman" w:hAnsi="Times New Roman" w:eastAsia="方正仿宋_GBK" w:cs="Times New Roman"/>
          <w:sz w:val="32"/>
          <w:szCs w:val="32"/>
          <w:shd w:val="clear" w:color="auto" w:fill="FFFFFF"/>
        </w:rPr>
        <w:t>年初预算数</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仿宋_GB2312" w:cs="Times New Roman"/>
          <w:sz w:val="32"/>
          <w:szCs w:val="32"/>
        </w:rPr>
        <w:t>本部门为2024年机构改革新成立单位，无</w:t>
      </w:r>
      <w:r>
        <w:rPr>
          <w:rFonts w:hint="default" w:ascii="Times New Roman" w:hAnsi="Times New Roman" w:eastAsia="方正仿宋_GBK" w:cs="Times New Roman"/>
          <w:sz w:val="32"/>
          <w:szCs w:val="32"/>
          <w:shd w:val="clear" w:color="auto" w:fill="FFFFFF"/>
        </w:rPr>
        <w:t>上年数据</w:t>
      </w:r>
      <w:r>
        <w:rPr>
          <w:rFonts w:hint="default" w:ascii="Times New Roman" w:hAnsi="Times New Roman" w:eastAsia="仿宋_GB2312" w:cs="Times New Roman"/>
          <w:sz w:val="32"/>
          <w:szCs w:val="32"/>
        </w:rPr>
        <w:t>。</w:t>
      </w:r>
    </w:p>
    <w:p>
      <w:pPr>
        <w:pStyle w:val="7"/>
        <w:widowControl w:val="0"/>
        <w:spacing w:before="0" w:beforeAutospacing="0" w:after="0" w:afterAutospacing="0" w:line="594"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仿宋_GB2312" w:cs="Times New Roman"/>
          <w:sz w:val="32"/>
          <w:szCs w:val="32"/>
        </w:rPr>
        <w:t>本部门为2024年机构改革新成立单位，无</w:t>
      </w:r>
      <w:r>
        <w:rPr>
          <w:rFonts w:hint="default" w:ascii="Times New Roman" w:hAnsi="Times New Roman" w:eastAsia="方正仿宋_GBK" w:cs="Times New Roman"/>
          <w:sz w:val="32"/>
          <w:szCs w:val="32"/>
          <w:shd w:val="clear" w:color="auto" w:fill="FFFFFF"/>
        </w:rPr>
        <w:t>年初预算数。与2023年度相比，无增减，主要原因是</w:t>
      </w:r>
      <w:r>
        <w:rPr>
          <w:rFonts w:hint="default" w:ascii="Times New Roman" w:hAnsi="Times New Roman" w:eastAsia="仿宋_GB2312" w:cs="Times New Roman"/>
          <w:sz w:val="32"/>
          <w:szCs w:val="32"/>
        </w:rPr>
        <w:t>本部门为2024年机构改革新成立单位，无</w:t>
      </w:r>
      <w:r>
        <w:rPr>
          <w:rFonts w:hint="default" w:ascii="Times New Roman" w:hAnsi="Times New Roman" w:eastAsia="方正仿宋_GBK" w:cs="Times New Roman"/>
          <w:sz w:val="32"/>
          <w:szCs w:val="32"/>
          <w:shd w:val="clear" w:color="auto" w:fill="FFFFFF"/>
        </w:rPr>
        <w:t>上年数据</w:t>
      </w:r>
      <w:r>
        <w:rPr>
          <w:rFonts w:hint="default" w:ascii="Times New Roman" w:hAnsi="Times New Roman" w:eastAsia="仿宋_GB2312" w:cs="Times New Roman"/>
          <w:sz w:val="32"/>
          <w:szCs w:val="32"/>
        </w:rPr>
        <w:t>。</w:t>
      </w:r>
    </w:p>
    <w:p>
      <w:pPr>
        <w:pStyle w:val="7"/>
        <w:widowControl w:val="0"/>
        <w:spacing w:before="0" w:beforeAutospacing="0" w:after="0" w:afterAutospacing="0" w:line="594"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仿宋_GB2312" w:cs="Times New Roman"/>
          <w:sz w:val="32"/>
          <w:szCs w:val="32"/>
        </w:rPr>
        <w:t>本部门为2024年机构改革新成立单位，无</w:t>
      </w:r>
      <w:r>
        <w:rPr>
          <w:rFonts w:hint="default" w:ascii="Times New Roman" w:hAnsi="Times New Roman" w:eastAsia="方正仿宋_GBK" w:cs="Times New Roman"/>
          <w:sz w:val="32"/>
          <w:szCs w:val="32"/>
          <w:shd w:val="clear" w:color="auto" w:fill="FFFFFF"/>
        </w:rPr>
        <w:t>年初预算数</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仿宋_GB2312" w:cs="Times New Roman"/>
          <w:sz w:val="32"/>
          <w:szCs w:val="32"/>
        </w:rPr>
        <w:t>本部门为2024年机构改革新成立单位，无</w:t>
      </w:r>
      <w:r>
        <w:rPr>
          <w:rFonts w:hint="default" w:ascii="Times New Roman" w:hAnsi="Times New Roman" w:eastAsia="方正仿宋_GBK" w:cs="Times New Roman"/>
          <w:sz w:val="32"/>
          <w:szCs w:val="32"/>
          <w:shd w:val="clear" w:color="auto" w:fill="FFFFFF"/>
        </w:rPr>
        <w:t>上年数据</w:t>
      </w:r>
      <w:r>
        <w:rPr>
          <w:rFonts w:hint="default" w:ascii="Times New Roman" w:hAnsi="Times New Roman" w:eastAsia="仿宋_GB2312" w:cs="Times New Roman"/>
          <w:sz w:val="32"/>
          <w:szCs w:val="32"/>
        </w:rPr>
        <w:t>。</w:t>
      </w:r>
    </w:p>
    <w:p>
      <w:pPr>
        <w:pStyle w:val="7"/>
        <w:widowControl w:val="0"/>
        <w:spacing w:before="0" w:beforeAutospacing="0" w:after="0" w:afterAutospacing="0" w:line="594"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万元。费用支出较年初预算数无增减，主要原因是</w:t>
      </w:r>
      <w:r>
        <w:rPr>
          <w:rFonts w:hint="default" w:ascii="Times New Roman" w:hAnsi="Times New Roman" w:eastAsia="仿宋_GB2312" w:cs="Times New Roman"/>
          <w:sz w:val="32"/>
          <w:szCs w:val="32"/>
        </w:rPr>
        <w:t>本部门为2024年机构改革新成立单位，无</w:t>
      </w:r>
      <w:r>
        <w:rPr>
          <w:rFonts w:hint="default" w:ascii="Times New Roman" w:hAnsi="Times New Roman" w:eastAsia="方正仿宋_GBK" w:cs="Times New Roman"/>
          <w:sz w:val="32"/>
          <w:szCs w:val="32"/>
          <w:shd w:val="clear" w:color="auto" w:fill="FFFFFF"/>
        </w:rPr>
        <w:t>年初预算数</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仿宋_GB2312" w:cs="Times New Roman"/>
          <w:sz w:val="32"/>
          <w:szCs w:val="32"/>
        </w:rPr>
        <w:t>本部门为2024年机构改革新成立单位，无</w:t>
      </w:r>
      <w:r>
        <w:rPr>
          <w:rFonts w:hint="default" w:ascii="Times New Roman" w:hAnsi="Times New Roman" w:eastAsia="方正仿宋_GBK" w:cs="Times New Roman"/>
          <w:sz w:val="32"/>
          <w:szCs w:val="32"/>
          <w:shd w:val="clear" w:color="auto" w:fill="FFFFFF"/>
        </w:rPr>
        <w:t>上年数据。</w:t>
      </w:r>
    </w:p>
    <w:p>
      <w:pPr>
        <w:pStyle w:val="12"/>
        <w:widowControl w:val="0"/>
        <w:numPr>
          <w:ilvl w:val="0"/>
          <w:numId w:val="1"/>
        </w:numPr>
        <w:spacing w:line="594" w:lineRule="exact"/>
        <w:ind w:firstLine="643"/>
        <w:jc w:val="both"/>
        <w:rPr>
          <w:rFonts w:hint="default"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lang w:eastAsia="zh-CN"/>
        </w:rPr>
        <w:t>三公</w:t>
      </w:r>
      <w:r>
        <w:rPr>
          <w:rFonts w:hint="default" w:ascii="Times New Roman" w:hAnsi="Times New Roman" w:eastAsia="楷体" w:cs="Times New Roman"/>
          <w:b/>
          <w:bCs/>
          <w:sz w:val="32"/>
          <w:szCs w:val="32"/>
          <w:shd w:val="clear" w:color="auto" w:fill="FFFFFF"/>
        </w:rPr>
        <w:t>经费实物量情况</w:t>
      </w:r>
    </w:p>
    <w:p>
      <w:pPr>
        <w:pStyle w:val="12"/>
        <w:widowControl w:val="0"/>
        <w:spacing w:line="594" w:lineRule="exact"/>
        <w:ind w:firstLine="64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12"/>
        <w:widowControl w:val="0"/>
        <w:spacing w:line="594" w:lineRule="exact"/>
        <w:ind w:firstLine="643"/>
        <w:jc w:val="both"/>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四、其他需要说明的事项</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12"/>
        <w:widowControl w:val="0"/>
        <w:spacing w:line="594" w:lineRule="exact"/>
        <w:ind w:firstLine="640"/>
        <w:jc w:val="both"/>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1.90</w:t>
      </w:r>
      <w:r>
        <w:rPr>
          <w:rFonts w:hint="default" w:ascii="Times New Roman" w:hAnsi="Times New Roman" w:eastAsia="方正仿宋_GBK" w:cs="Times New Roman"/>
          <w:sz w:val="32"/>
          <w:szCs w:val="32"/>
          <w:shd w:val="clear" w:color="auto" w:fill="FFFFFF"/>
        </w:rPr>
        <w:t>万元，与2023年度相比，增加1.90万元，增长100.00%，主要原因是</w:t>
      </w:r>
      <w:r>
        <w:rPr>
          <w:rFonts w:hint="default" w:ascii="Times New Roman" w:hAnsi="Times New Roman" w:eastAsia="仿宋_GB2312" w:cs="Times New Roman"/>
          <w:sz w:val="32"/>
          <w:szCs w:val="32"/>
        </w:rPr>
        <w:t>本部门为2024年机构改革新成立单位，无上年度数据</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4.35</w:t>
      </w:r>
      <w:r>
        <w:rPr>
          <w:rFonts w:hint="default" w:ascii="Times New Roman" w:hAnsi="Times New Roman" w:eastAsia="方正仿宋_GBK" w:cs="Times New Roman"/>
          <w:sz w:val="32"/>
          <w:szCs w:val="32"/>
          <w:shd w:val="clear" w:color="auto" w:fill="FFFFFF"/>
        </w:rPr>
        <w:t>万元，与2023年度相比，增加4.35万元，增长100.00%，主要原因是</w:t>
      </w:r>
      <w:r>
        <w:rPr>
          <w:rFonts w:hint="default" w:ascii="Times New Roman" w:hAnsi="Times New Roman" w:eastAsia="仿宋_GB2312" w:cs="Times New Roman"/>
          <w:sz w:val="32"/>
          <w:szCs w:val="32"/>
        </w:rPr>
        <w:t>本部门为2024年机构改革新成立单位，无上年度数据。</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17.92</w:t>
      </w:r>
      <w:r>
        <w:rPr>
          <w:rFonts w:hint="default" w:ascii="Times New Roman" w:hAnsi="Times New Roman" w:eastAsia="方正仿宋_GBK" w:cs="Times New Roman"/>
          <w:sz w:val="32"/>
          <w:szCs w:val="32"/>
          <w:shd w:val="clear" w:color="auto" w:fill="FFFFFF"/>
        </w:rPr>
        <w:t>万元，机关运行经费主要用于开支办公及印刷费、邮电费、差旅费、会议费、福利费、日常维护费、设备购置费以及其他费用。机关运行经费较上年支出数增加17.92万元，增长100.00%，主要原因是</w:t>
      </w:r>
      <w:r>
        <w:rPr>
          <w:rFonts w:hint="default" w:ascii="Times New Roman" w:hAnsi="Times New Roman" w:eastAsia="仿宋_GB2312" w:cs="Times New Roman"/>
          <w:sz w:val="32"/>
          <w:szCs w:val="32"/>
        </w:rPr>
        <w:t>本部门为2024年机构改革新成立单位，无上年度数据。</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22.78</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22.78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22.78万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22.78</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w:t>
      </w:r>
      <w:bookmarkStart w:id="0" w:name="_GoBack"/>
      <w:bookmarkEnd w:id="0"/>
      <w:r>
        <w:rPr>
          <w:rFonts w:hint="default" w:ascii="Times New Roman" w:hAnsi="Times New Roman" w:eastAsia="方正仿宋_GBK" w:cs="Times New Roman"/>
          <w:sz w:val="32"/>
          <w:szCs w:val="32"/>
          <w:shd w:val="clear" w:color="auto" w:fill="FFFFFF"/>
        </w:rPr>
        <w:t>主要用于采购办公家具、电脑等办公设备。</w:t>
      </w:r>
    </w:p>
    <w:p>
      <w:pPr>
        <w:pStyle w:val="7"/>
        <w:widowControl w:val="0"/>
        <w:spacing w:before="0" w:beforeAutospacing="0" w:after="0" w:afterAutospacing="0" w:line="594" w:lineRule="exact"/>
        <w:ind w:firstLine="643" w:firstLineChars="200"/>
        <w:jc w:val="both"/>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五、2024年度预算绩效管理情况说明</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pPr>
        <w:pStyle w:val="13"/>
        <w:widowControl w:val="0"/>
        <w:spacing w:before="0" w:beforeAutospacing="0" w:line="594"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根据预算绩效管理要求，我部门对2个二级项目开展了绩效自评，涉及财政拨款项目支出资金55.51万元。因本部门为</w:t>
      </w:r>
      <w:r>
        <w:rPr>
          <w:rFonts w:hint="default" w:ascii="Times New Roman" w:hAnsi="Times New Roman" w:eastAsia="仿宋_GB2312" w:cs="Times New Roman"/>
          <w:sz w:val="32"/>
          <w:szCs w:val="32"/>
        </w:rPr>
        <w:t>2024年机构改革新成立单位，故无部门整体绩效。</w:t>
      </w:r>
    </w:p>
    <w:p>
      <w:pPr>
        <w:pStyle w:val="13"/>
        <w:widowControl w:val="0"/>
        <w:spacing w:before="0" w:beforeAutospacing="0" w:line="594" w:lineRule="exact"/>
        <w:ind w:firstLine="480" w:firstLineChars="200"/>
        <w:jc w:val="both"/>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0</wp:posOffset>
            </wp:positionH>
            <wp:positionV relativeFrom="paragraph">
              <wp:posOffset>182880</wp:posOffset>
            </wp:positionV>
            <wp:extent cx="5729605" cy="4107815"/>
            <wp:effectExtent l="0" t="0" r="4445"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29605" cy="4107815"/>
                    </a:xfrm>
                    <a:prstGeom prst="rect">
                      <a:avLst/>
                    </a:prstGeom>
                  </pic:spPr>
                </pic:pic>
              </a:graphicData>
            </a:graphic>
          </wp:anchor>
        </w:drawing>
      </w:r>
    </w:p>
    <w:p>
      <w:pPr>
        <w:pStyle w:val="13"/>
        <w:widowControl w:val="0"/>
        <w:spacing w:before="0" w:beforeAutospacing="0" w:line="594" w:lineRule="exact"/>
        <w:ind w:firstLine="640" w:firstLineChars="200"/>
        <w:jc w:val="both"/>
        <w:rPr>
          <w:rFonts w:hint="default" w:ascii="Times New Roman" w:hAnsi="Times New Roman" w:eastAsia="仿宋_GB2312" w:cs="Times New Roman"/>
          <w:sz w:val="32"/>
          <w:szCs w:val="32"/>
        </w:rPr>
      </w:pPr>
    </w:p>
    <w:p>
      <w:pPr>
        <w:pStyle w:val="13"/>
        <w:widowControl w:val="0"/>
        <w:spacing w:before="0" w:beforeAutospacing="0" w:line="594" w:lineRule="exact"/>
        <w:ind w:firstLine="640" w:firstLineChars="200"/>
        <w:jc w:val="both"/>
        <w:rPr>
          <w:rFonts w:hint="default" w:ascii="Times New Roman" w:hAnsi="Times New Roman" w:eastAsia="仿宋_GB2312" w:cs="Times New Roman"/>
          <w:sz w:val="32"/>
          <w:szCs w:val="32"/>
        </w:rPr>
      </w:pPr>
    </w:p>
    <w:p>
      <w:pPr>
        <w:pStyle w:val="13"/>
        <w:widowControl w:val="0"/>
        <w:spacing w:before="0" w:beforeAutospacing="0" w:line="594" w:lineRule="exact"/>
        <w:ind w:firstLine="640" w:firstLineChars="200"/>
        <w:jc w:val="both"/>
        <w:rPr>
          <w:rFonts w:hint="default" w:ascii="Times New Roman" w:hAnsi="Times New Roman" w:eastAsia="仿宋_GB2312" w:cs="Times New Roman"/>
          <w:sz w:val="32"/>
          <w:szCs w:val="32"/>
        </w:rPr>
      </w:pPr>
    </w:p>
    <w:p>
      <w:pPr>
        <w:pStyle w:val="13"/>
        <w:widowControl w:val="0"/>
        <w:spacing w:before="0" w:beforeAutospacing="0" w:line="594" w:lineRule="exact"/>
        <w:ind w:firstLine="640" w:firstLineChars="200"/>
        <w:jc w:val="both"/>
        <w:rPr>
          <w:rFonts w:hint="default" w:ascii="Times New Roman" w:hAnsi="Times New Roman" w:eastAsia="仿宋_GB2312" w:cs="Times New Roman"/>
          <w:sz w:val="32"/>
          <w:szCs w:val="32"/>
        </w:rPr>
      </w:pPr>
    </w:p>
    <w:p>
      <w:pPr>
        <w:pStyle w:val="13"/>
        <w:widowControl w:val="0"/>
        <w:spacing w:before="0" w:beforeAutospacing="0" w:line="594" w:lineRule="exact"/>
        <w:ind w:firstLine="640" w:firstLineChars="200"/>
        <w:jc w:val="both"/>
        <w:rPr>
          <w:rFonts w:hint="default" w:ascii="Times New Roman" w:hAnsi="Times New Roman" w:eastAsia="仿宋_GB2312" w:cs="Times New Roman"/>
          <w:sz w:val="32"/>
          <w:szCs w:val="32"/>
        </w:rPr>
      </w:pPr>
    </w:p>
    <w:p>
      <w:pPr>
        <w:pStyle w:val="13"/>
        <w:widowControl w:val="0"/>
        <w:spacing w:before="0" w:beforeAutospacing="0" w:line="594" w:lineRule="exact"/>
        <w:ind w:firstLine="640" w:firstLineChars="200"/>
        <w:jc w:val="both"/>
        <w:rPr>
          <w:rFonts w:hint="default" w:ascii="Times New Roman" w:hAnsi="Times New Roman" w:eastAsia="仿宋_GB2312" w:cs="Times New Roman"/>
          <w:sz w:val="32"/>
          <w:szCs w:val="32"/>
        </w:rPr>
      </w:pPr>
    </w:p>
    <w:p>
      <w:pPr>
        <w:pStyle w:val="13"/>
        <w:widowControl w:val="0"/>
        <w:spacing w:before="0" w:beforeAutospacing="0" w:line="594" w:lineRule="exact"/>
        <w:ind w:firstLine="640" w:firstLineChars="200"/>
        <w:jc w:val="both"/>
        <w:rPr>
          <w:rFonts w:hint="default" w:ascii="Times New Roman" w:hAnsi="Times New Roman" w:eastAsia="仿宋_GB2312" w:cs="Times New Roman"/>
          <w:sz w:val="32"/>
          <w:szCs w:val="32"/>
        </w:rPr>
      </w:pPr>
    </w:p>
    <w:p>
      <w:pPr>
        <w:pStyle w:val="13"/>
        <w:widowControl w:val="0"/>
        <w:spacing w:before="0" w:beforeAutospacing="0" w:line="594" w:lineRule="exact"/>
        <w:ind w:firstLine="480" w:firstLineChars="200"/>
        <w:jc w:val="both"/>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66675</wp:posOffset>
            </wp:positionH>
            <wp:positionV relativeFrom="paragraph">
              <wp:posOffset>45085</wp:posOffset>
            </wp:positionV>
            <wp:extent cx="5729605" cy="3893185"/>
            <wp:effectExtent l="0" t="0" r="444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29605" cy="3893185"/>
                    </a:xfrm>
                    <a:prstGeom prst="rect">
                      <a:avLst/>
                    </a:prstGeom>
                  </pic:spPr>
                </pic:pic>
              </a:graphicData>
            </a:graphic>
          </wp:anchor>
        </w:drawing>
      </w:r>
    </w:p>
    <w:p>
      <w:pPr>
        <w:pStyle w:val="13"/>
        <w:widowControl w:val="0"/>
        <w:spacing w:before="0" w:beforeAutospacing="0" w:line="594" w:lineRule="exact"/>
        <w:ind w:firstLine="640" w:firstLineChars="200"/>
        <w:jc w:val="both"/>
        <w:rPr>
          <w:rFonts w:hint="default" w:ascii="Times New Roman" w:hAnsi="Times New Roman" w:eastAsia="仿宋_GB2312" w:cs="Times New Roman"/>
          <w:sz w:val="32"/>
          <w:szCs w:val="32"/>
        </w:rPr>
      </w:pPr>
    </w:p>
    <w:p>
      <w:pPr>
        <w:pStyle w:val="13"/>
        <w:widowControl w:val="0"/>
        <w:spacing w:before="0" w:beforeAutospacing="0" w:line="594" w:lineRule="exact"/>
        <w:ind w:firstLine="640" w:firstLineChars="200"/>
        <w:jc w:val="both"/>
        <w:rPr>
          <w:rFonts w:hint="default" w:ascii="Times New Roman" w:hAnsi="Times New Roman" w:eastAsia="仿宋_GB2312" w:cs="Times New Roman"/>
          <w:sz w:val="32"/>
          <w:szCs w:val="32"/>
        </w:rPr>
      </w:pPr>
    </w:p>
    <w:p>
      <w:pPr>
        <w:pStyle w:val="13"/>
        <w:widowControl w:val="0"/>
        <w:spacing w:before="0" w:beforeAutospacing="0" w:line="594" w:lineRule="exact"/>
        <w:ind w:firstLine="640" w:firstLineChars="200"/>
        <w:jc w:val="both"/>
        <w:rPr>
          <w:rFonts w:hint="default" w:ascii="Times New Roman" w:hAnsi="Times New Roman" w:eastAsia="仿宋_GB2312" w:cs="Times New Roman"/>
          <w:sz w:val="32"/>
          <w:szCs w:val="32"/>
        </w:rPr>
      </w:pPr>
    </w:p>
    <w:p>
      <w:pPr>
        <w:pStyle w:val="13"/>
        <w:widowControl w:val="0"/>
        <w:spacing w:before="0" w:beforeAutospacing="0" w:line="594" w:lineRule="exact"/>
        <w:ind w:firstLine="640" w:firstLineChars="200"/>
        <w:jc w:val="both"/>
        <w:rPr>
          <w:rFonts w:hint="default" w:ascii="Times New Roman" w:hAnsi="Times New Roman" w:eastAsia="仿宋_GB2312" w:cs="Times New Roman"/>
          <w:sz w:val="32"/>
          <w:szCs w:val="32"/>
        </w:rPr>
      </w:pPr>
    </w:p>
    <w:p>
      <w:pPr>
        <w:pStyle w:val="13"/>
        <w:widowControl w:val="0"/>
        <w:spacing w:before="0" w:beforeAutospacing="0" w:line="594" w:lineRule="exact"/>
        <w:ind w:firstLine="640" w:firstLineChars="200"/>
        <w:jc w:val="both"/>
        <w:rPr>
          <w:rFonts w:hint="default" w:ascii="Times New Roman" w:hAnsi="Times New Roman" w:eastAsia="仿宋_GB2312" w:cs="Times New Roman"/>
          <w:sz w:val="32"/>
          <w:szCs w:val="32"/>
        </w:rPr>
      </w:pPr>
    </w:p>
    <w:p>
      <w:pPr>
        <w:pStyle w:val="13"/>
        <w:widowControl w:val="0"/>
        <w:spacing w:before="0" w:beforeAutospacing="0" w:line="594" w:lineRule="exact"/>
        <w:jc w:val="both"/>
        <w:rPr>
          <w:rFonts w:hint="default" w:ascii="Times New Roman" w:hAnsi="Times New Roman" w:eastAsia="方正仿宋_GBK" w:cs="Times New Roman"/>
          <w:sz w:val="32"/>
          <w:szCs w:val="32"/>
          <w:shd w:val="clear" w:color="auto" w:fill="FFFFFF"/>
        </w:rPr>
      </w:pP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pPr>
        <w:pStyle w:val="12"/>
        <w:widowControl w:val="0"/>
        <w:spacing w:line="594" w:lineRule="exact"/>
        <w:ind w:firstLine="640"/>
        <w:jc w:val="both"/>
        <w:rPr>
          <w:rFonts w:hint="default" w:ascii="Times New Roman" w:hAnsi="Times New Roman" w:eastAsia="楷体" w:cs="Times New Roman"/>
          <w:b/>
          <w:bCs/>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我部门未组织开展绩效评价。</w:t>
      </w:r>
    </w:p>
    <w:p>
      <w:pPr>
        <w:pStyle w:val="12"/>
        <w:widowControl w:val="0"/>
        <w:spacing w:line="594" w:lineRule="exact"/>
        <w:ind w:firstLine="643"/>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pPr>
        <w:pStyle w:val="12"/>
        <w:widowControl w:val="0"/>
        <w:spacing w:line="594" w:lineRule="exact"/>
        <w:ind w:firstLine="64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县财政局未委托第三方对我部门开展绩效评价。</w:t>
      </w:r>
    </w:p>
    <w:p>
      <w:pPr>
        <w:pStyle w:val="12"/>
        <w:widowControl w:val="0"/>
        <w:spacing w:line="594" w:lineRule="exact"/>
        <w:ind w:firstLine="643"/>
        <w:jc w:val="both"/>
        <w:rPr>
          <w:rStyle w:val="11"/>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六、专业名词解释</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7"/>
        <w:widowControl w:val="0"/>
        <w:spacing w:before="0" w:beforeAutospacing="0" w:after="0" w:afterAutospacing="0" w:line="594" w:lineRule="exact"/>
        <w:ind w:left="80"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（十二）</w:t>
      </w:r>
      <w:r>
        <w:rPr>
          <w:rStyle w:val="11"/>
          <w:rFonts w:hint="eastAsia" w:ascii="Times New Roman" w:hAnsi="Times New Roman" w:eastAsia="楷体" w:cs="Times New Roman"/>
          <w:sz w:val="32"/>
          <w:szCs w:val="32"/>
          <w:shd w:val="clear" w:color="auto" w:fill="FFFFFF"/>
          <w:lang w:eastAsia="zh-CN"/>
        </w:rPr>
        <w:t>三公</w:t>
      </w:r>
      <w:r>
        <w:rPr>
          <w:rStyle w:val="11"/>
          <w:rFonts w:hint="default" w:ascii="Times New Roman" w:hAnsi="Times New Roman" w:eastAsia="楷体" w:cs="Times New Roman"/>
          <w:sz w:val="32"/>
          <w:szCs w:val="32"/>
          <w:shd w:val="clear" w:color="auto" w:fill="FFFFFF"/>
        </w:rPr>
        <w:t>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7"/>
        <w:widowControl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widowControl w:val="0"/>
        <w:spacing w:before="0" w:beforeAutospacing="0" w:after="0" w:afterAutospacing="0" w:line="594" w:lineRule="exact"/>
        <w:ind w:firstLine="643" w:firstLineChars="200"/>
        <w:jc w:val="both"/>
        <w:rPr>
          <w:rStyle w:val="11"/>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黑体" w:cs="Times New Roman"/>
          <w:sz w:val="32"/>
          <w:szCs w:val="32"/>
          <w:shd w:val="clear" w:color="auto" w:fill="FFFFFF"/>
        </w:rPr>
        <w:t>七、决算公开联系方式及信息反馈渠道</w:t>
      </w:r>
    </w:p>
    <w:p>
      <w:pPr>
        <w:pStyle w:val="7"/>
        <w:widowControl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本单位决算公开信息反馈和联系方式：墙老师 023-74666063。</w:t>
      </w:r>
    </w:p>
    <w:p>
      <w:pPr>
        <w:pStyle w:val="12"/>
        <w:widowControl w:val="0"/>
        <w:spacing w:line="594" w:lineRule="exact"/>
        <w:ind w:firstLine="0" w:firstLineChars="0"/>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部门：</w:t>
            </w:r>
            <w:r>
              <w:rPr>
                <w:rFonts w:hint="default" w:ascii="Times New Roman" w:hAnsi="Times New Roman" w:cs="Times New Roman"/>
                <w:sz w:val="20"/>
              </w:rPr>
              <w:t>中共垫江县委全面深化改革委员会办公室</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80.63</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118.34</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6.17</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80.63</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130.50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49.86</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130.50</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130.50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410"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rPr>
              <w:t>中共垫江县委全面深化改革委员会办公室</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80.63</w:t>
            </w:r>
            <w:r>
              <w:rPr>
                <w:rFonts w:hint="default" w:ascii="Times New Roman" w:hAnsi="Times New Roman" w:cs="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80.63</w:t>
            </w:r>
            <w:r>
              <w:rPr>
                <w:rFonts w:hint="default" w:ascii="Times New Roman" w:hAnsi="Times New Roman" w:cs="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68.48</w:t>
            </w:r>
            <w:r>
              <w:rPr>
                <w:rFonts w:hint="default" w:ascii="Times New Roman" w:hAnsi="Times New Roman" w:cs="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68.48</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68.48</w:t>
            </w:r>
            <w:r>
              <w:rPr>
                <w:rFonts w:hint="default" w:ascii="Times New Roman" w:hAnsi="Times New Roman" w:cs="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68.48</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41.01</w:t>
            </w:r>
            <w:r>
              <w:rPr>
                <w:rFonts w:hint="default" w:ascii="Times New Roman" w:hAnsi="Times New Roman" w:cs="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41.01</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27.47</w:t>
            </w:r>
            <w:r>
              <w:rPr>
                <w:rFonts w:hint="default" w:ascii="Times New Roman" w:hAnsi="Times New Roman" w:cs="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27.47</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4.12</w:t>
            </w:r>
            <w:r>
              <w:rPr>
                <w:rFonts w:hint="default" w:ascii="Times New Roman" w:hAnsi="Times New Roman" w:cs="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4.12</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w:t>
            </w:r>
            <w:r>
              <w:rPr>
                <w:rFonts w:hint="default" w:ascii="Times New Roman" w:hAnsi="Times New Roman" w:cs="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中共垫江县委全面深化改革委员会办公室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130.50</w:t>
            </w:r>
            <w:r>
              <w:rPr>
                <w:rFonts w:hint="default" w:ascii="Times New Roman" w:hAnsi="Times New Roman" w:cs="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75.32</w:t>
            </w:r>
            <w:r>
              <w:rPr>
                <w:rFonts w:hint="default" w:ascii="Times New Roman" w:hAnsi="Times New Roman" w:cs="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55.18</w:t>
            </w:r>
            <w:r>
              <w:rPr>
                <w:rFonts w:hint="default" w:ascii="Times New Roman" w:hAnsi="Times New Roman" w:cs="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118.34</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63.17</w:t>
            </w:r>
            <w:r>
              <w:rPr>
                <w:rFonts w:hint="default" w:ascii="Times New Roman" w:hAnsi="Times New Roman" w:cs="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55.18</w:t>
            </w:r>
            <w:r>
              <w:rPr>
                <w:rFonts w:hint="default" w:ascii="Times New Roman" w:hAnsi="Times New Roman" w:cs="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118.34</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63.17</w:t>
            </w:r>
            <w:r>
              <w:rPr>
                <w:rFonts w:hint="default" w:ascii="Times New Roman" w:hAnsi="Times New Roman" w:cs="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55.18</w:t>
            </w:r>
            <w:r>
              <w:rPr>
                <w:rFonts w:hint="default" w:ascii="Times New Roman" w:hAnsi="Times New Roman" w:cs="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63.17</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63.17</w:t>
            </w:r>
            <w:r>
              <w:rPr>
                <w:rFonts w:hint="default" w:ascii="Times New Roman" w:hAnsi="Times New Roman" w:cs="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55.18</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55.18</w:t>
            </w:r>
            <w:r>
              <w:rPr>
                <w:rFonts w:hint="default" w:ascii="Times New Roman" w:hAnsi="Times New Roman" w:cs="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4.12</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4.12</w:t>
            </w:r>
            <w:r>
              <w:rPr>
                <w:rFonts w:hint="default" w:ascii="Times New Roman" w:hAnsi="Times New Roman" w:cs="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w:t>
            </w:r>
            <w:r>
              <w:rPr>
                <w:rFonts w:hint="default" w:ascii="Times New Roman" w:hAnsi="Times New Roman" w:cs="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中共垫江县委全面深化改革委员会办公室</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80.63</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118.34</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118.34</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0.06</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3.35</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3.35</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80.63</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49.86</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49.86</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130.50</w:t>
            </w:r>
            <w:r>
              <w:rPr>
                <w:rFonts w:hint="default" w:ascii="Times New Roman" w:hAnsi="Times New Roman" w:cs="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130.50</w:t>
            </w:r>
            <w:r>
              <w:rPr>
                <w:rFonts w:hint="default" w:ascii="Times New Roman" w:hAnsi="Times New Roman" w:cs="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中共垫江县委全面深化改革委员会办公室</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130.50</w:t>
            </w:r>
            <w:r>
              <w:rPr>
                <w:rFonts w:hint="default" w:ascii="Times New Roman" w:hAnsi="Times New Roman" w:cs="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75.32</w:t>
            </w:r>
            <w:r>
              <w:rPr>
                <w:rFonts w:hint="default" w:ascii="Times New Roman" w:hAnsi="Times New Roman" w:cs="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55.18</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118.34</w:t>
            </w:r>
            <w:r>
              <w:rPr>
                <w:rFonts w:hint="default" w:ascii="Times New Roman" w:hAnsi="Times New Roman" w:cs="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63.17</w:t>
            </w:r>
            <w:r>
              <w:rPr>
                <w:rFonts w:hint="default" w:ascii="Times New Roman" w:hAnsi="Times New Roman" w:cs="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55.18</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118.34</w:t>
            </w:r>
            <w:r>
              <w:rPr>
                <w:rFonts w:hint="default" w:ascii="Times New Roman" w:hAnsi="Times New Roman" w:cs="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63.17</w:t>
            </w:r>
            <w:r>
              <w:rPr>
                <w:rFonts w:hint="default" w:ascii="Times New Roman" w:hAnsi="Times New Roman" w:cs="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55.18</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63.17</w:t>
            </w:r>
            <w:r>
              <w:rPr>
                <w:rFonts w:hint="default" w:ascii="Times New Roman" w:hAnsi="Times New Roman" w:cs="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63.17</w:t>
            </w:r>
            <w:r>
              <w:rPr>
                <w:rFonts w:hint="default" w:ascii="Times New Roman" w:hAnsi="Times New Roman" w:cs="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55.18</w:t>
            </w:r>
            <w:r>
              <w:rPr>
                <w:rFonts w:hint="default" w:ascii="Times New Roman" w:hAnsi="Times New Roman" w:cs="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55.18</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0.06</w:t>
            </w:r>
            <w:r>
              <w:rPr>
                <w:rFonts w:hint="default" w:ascii="Times New Roman" w:hAnsi="Times New Roman" w:cs="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0.06</w:t>
            </w:r>
            <w:r>
              <w:rPr>
                <w:rFonts w:hint="default" w:ascii="Times New Roman" w:hAnsi="Times New Roman" w:cs="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6.17</w:t>
            </w:r>
            <w:r>
              <w:rPr>
                <w:rFonts w:hint="default" w:ascii="Times New Roman" w:hAnsi="Times New Roman" w:cs="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4.12</w:t>
            </w:r>
            <w:r>
              <w:rPr>
                <w:rFonts w:hint="default" w:ascii="Times New Roman" w:hAnsi="Times New Roman" w:cs="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4.12</w:t>
            </w:r>
            <w:r>
              <w:rPr>
                <w:rFonts w:hint="default" w:ascii="Times New Roman" w:hAnsi="Times New Roman" w:cs="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2.06</w:t>
            </w:r>
            <w:r>
              <w:rPr>
                <w:rFonts w:hint="default" w:ascii="Times New Roman" w:hAnsi="Times New Roman" w:cs="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2.06</w:t>
            </w:r>
            <w:r>
              <w:rPr>
                <w:rFonts w:hint="default" w:ascii="Times New Roman" w:hAnsi="Times New Roman" w:cs="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3.35</w:t>
            </w:r>
            <w:r>
              <w:rPr>
                <w:rFonts w:hint="default" w:ascii="Times New Roman" w:hAnsi="Times New Roman" w:cs="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3.35</w:t>
            </w:r>
            <w:r>
              <w:rPr>
                <w:rFonts w:hint="default" w:ascii="Times New Roman" w:hAnsi="Times New Roman" w:cs="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中共垫江县委全面深化改革委员会办公室</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53.23</w:t>
            </w: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17.52</w:t>
            </w: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8.83</w:t>
            </w: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0.70</w:t>
            </w: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7.18</w:t>
            </w: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16.46</w:t>
            </w: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7.56</w:t>
            </w: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4.12</w:t>
            </w: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2.06</w:t>
            </w: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w:t>
            </w: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0.09</w:t>
            </w: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0.49</w:t>
            </w: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3.35</w:t>
            </w: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0.30</w:t>
            </w: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4.18</w:t>
            </w: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4.18</w:t>
            </w: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12.89</w:t>
            </w: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w:t>
            </w: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57.40</w:t>
            </w:r>
            <w:r>
              <w:rPr>
                <w:rFonts w:hint="default" w:ascii="Times New Roman" w:hAnsi="Times New Roman" w:cs="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17.92</w:t>
            </w:r>
            <w:r>
              <w:rPr>
                <w:rFonts w:hint="default" w:ascii="Times New Roman" w:hAnsi="Times New Roman" w:cs="Times New Roman"/>
                <w:color w:val="000000"/>
                <w:sz w:val="18"/>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中共垫江县委全面深化改革委员会办公室</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中共垫江县委全面深化改革委员会办公室</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中共垫江县委全面深化改革委员会办公室</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三公</w:t>
            </w:r>
            <w:r>
              <w:rPr>
                <w:rFonts w:hint="default" w:ascii="Times New Roman" w:hAnsi="Times New Roman" w:cs="Times New Roman"/>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17.92</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17.92</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22.78</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22.78</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22.78</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22.78</w:t>
            </w:r>
            <w:r>
              <w:rPr>
                <w:rFonts w:hint="default" w:ascii="Times New Roman" w:hAnsi="Times New Roman" w:cs="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1.90</w:t>
            </w: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4.35</w:t>
            </w: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s="Times New Roman"/>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rPr>
      </w:pPr>
      <w:r>
        <w:rPr>
          <w:rFonts w:hint="default" w:ascii="Times New Roman" w:hAnsi="Times New Roman" w:cs="Times New Roman"/>
          <w:sz w:val="18"/>
          <w:szCs w:val="18"/>
        </w:rPr>
        <w:t>备注：1.本表反映部门本年度财政拨款</w:t>
      </w:r>
      <w:r>
        <w:rPr>
          <w:rFonts w:hint="eastAsia" w:ascii="Times New Roman" w:hAnsi="Times New Roman" w:cs="Times New Roman"/>
          <w:sz w:val="18"/>
          <w:szCs w:val="18"/>
          <w:lang w:eastAsia="zh-CN"/>
        </w:rPr>
        <w:t>三公</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三公</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7405A"/>
    <w:multiLevelType w:val="singleLevel"/>
    <w:tmpl w:val="FD57405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951EE"/>
    <w:rsid w:val="000C01CC"/>
    <w:rsid w:val="000D7702"/>
    <w:rsid w:val="00261065"/>
    <w:rsid w:val="002B23C0"/>
    <w:rsid w:val="002D0E5A"/>
    <w:rsid w:val="002E5443"/>
    <w:rsid w:val="0032196C"/>
    <w:rsid w:val="004C12FF"/>
    <w:rsid w:val="00525343"/>
    <w:rsid w:val="00550ABE"/>
    <w:rsid w:val="005B023C"/>
    <w:rsid w:val="00600322"/>
    <w:rsid w:val="006137D7"/>
    <w:rsid w:val="00634FA8"/>
    <w:rsid w:val="0063613A"/>
    <w:rsid w:val="006E2034"/>
    <w:rsid w:val="00732392"/>
    <w:rsid w:val="00792285"/>
    <w:rsid w:val="007A0D2E"/>
    <w:rsid w:val="007A3314"/>
    <w:rsid w:val="007B419D"/>
    <w:rsid w:val="00810F13"/>
    <w:rsid w:val="00827523"/>
    <w:rsid w:val="00835010"/>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51F6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7F109B"/>
    <w:rsid w:val="079D7CC7"/>
    <w:rsid w:val="08051BCA"/>
    <w:rsid w:val="08335A8D"/>
    <w:rsid w:val="086C12F4"/>
    <w:rsid w:val="08BA052C"/>
    <w:rsid w:val="08DB07BA"/>
    <w:rsid w:val="0969353F"/>
    <w:rsid w:val="098305D0"/>
    <w:rsid w:val="098A0877"/>
    <w:rsid w:val="0A5C4B69"/>
    <w:rsid w:val="0A86124A"/>
    <w:rsid w:val="0AB54CC0"/>
    <w:rsid w:val="0B9335CE"/>
    <w:rsid w:val="0C551F83"/>
    <w:rsid w:val="0C7927C4"/>
    <w:rsid w:val="0C9B098C"/>
    <w:rsid w:val="0D673E11"/>
    <w:rsid w:val="0DDA54E4"/>
    <w:rsid w:val="0E3A5F83"/>
    <w:rsid w:val="0E74421A"/>
    <w:rsid w:val="0F836721"/>
    <w:rsid w:val="0F8B54BB"/>
    <w:rsid w:val="0FA25D96"/>
    <w:rsid w:val="102D7ACC"/>
    <w:rsid w:val="10755F8E"/>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A231750"/>
    <w:rsid w:val="1B6F15B6"/>
    <w:rsid w:val="1BAA2EDC"/>
    <w:rsid w:val="1BBE0E5B"/>
    <w:rsid w:val="1C5C0973"/>
    <w:rsid w:val="1CA55E64"/>
    <w:rsid w:val="1D014A01"/>
    <w:rsid w:val="1D022362"/>
    <w:rsid w:val="1D1B04B0"/>
    <w:rsid w:val="1DBD6767"/>
    <w:rsid w:val="1DC52125"/>
    <w:rsid w:val="1DD26311"/>
    <w:rsid w:val="1E374ACB"/>
    <w:rsid w:val="1E5E27E3"/>
    <w:rsid w:val="1EA64BD4"/>
    <w:rsid w:val="1ECF0A66"/>
    <w:rsid w:val="1EF67CA4"/>
    <w:rsid w:val="1F020D3A"/>
    <w:rsid w:val="1F2C5189"/>
    <w:rsid w:val="1F4B0B02"/>
    <w:rsid w:val="1FBB35CD"/>
    <w:rsid w:val="1FCD26AF"/>
    <w:rsid w:val="20642787"/>
    <w:rsid w:val="20EC618E"/>
    <w:rsid w:val="21556F04"/>
    <w:rsid w:val="22403BD3"/>
    <w:rsid w:val="228161A9"/>
    <w:rsid w:val="229A655C"/>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B9B6F57"/>
    <w:rsid w:val="2C6762A3"/>
    <w:rsid w:val="2DDD0FD4"/>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56230B"/>
    <w:rsid w:val="339B79E4"/>
    <w:rsid w:val="33E31118"/>
    <w:rsid w:val="33EF7674"/>
    <w:rsid w:val="342D7BC6"/>
    <w:rsid w:val="352930DB"/>
    <w:rsid w:val="35573069"/>
    <w:rsid w:val="355F6038"/>
    <w:rsid w:val="358C217E"/>
    <w:rsid w:val="35937598"/>
    <w:rsid w:val="36C9128A"/>
    <w:rsid w:val="372E3953"/>
    <w:rsid w:val="37841E99"/>
    <w:rsid w:val="37BF1123"/>
    <w:rsid w:val="37F30DCD"/>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3E03F6"/>
    <w:rsid w:val="3DDF3AB1"/>
    <w:rsid w:val="3E1D0952"/>
    <w:rsid w:val="3E42660A"/>
    <w:rsid w:val="3E7555B1"/>
    <w:rsid w:val="3E787ED9"/>
    <w:rsid w:val="3EEC37F3"/>
    <w:rsid w:val="3F032E93"/>
    <w:rsid w:val="3F0527E5"/>
    <w:rsid w:val="3F694D83"/>
    <w:rsid w:val="3F885DCC"/>
    <w:rsid w:val="3FCD675E"/>
    <w:rsid w:val="4004000C"/>
    <w:rsid w:val="40063244"/>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543095"/>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B33D32"/>
    <w:rsid w:val="53C0244D"/>
    <w:rsid w:val="53DD4D4E"/>
    <w:rsid w:val="53E578CE"/>
    <w:rsid w:val="541330F0"/>
    <w:rsid w:val="54272666"/>
    <w:rsid w:val="543B029D"/>
    <w:rsid w:val="54861779"/>
    <w:rsid w:val="552256E1"/>
    <w:rsid w:val="554E5773"/>
    <w:rsid w:val="555A3CBC"/>
    <w:rsid w:val="5582012B"/>
    <w:rsid w:val="558E4E05"/>
    <w:rsid w:val="55BE2E85"/>
    <w:rsid w:val="56474B1D"/>
    <w:rsid w:val="56530F5D"/>
    <w:rsid w:val="567700D3"/>
    <w:rsid w:val="56FF7E9E"/>
    <w:rsid w:val="571F7919"/>
    <w:rsid w:val="578867FC"/>
    <w:rsid w:val="5842572D"/>
    <w:rsid w:val="5A3B59D6"/>
    <w:rsid w:val="5AD134D8"/>
    <w:rsid w:val="5B6503B1"/>
    <w:rsid w:val="5C263CE4"/>
    <w:rsid w:val="5C5D2777"/>
    <w:rsid w:val="5CF66BF3"/>
    <w:rsid w:val="5D290C69"/>
    <w:rsid w:val="5F2D4A41"/>
    <w:rsid w:val="60B56A5E"/>
    <w:rsid w:val="60C74F6C"/>
    <w:rsid w:val="61025A59"/>
    <w:rsid w:val="613D5BBC"/>
    <w:rsid w:val="61536C39"/>
    <w:rsid w:val="62944DD7"/>
    <w:rsid w:val="62D47BA1"/>
    <w:rsid w:val="6319381F"/>
    <w:rsid w:val="63236436"/>
    <w:rsid w:val="6366447C"/>
    <w:rsid w:val="63C25DC5"/>
    <w:rsid w:val="63C62057"/>
    <w:rsid w:val="64571EF5"/>
    <w:rsid w:val="64FB113D"/>
    <w:rsid w:val="656152C6"/>
    <w:rsid w:val="6587477F"/>
    <w:rsid w:val="658C3A08"/>
    <w:rsid w:val="65C031CA"/>
    <w:rsid w:val="65CE6852"/>
    <w:rsid w:val="66267C04"/>
    <w:rsid w:val="663F505A"/>
    <w:rsid w:val="664F0CB2"/>
    <w:rsid w:val="667E176E"/>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3A1CE8"/>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0C0BDE"/>
    <w:rsid w:val="7B420052"/>
    <w:rsid w:val="7B861484"/>
    <w:rsid w:val="7BD06A28"/>
    <w:rsid w:val="7C3A7C0B"/>
    <w:rsid w:val="7C5248E4"/>
    <w:rsid w:val="7C566698"/>
    <w:rsid w:val="7C5866A3"/>
    <w:rsid w:val="7D131DC9"/>
    <w:rsid w:val="7D7406BB"/>
    <w:rsid w:val="7D9DAD3C"/>
    <w:rsid w:val="7DE94331"/>
    <w:rsid w:val="7F446A19"/>
    <w:rsid w:val="7F4D4713"/>
    <w:rsid w:val="7F7452B9"/>
    <w:rsid w:val="FAC5CDDA"/>
    <w:rsid w:val="FBB9C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8862</Words>
  <Characters>11354</Characters>
  <Lines>101</Lines>
  <Paragraphs>28</Paragraphs>
  <TotalTime>12</TotalTime>
  <ScaleCrop>false</ScaleCrop>
  <LinksUpToDate>false</LinksUpToDate>
  <CharactersWithSpaces>12397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毕欢</cp:lastModifiedBy>
  <dcterms:modified xsi:type="dcterms:W3CDTF">2025-09-16T06:34:18Z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