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中共垫江县委全面深化改革委员会办公室（本级）</w:t>
      </w:r>
      <w:r>
        <w:rPr>
          <w:rFonts w:hint="default" w:ascii="Times New Roman" w:hAnsi="Times New Roman" w:eastAsia="方正小标宋_GBK" w:cs="Times New Roman"/>
          <w:sz w:val="44"/>
          <w:szCs w:val="44"/>
          <w:shd w:val="clear" w:color="auto" w:fill="FFFFFF"/>
        </w:rPr>
        <w:t>2024年度决算公开说明</w:t>
      </w:r>
    </w:p>
    <w:p>
      <w:pPr>
        <w:pStyle w:val="7"/>
        <w:widowControl w:val="0"/>
        <w:spacing w:before="0" w:beforeAutospacing="0" w:after="0" w:afterAutospacing="0"/>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一、单位基本情况</w:t>
      </w:r>
    </w:p>
    <w:p>
      <w:pPr>
        <w:pStyle w:val="7"/>
        <w:widowControl w:val="0"/>
        <w:spacing w:before="0" w:beforeAutospacing="0" w:after="0" w:afterAutospacing="0"/>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（一）职能职责</w:t>
      </w:r>
    </w:p>
    <w:p>
      <w:pPr>
        <w:widowControl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县委改革办负责贯彻落实党中央关于全面深化改革工作的方针政策、决策部署和市委工作要求、县委具体安排，把坚持和加强党对全面深化改革工作的全面领导落实到履行职责过程中。</w:t>
      </w:r>
    </w:p>
    <w:p>
      <w:pPr>
        <w:widowControl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负责统筹协调、指导推进全县改革工作，协调督促有关方面落实县委深改委研究事项、工作部署和要求；指导协调全县推进数字重庆建设，推动有关工作任务落实；统筹协调各类改革试点，组织开展重大改革事项的研究谋划、推进实施、效果评估、经验推广等工作；</w:t>
      </w:r>
      <w:r>
        <w:rPr>
          <w:rFonts w:hint="default" w:ascii="Times New Roman" w:hAnsi="Times New Roman" w:eastAsia="仿宋_GB2312" w:cs="Times New Roman"/>
          <w:sz w:val="32"/>
          <w:szCs w:val="32"/>
        </w:rPr>
        <w:t>完成县委交办的其他任务</w:t>
      </w:r>
      <w:r>
        <w:rPr>
          <w:rFonts w:hint="default" w:ascii="Times New Roman" w:hAnsi="Times New Roman" w:eastAsia="方正仿宋_GBK" w:cs="Times New Roman"/>
          <w:sz w:val="32"/>
          <w:szCs w:val="32"/>
        </w:rPr>
        <w:t>。</w:t>
      </w:r>
    </w:p>
    <w:p>
      <w:pPr>
        <w:widowControl w:val="0"/>
        <w:spacing w:line="594" w:lineRule="exact"/>
        <w:ind w:firstLine="643" w:firstLineChars="200"/>
        <w:jc w:val="both"/>
        <w:rPr>
          <w:rFonts w:hint="default" w:ascii="Times New Roman" w:hAnsi="Times New Roman" w:eastAsia="楷体" w:cs="Times New Roman"/>
          <w:sz w:val="32"/>
          <w:szCs w:val="32"/>
        </w:rPr>
      </w:pPr>
      <w:r>
        <w:rPr>
          <w:rStyle w:val="11"/>
          <w:rFonts w:hint="default" w:ascii="Times New Roman" w:hAnsi="Times New Roman" w:eastAsia="楷体" w:cs="Times New Roman"/>
          <w:sz w:val="32"/>
          <w:szCs w:val="32"/>
          <w:shd w:val="clear" w:color="auto" w:fill="FFFFFF"/>
        </w:rPr>
        <w:t>（二）机构设置</w:t>
      </w:r>
    </w:p>
    <w:p>
      <w:pPr>
        <w:widowControl w:val="0"/>
        <w:spacing w:line="594" w:lineRule="exact"/>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本单位为2024年机构改革新成立单位，</w:t>
      </w:r>
      <w:r>
        <w:rPr>
          <w:rFonts w:hint="default" w:ascii="Times New Roman" w:hAnsi="Times New Roman" w:eastAsia="仿宋_GB2312" w:cs="Times New Roman"/>
          <w:bCs/>
          <w:sz w:val="32"/>
          <w:szCs w:val="32"/>
        </w:rPr>
        <w:t>纳入部门决算编制范围的独立核算单位共</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Cs/>
          <w:sz w:val="32"/>
          <w:szCs w:val="32"/>
        </w:rPr>
        <w:t>个，属行政单位，执行的政府会计准则制度。</w:t>
      </w:r>
    </w:p>
    <w:p>
      <w:pPr>
        <w:widowControl w:val="0"/>
        <w:spacing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二、单位决算收支情况说明</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2024年度收入总计130.50万元，支出总计130.50万元。收、支与2023年度相比，增加130.50万元，增长100.00%，主要原因是本单位为2024年机构改革新成立单位，无上年数据。</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2024年度收入合计80.63万元，与2023年度相比，增加80.63万元，增长100.00%，主要原因是</w:t>
      </w:r>
      <w:r>
        <w:rPr>
          <w:rFonts w:hint="default" w:ascii="Times New Roman" w:hAnsi="Times New Roman" w:eastAsia="仿宋_GB2312" w:cs="Times New Roman"/>
          <w:sz w:val="32"/>
          <w:szCs w:val="32"/>
        </w:rPr>
        <w:t>本单位为2024年机构改革新成立单位，无上年数据。</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80.63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49.86</w:t>
      </w:r>
      <w:r>
        <w:rPr>
          <w:rFonts w:hint="default" w:ascii="Times New Roman" w:hAnsi="Times New Roman" w:eastAsia="方正仿宋_GBK" w:cs="Times New Roman"/>
          <w:sz w:val="32"/>
          <w:szCs w:val="32"/>
          <w:shd w:val="clear" w:color="auto" w:fill="FFFFFF"/>
        </w:rPr>
        <w:t>万元。</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130.50</w:t>
      </w:r>
      <w:r>
        <w:rPr>
          <w:rFonts w:hint="default" w:ascii="Times New Roman" w:hAnsi="Times New Roman" w:eastAsia="方正仿宋_GBK" w:cs="Times New Roman"/>
          <w:sz w:val="32"/>
          <w:szCs w:val="32"/>
          <w:shd w:val="clear" w:color="auto" w:fill="FFFFFF"/>
        </w:rPr>
        <w:t>万元，与2023年度相比，增加130.50万元，增长100.00%，主要原因是</w:t>
      </w:r>
      <w:r>
        <w:rPr>
          <w:rFonts w:hint="default" w:ascii="Times New Roman" w:hAnsi="Times New Roman" w:eastAsia="仿宋_GB2312" w:cs="Times New Roman"/>
          <w:sz w:val="32"/>
          <w:szCs w:val="32"/>
        </w:rPr>
        <w:t>本单位为2024年机构改革新成立单位，无上年数据。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75.32</w:t>
      </w:r>
      <w:r>
        <w:rPr>
          <w:rFonts w:hint="default" w:ascii="Times New Roman" w:hAnsi="Times New Roman" w:eastAsia="方正仿宋_GBK" w:cs="Times New Roman"/>
          <w:sz w:val="32"/>
          <w:szCs w:val="32"/>
          <w:shd w:val="clear" w:color="auto" w:fill="FFFFFF"/>
        </w:rPr>
        <w:t>万元，占57.72%；项目支出</w:t>
      </w:r>
      <w:r>
        <w:rPr>
          <w:rFonts w:hint="default" w:ascii="Times New Roman" w:hAnsi="Times New Roman" w:eastAsia="方正仿宋_GBK" w:cs="Times New Roman"/>
          <w:sz w:val="32"/>
          <w:szCs w:val="32"/>
        </w:rPr>
        <w:t>55.18</w:t>
      </w:r>
      <w:r>
        <w:rPr>
          <w:rFonts w:hint="default" w:ascii="Times New Roman" w:hAnsi="Times New Roman" w:eastAsia="方正仿宋_GBK" w:cs="Times New Roman"/>
          <w:sz w:val="32"/>
          <w:szCs w:val="32"/>
          <w:shd w:val="clear" w:color="auto" w:fill="FFFFFF"/>
        </w:rPr>
        <w:t>万元，占42.28%；经营支出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widowControl w:val="0"/>
        <w:spacing w:before="0" w:beforeAutospacing="0" w:after="0" w:afterAutospacing="0" w:line="594" w:lineRule="exact"/>
        <w:ind w:firstLine="643" w:firstLineChars="200"/>
        <w:jc w:val="both"/>
        <w:rPr>
          <w:rFonts w:hint="default" w:ascii="Times New Roman" w:hAnsi="Times New Roman" w:eastAsia="仿宋_GB2312"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仿宋_GB2312" w:cs="Times New Roman"/>
          <w:sz w:val="32"/>
          <w:szCs w:val="32"/>
        </w:rPr>
        <w:t>本单位为2024年机构改革新成立单位，无上年数据。本年度及上年度均无结转和结余。</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2024年度财政拨款收、支总计130.50万元。与2023年相比，财政拨款收、支总计各增加130.50万元，增长100.00%。主要原因是本单位为2024年机构改革新成立单位，无上年数据。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80.63万元，与2023年度相比，增加80.63万元，增长100.00%。主要原因是本单位为2024年机构改革新成立单位，无上年数据。较年初预算数增加80.63万元，增长100.00%。主要原因是本单位为2024年机构改革新成立单位，无年初预算数。此外，年初财政拨款结转和结余49.86万元。</w:t>
      </w:r>
    </w:p>
    <w:p>
      <w:pPr>
        <w:pStyle w:val="7"/>
        <w:widowControl w:val="0"/>
        <w:spacing w:before="0" w:beforeAutospacing="0" w:after="0" w:afterAutospacing="0" w:line="594" w:lineRule="exact"/>
        <w:ind w:firstLine="643" w:firstLineChars="200"/>
        <w:jc w:val="both"/>
        <w:rPr>
          <w:rFonts w:hint="default" w:ascii="Times New Roman" w:hAnsi="Times New Roman" w:eastAsia="仿宋_GB2312"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130.50万元，与2023年度相比，增加130.50万元，增长100.00%。主要原因是本单位为2024年机构改革新成立单位，无上年数据。较年初预算数增加130.50万元，增长100.00%。主要原因是本单位为2024年机构改革新成立单位，无年初预算数。</w:t>
      </w:r>
    </w:p>
    <w:p>
      <w:pPr>
        <w:pStyle w:val="7"/>
        <w:widowControl w:val="0"/>
        <w:spacing w:before="0" w:beforeAutospacing="0" w:after="0" w:afterAutospacing="0" w:line="594" w:lineRule="exact"/>
        <w:ind w:firstLine="643" w:firstLineChars="200"/>
        <w:jc w:val="both"/>
        <w:rPr>
          <w:rFonts w:hint="default" w:ascii="Times New Roman" w:hAnsi="Times New Roman" w:eastAsia="仿宋_GB2312"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2024年度年末一般公共预算财政拨款结转和结余0.00万元，与2023年度相比，无增减，主要原因是本单位为2024年机构改革新成立单位，无上年数据。</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（1）一般公共服务支出118.34万元，占90.69%，较年初预算数增加118.34万元，增长100.00%，主要原因是本单位为2024年机构改革新成立单位，无年初预算数。</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（2）教育支出0.06万元，占0.05%，较年初预算数增加0.06万元，增长100.00%，主要原因是本单位为2024年机构改革新成立单位，无年初预算数。</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（3）社会保障与就业支出6.17万元，占4.73%，较年初预算数增加6.17万元，增长100.00%，主要原因是本单位为2024年机构改革新成立单位，无年初预算数。</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（4）卫生健康支出2.57万元，占1.97%，较年初预算数增加2.57万元，增长100.00%，主要原因是本单位为2024年机构改革新成立单位，无年初预算数。</w:t>
      </w:r>
    </w:p>
    <w:p>
      <w:pPr>
        <w:widowControl w:val="0"/>
        <w:spacing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（5）住房保障支出3.35万元，占2.57%，较年初预算数增加3.35万元，增长100.00%，主要原因是本单位为2024年机构改革新成立单位，无年初预算数。</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75.32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57.40</w:t>
      </w:r>
      <w:r>
        <w:rPr>
          <w:rFonts w:hint="default" w:ascii="Times New Roman" w:hAnsi="Times New Roman" w:eastAsia="方正仿宋_GBK" w:cs="Times New Roman"/>
          <w:sz w:val="32"/>
          <w:szCs w:val="32"/>
          <w:shd w:val="clear" w:color="auto" w:fill="FFFFFF"/>
        </w:rPr>
        <w:t>万元，与2023年度相比，增加57.40万元，增长100.00%，主要原因是</w:t>
      </w:r>
      <w:r>
        <w:rPr>
          <w:rFonts w:hint="default" w:ascii="Times New Roman" w:hAnsi="Times New Roman" w:eastAsia="仿宋_GB2312" w:cs="Times New Roman"/>
          <w:sz w:val="32"/>
          <w:szCs w:val="32"/>
        </w:rPr>
        <w:t>本单位为2024年机构改革新成立单位，无上年数据。</w:t>
      </w:r>
      <w:r>
        <w:rPr>
          <w:rFonts w:hint="default" w:ascii="Times New Roman" w:hAnsi="Times New Roman" w:eastAsia="方正仿宋_GBK" w:cs="Times New Roman"/>
          <w:sz w:val="32"/>
          <w:szCs w:val="32"/>
          <w:shd w:val="clear" w:color="auto" w:fill="FFFFFF"/>
        </w:rPr>
        <w:t>人员经费用途主要包括工资福利支出、对个人和家庭的补助。公用经费</w:t>
      </w:r>
      <w:r>
        <w:rPr>
          <w:rFonts w:hint="default" w:ascii="Times New Roman" w:hAnsi="Times New Roman" w:eastAsia="方正仿宋_GBK" w:cs="Times New Roman"/>
          <w:sz w:val="32"/>
          <w:szCs w:val="32"/>
        </w:rPr>
        <w:t>17.92</w:t>
      </w:r>
      <w:r>
        <w:rPr>
          <w:rFonts w:hint="default" w:ascii="Times New Roman" w:hAnsi="Times New Roman" w:eastAsia="方正仿宋_GBK" w:cs="Times New Roman"/>
          <w:sz w:val="32"/>
          <w:szCs w:val="32"/>
          <w:shd w:val="clear" w:color="auto" w:fill="FFFFFF"/>
        </w:rPr>
        <w:t>万元，与2023年度相比，增加17.92万元，增长100.00%，主要原因是</w:t>
      </w:r>
      <w:r>
        <w:rPr>
          <w:rFonts w:hint="default" w:ascii="Times New Roman" w:hAnsi="Times New Roman" w:eastAsia="仿宋_GB2312" w:cs="Times New Roman"/>
          <w:sz w:val="32"/>
          <w:szCs w:val="32"/>
        </w:rPr>
        <w:t>本单位为2024年机构改革新成立单位，无上年数据。</w:t>
      </w:r>
      <w:r>
        <w:rPr>
          <w:rFonts w:hint="default" w:ascii="Times New Roman" w:hAnsi="Times New Roman" w:eastAsia="方正仿宋_GBK" w:cs="Times New Roman"/>
          <w:sz w:val="32"/>
          <w:szCs w:val="32"/>
          <w:shd w:val="clear" w:color="auto" w:fill="FFFFFF"/>
        </w:rPr>
        <w:t>公用经费用途主要包括办公及印刷费、邮电费、差旅费、会议费、福利费、日常维护费、一般设备购置费以及其他费用。</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三、财政拨款</w:t>
      </w:r>
      <w:r>
        <w:rPr>
          <w:rStyle w:val="11"/>
          <w:rFonts w:hint="eastAsia" w:ascii="Times New Roman" w:hAnsi="Times New Roman" w:eastAsia="黑体" w:cs="Times New Roman"/>
          <w:sz w:val="32"/>
          <w:szCs w:val="32"/>
          <w:shd w:val="clear" w:color="auto" w:fill="FFFFFF"/>
          <w:lang w:eastAsia="zh-CN"/>
        </w:rPr>
        <w:t>三公</w:t>
      </w:r>
      <w:r>
        <w:rPr>
          <w:rStyle w:val="11"/>
          <w:rFonts w:hint="default" w:ascii="Times New Roman" w:hAnsi="Times New Roman" w:eastAsia="黑体" w:cs="Times New Roman"/>
          <w:sz w:val="32"/>
          <w:szCs w:val="32"/>
          <w:shd w:val="clear" w:color="auto" w:fill="FFFFFF"/>
        </w:rPr>
        <w:t>经费情况说明</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仿宋_GB2312" w:cs="Times New Roman"/>
          <w:sz w:val="32"/>
          <w:szCs w:val="32"/>
        </w:rPr>
        <w:t>本单位为2024年机构改革新成立单位，无年初预算数。</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仿宋_GB2312" w:cs="Times New Roman"/>
          <w:sz w:val="32"/>
          <w:szCs w:val="32"/>
        </w:rPr>
        <w:t>本单位为2024年机构改革新成立单位，无上年度数据。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本单位为2024年机构改革新成立单位，无年初预算数。</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sz w:val="32"/>
          <w:szCs w:val="32"/>
        </w:rPr>
        <w:t>本单位为2024年机构改革新成立单位，无上年度数据。</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本单位为2024年机构改革新成立单位，无年初预算数。</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sz w:val="32"/>
          <w:szCs w:val="32"/>
        </w:rPr>
        <w:t>本单位为2024年机构改革新成立单位，无上年度数据。</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本单位为2024年机构改革新成立单位，无年初预算数。</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sz w:val="32"/>
          <w:szCs w:val="32"/>
        </w:rPr>
        <w:t>本单位为2024年机构改革新成立单位，无上年度数据。</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本单位为2024年机构改革新成立单位，无年初预算数。</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仿宋_GB2312" w:cs="Times New Roman"/>
          <w:sz w:val="32"/>
          <w:szCs w:val="32"/>
        </w:rPr>
        <w:t>本单位为2024年机构改革新成立单位，无上年度数据。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1.90</w:t>
      </w:r>
      <w:r>
        <w:rPr>
          <w:rFonts w:hint="default" w:ascii="Times New Roman" w:hAnsi="Times New Roman" w:eastAsia="方正仿宋_GBK" w:cs="Times New Roman"/>
          <w:sz w:val="32"/>
          <w:szCs w:val="32"/>
          <w:shd w:val="clear" w:color="auto" w:fill="FFFFFF"/>
        </w:rPr>
        <w:t>万元，与2023年度相比，增加1.90万元，增长100.00%，主要原因是</w:t>
      </w:r>
      <w:r>
        <w:rPr>
          <w:rFonts w:hint="default" w:ascii="Times New Roman" w:hAnsi="Times New Roman" w:eastAsia="仿宋_GB2312" w:cs="Times New Roman"/>
          <w:sz w:val="32"/>
          <w:szCs w:val="32"/>
        </w:rPr>
        <w:t>本单位为2024年机构改革新成立单位，无上年度数据。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4.35</w:t>
      </w:r>
      <w:r>
        <w:rPr>
          <w:rFonts w:hint="default" w:ascii="Times New Roman" w:hAnsi="Times New Roman" w:eastAsia="方正仿宋_GBK" w:cs="Times New Roman"/>
          <w:sz w:val="32"/>
          <w:szCs w:val="32"/>
          <w:shd w:val="clear" w:color="auto" w:fill="FFFFFF"/>
        </w:rPr>
        <w:t>万元，与2023年度相比，增加4.35万元，增长100.00%，主要原因是</w:t>
      </w:r>
      <w:r>
        <w:rPr>
          <w:rFonts w:hint="default" w:ascii="Times New Roman" w:hAnsi="Times New Roman" w:eastAsia="仿宋_GB2312" w:cs="Times New Roman"/>
          <w:sz w:val="32"/>
          <w:szCs w:val="32"/>
        </w:rPr>
        <w:t>本单位为2024年机构改革新成立单位，无上年度数据。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17.92</w:t>
      </w:r>
      <w:r>
        <w:rPr>
          <w:rFonts w:hint="default" w:ascii="Times New Roman" w:hAnsi="Times New Roman" w:eastAsia="方正仿宋_GBK" w:cs="Times New Roman"/>
          <w:sz w:val="32"/>
          <w:szCs w:val="32"/>
          <w:shd w:val="clear" w:color="auto" w:fill="FFFFFF"/>
        </w:rPr>
        <w:t>万元，机关运行经费主要用于开支办公及印刷费、邮电费、差旅费、会议费、福利费、日常维护费、设备购置费以及其他费用。机关运行经费较上年支出数增加17.92万元，增长100.00%，主要原因是</w:t>
      </w:r>
      <w:r>
        <w:rPr>
          <w:rFonts w:hint="default" w:ascii="Times New Roman" w:hAnsi="Times New Roman" w:eastAsia="仿宋_GB2312" w:cs="Times New Roman"/>
          <w:sz w:val="32"/>
          <w:szCs w:val="32"/>
        </w:rPr>
        <w:t>本单位为2024年机构改革新成立单位，无上年度数据。</w:t>
      </w:r>
    </w:p>
    <w:p>
      <w:pPr>
        <w:pStyle w:val="12"/>
        <w:widowControl w:val="0"/>
        <w:numPr>
          <w:ilvl w:val="0"/>
          <w:numId w:val="1"/>
        </w:numPr>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国有资产占用情况说明</w:t>
      </w:r>
    </w:p>
    <w:p>
      <w:pPr>
        <w:pStyle w:val="12"/>
        <w:widowControl w:val="0"/>
        <w:spacing w:line="594"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2024年度本单位政府采购支出总额</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22.7</w:t>
      </w:r>
      <w:bookmarkStart w:id="0" w:name="_GoBack"/>
      <w:bookmarkEnd w:id="0"/>
      <w:r>
        <w:rPr>
          <w:rFonts w:hint="default" w:ascii="Times New Roman" w:hAnsi="Times New Roman" w:eastAsia="方正仿宋_GBK" w:cs="Times New Roman"/>
          <w:sz w:val="32"/>
          <w:szCs w:val="32"/>
        </w:rPr>
        <w:t>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%。主要用于采购办公家具、电脑等办公设备。</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五、2024年度预算绩效管理情况说明</w:t>
      </w:r>
    </w:p>
    <w:p>
      <w:pPr>
        <w:pStyle w:val="7"/>
        <w:widowControl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根据预算绩效管理要求，我单位对2个二级项目开展了绩效自评，涉及财政拨款项目支出资金55.51万元。</w:t>
      </w: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48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129540</wp:posOffset>
            </wp:positionH>
            <wp:positionV relativeFrom="paragraph">
              <wp:posOffset>-2540</wp:posOffset>
            </wp:positionV>
            <wp:extent cx="5729605" cy="4107815"/>
            <wp:effectExtent l="0" t="0" r="444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9605" cy="4107815"/>
                    </a:xfrm>
                    <a:prstGeom prst="rect">
                      <a:avLst/>
                    </a:prstGeom>
                  </pic:spPr>
                </pic:pic>
              </a:graphicData>
            </a:graphic>
          </wp:anchor>
        </w:drawing>
      </w: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48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167640</wp:posOffset>
            </wp:positionH>
            <wp:positionV relativeFrom="paragraph">
              <wp:posOffset>341630</wp:posOffset>
            </wp:positionV>
            <wp:extent cx="5729605" cy="3893185"/>
            <wp:effectExtent l="0" t="0" r="444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29605" cy="3893185"/>
                    </a:xfrm>
                    <a:prstGeom prst="rect">
                      <a:avLst/>
                    </a:prstGeom>
                  </pic:spPr>
                </pic:pic>
              </a:graphicData>
            </a:graphic>
          </wp:anchor>
        </w:drawing>
      </w: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ind w:firstLine="640" w:firstLineChars="200"/>
        <w:jc w:val="both"/>
        <w:rPr>
          <w:rFonts w:hint="default" w:ascii="Times New Roman" w:hAnsi="Times New Roman" w:eastAsia="方正仿宋_GBK" w:cs="Times New Roman"/>
          <w:sz w:val="32"/>
          <w:szCs w:val="32"/>
          <w:shd w:val="clear" w:color="auto" w:fill="FFFFFF"/>
        </w:rPr>
      </w:pPr>
    </w:p>
    <w:p>
      <w:pPr>
        <w:pStyle w:val="13"/>
        <w:widowControl w:val="0"/>
        <w:spacing w:before="0" w:beforeAutospacing="0" w:line="594" w:lineRule="exact"/>
        <w:jc w:val="both"/>
        <w:rPr>
          <w:rFonts w:hint="default" w:ascii="Times New Roman" w:hAnsi="Times New Roman" w:eastAsia="方正仿宋_GBK" w:cs="Times New Roman"/>
          <w:sz w:val="32"/>
          <w:szCs w:val="32"/>
          <w:highlight w:val="yellow"/>
          <w:shd w:val="clear" w:color="auto" w:fill="FFFFFF"/>
        </w:rPr>
      </w:pP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2"/>
        <w:widowControl w:val="0"/>
        <w:spacing w:line="594" w:lineRule="exact"/>
        <w:ind w:firstLine="64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2"/>
        <w:widowControl w:val="0"/>
        <w:spacing w:line="594" w:lineRule="exact"/>
        <w:ind w:firstLine="640"/>
        <w:jc w:val="both"/>
        <w:rPr>
          <w:rStyle w:val="11"/>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r>
        <w:rPr>
          <w:rStyle w:val="11"/>
          <w:rFonts w:hint="default" w:ascii="Times New Roman" w:hAnsi="Times New Roman" w:eastAsia="黑体" w:cs="Times New Roman"/>
          <w:sz w:val="32"/>
          <w:szCs w:val="32"/>
          <w:shd w:val="clear" w:color="auto" w:fill="FFFFFF"/>
        </w:rPr>
        <w:t> </w:t>
      </w:r>
    </w:p>
    <w:p>
      <w:pPr>
        <w:pStyle w:val="12"/>
        <w:widowControl w:val="0"/>
        <w:spacing w:line="594" w:lineRule="exact"/>
        <w:ind w:firstLine="643"/>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六、专业名词解释</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（十二）</w:t>
      </w:r>
      <w:r>
        <w:rPr>
          <w:rStyle w:val="11"/>
          <w:rFonts w:hint="eastAsia" w:ascii="Times New Roman" w:hAnsi="Times New Roman" w:eastAsia="楷体" w:cs="Times New Roman"/>
          <w:sz w:val="32"/>
          <w:szCs w:val="32"/>
          <w:shd w:val="clear" w:color="auto" w:fill="FFFFFF"/>
          <w:lang w:eastAsia="zh-CN"/>
        </w:rPr>
        <w:t>三公</w:t>
      </w:r>
      <w:r>
        <w:rPr>
          <w:rStyle w:val="11"/>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七、决算公开联系方式及信息反馈渠道</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本单位决算公开信息反馈和联系方式：墙老师 023-74666063。</w:t>
      </w: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中共垫江县委全面深化改革委员会办公室（本级）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118.34</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6.17</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49.86</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130.50</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中共垫江县委全面深化改革委员会办公室（本级）</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80.63</w:t>
            </w:r>
            <w:r>
              <w:rPr>
                <w:rFonts w:hint="default" w:ascii="Times New Roman" w:hAnsi="Times New Roman" w:cs="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80.63</w:t>
            </w:r>
            <w:r>
              <w:rPr>
                <w:rFonts w:hint="default" w:ascii="Times New Roman" w:hAnsi="Times New Roman" w:cs="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41.01</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41.01</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27.47</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27.47</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517"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207"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中共垫江县委全面深化改革委员会办公室（本级）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90"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130.50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75.32</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55.18</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80.63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118.34</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118.34</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80.63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49.86</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49.86</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中共垫江县委全面深化改革委员会办公室（本级）</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130.50</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75.32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55.18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中共垫江县委全面深化改革委员会办公室（本级）</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17.52</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57.40</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17.92</w:t>
            </w:r>
            <w:r>
              <w:rPr>
                <w:rFonts w:hint="default" w:ascii="Times New Roman" w:hAnsi="Times New Roman" w:cs="Times New Roman"/>
                <w:color w:val="000000"/>
                <w:sz w:val="18"/>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中共垫江县委全面深化改革委员会办公室（本级）</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三公</w:t>
            </w:r>
            <w:r>
              <w:rPr>
                <w:rFonts w:hint="default" w:ascii="Times New Roman" w:hAnsi="Times New Roman" w:cs="Times New Roman"/>
                <w:b/>
                <w:color w:val="000000"/>
                <w:kern w:val="2"/>
                <w:sz w:val="16"/>
                <w:szCs w:val="16"/>
              </w:rPr>
              <w:t>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1.90</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4.35</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三公</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三公</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p>
      <w:pPr>
        <w:pStyle w:val="2"/>
        <w:ind w:firstLine="360"/>
        <w:rPr>
          <w:rFonts w:hint="default" w:ascii="Times New Roman" w:hAnsi="Times New Roman" w:cs="Times New Roman"/>
          <w:sz w:val="18"/>
          <w:szCs w:val="18"/>
        </w:rPr>
      </w:pPr>
    </w:p>
    <w:p>
      <w:pPr>
        <w:rPr>
          <w:rFonts w:hint="default" w:ascii="Times New Roman" w:hAnsi="Times New Roman" w:cs="Times New Roman"/>
          <w:sz w:val="21"/>
          <w:szCs w:val="21"/>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KzQlo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BB7DE"/>
    <w:multiLevelType w:val="singleLevel"/>
    <w:tmpl w:val="3ABBB7D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D3BB7"/>
    <w:rsid w:val="002923B4"/>
    <w:rsid w:val="002B254B"/>
    <w:rsid w:val="00466C9B"/>
    <w:rsid w:val="00550ABE"/>
    <w:rsid w:val="005E5A09"/>
    <w:rsid w:val="00674FFC"/>
    <w:rsid w:val="00770383"/>
    <w:rsid w:val="007819D4"/>
    <w:rsid w:val="007B419D"/>
    <w:rsid w:val="007B7C4B"/>
    <w:rsid w:val="007D3D39"/>
    <w:rsid w:val="00994AF7"/>
    <w:rsid w:val="009B4CE5"/>
    <w:rsid w:val="009B67B8"/>
    <w:rsid w:val="009D2B67"/>
    <w:rsid w:val="00A566F9"/>
    <w:rsid w:val="00AF2751"/>
    <w:rsid w:val="00B03CCD"/>
    <w:rsid w:val="00BE2B89"/>
    <w:rsid w:val="00BE4B9B"/>
    <w:rsid w:val="00C10E9E"/>
    <w:rsid w:val="00C20C3E"/>
    <w:rsid w:val="00CF2ACF"/>
    <w:rsid w:val="00F73F90"/>
    <w:rsid w:val="00FB4B3B"/>
    <w:rsid w:val="01474EBF"/>
    <w:rsid w:val="018D00A7"/>
    <w:rsid w:val="01F3521E"/>
    <w:rsid w:val="03B87EA0"/>
    <w:rsid w:val="03E3214F"/>
    <w:rsid w:val="044C50BA"/>
    <w:rsid w:val="05BC6D49"/>
    <w:rsid w:val="06194FF1"/>
    <w:rsid w:val="06A2550B"/>
    <w:rsid w:val="06F80EE2"/>
    <w:rsid w:val="07001CCA"/>
    <w:rsid w:val="075678DB"/>
    <w:rsid w:val="079D7CC7"/>
    <w:rsid w:val="08051BCA"/>
    <w:rsid w:val="086C12F4"/>
    <w:rsid w:val="08705944"/>
    <w:rsid w:val="08794C69"/>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C3725D"/>
    <w:rsid w:val="0DDA54E4"/>
    <w:rsid w:val="0E3A5F83"/>
    <w:rsid w:val="0F17035E"/>
    <w:rsid w:val="0F836721"/>
    <w:rsid w:val="0FA25D96"/>
    <w:rsid w:val="0FE35DA8"/>
    <w:rsid w:val="107B59E5"/>
    <w:rsid w:val="10EC0126"/>
    <w:rsid w:val="10F70B9A"/>
    <w:rsid w:val="111445C7"/>
    <w:rsid w:val="114278C6"/>
    <w:rsid w:val="11504F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B3418"/>
    <w:rsid w:val="1DBD6767"/>
    <w:rsid w:val="1DC52125"/>
    <w:rsid w:val="1DD26311"/>
    <w:rsid w:val="1E374ACB"/>
    <w:rsid w:val="1ECA7CBF"/>
    <w:rsid w:val="1ECF0A66"/>
    <w:rsid w:val="1EF67CA4"/>
    <w:rsid w:val="1F020D3A"/>
    <w:rsid w:val="1F2C5189"/>
    <w:rsid w:val="1F4B0B02"/>
    <w:rsid w:val="1FBB35CD"/>
    <w:rsid w:val="1FCD26AF"/>
    <w:rsid w:val="1FFB5506"/>
    <w:rsid w:val="20642787"/>
    <w:rsid w:val="21556F04"/>
    <w:rsid w:val="22403BD3"/>
    <w:rsid w:val="22853AE2"/>
    <w:rsid w:val="24B92327"/>
    <w:rsid w:val="24C14514"/>
    <w:rsid w:val="2533755C"/>
    <w:rsid w:val="25791755"/>
    <w:rsid w:val="26396DF4"/>
    <w:rsid w:val="27167136"/>
    <w:rsid w:val="271B442C"/>
    <w:rsid w:val="27B23302"/>
    <w:rsid w:val="28932C21"/>
    <w:rsid w:val="29310A5F"/>
    <w:rsid w:val="298B44EB"/>
    <w:rsid w:val="29C37A35"/>
    <w:rsid w:val="2A076083"/>
    <w:rsid w:val="2A73162E"/>
    <w:rsid w:val="2B167953"/>
    <w:rsid w:val="2B200583"/>
    <w:rsid w:val="2B8209DE"/>
    <w:rsid w:val="2C636760"/>
    <w:rsid w:val="2C6762A3"/>
    <w:rsid w:val="2D0A448B"/>
    <w:rsid w:val="2FCA4B37"/>
    <w:rsid w:val="2FE029D7"/>
    <w:rsid w:val="2FF06E00"/>
    <w:rsid w:val="30586FEC"/>
    <w:rsid w:val="315F0B22"/>
    <w:rsid w:val="31D84415"/>
    <w:rsid w:val="321B2412"/>
    <w:rsid w:val="32285F6F"/>
    <w:rsid w:val="32770556"/>
    <w:rsid w:val="329C0913"/>
    <w:rsid w:val="32AA0460"/>
    <w:rsid w:val="3337290D"/>
    <w:rsid w:val="334B3718"/>
    <w:rsid w:val="33E31118"/>
    <w:rsid w:val="33EF7674"/>
    <w:rsid w:val="341A2112"/>
    <w:rsid w:val="342D7BC6"/>
    <w:rsid w:val="352930DB"/>
    <w:rsid w:val="35573069"/>
    <w:rsid w:val="355F6038"/>
    <w:rsid w:val="358C217E"/>
    <w:rsid w:val="36610275"/>
    <w:rsid w:val="36C9128A"/>
    <w:rsid w:val="37841E99"/>
    <w:rsid w:val="37BF1123"/>
    <w:rsid w:val="37D75EAC"/>
    <w:rsid w:val="383C3F15"/>
    <w:rsid w:val="388622E8"/>
    <w:rsid w:val="38BE4696"/>
    <w:rsid w:val="3939115E"/>
    <w:rsid w:val="39B82A39"/>
    <w:rsid w:val="39C42CA8"/>
    <w:rsid w:val="39DC4FD6"/>
    <w:rsid w:val="39F03D7A"/>
    <w:rsid w:val="39F33306"/>
    <w:rsid w:val="3A2C1C67"/>
    <w:rsid w:val="3ADD7F09"/>
    <w:rsid w:val="3B1705E5"/>
    <w:rsid w:val="3B18334B"/>
    <w:rsid w:val="3B36794F"/>
    <w:rsid w:val="3B6F6EE0"/>
    <w:rsid w:val="3B7F231E"/>
    <w:rsid w:val="3BE63CCF"/>
    <w:rsid w:val="3C566AD6"/>
    <w:rsid w:val="3C594871"/>
    <w:rsid w:val="3C6A5B02"/>
    <w:rsid w:val="3D2757A1"/>
    <w:rsid w:val="3D384BE7"/>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817D91"/>
    <w:rsid w:val="42CF1A5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206389"/>
    <w:rsid w:val="493E1E3B"/>
    <w:rsid w:val="495C4A24"/>
    <w:rsid w:val="497135DF"/>
    <w:rsid w:val="4A263DF2"/>
    <w:rsid w:val="4A37760B"/>
    <w:rsid w:val="4A6F6675"/>
    <w:rsid w:val="4AFC3310"/>
    <w:rsid w:val="4B135857"/>
    <w:rsid w:val="4B7951CB"/>
    <w:rsid w:val="4B7C315C"/>
    <w:rsid w:val="4C1B17EE"/>
    <w:rsid w:val="4CB61B9C"/>
    <w:rsid w:val="4DAC4ACA"/>
    <w:rsid w:val="4DBE01D2"/>
    <w:rsid w:val="4E3166D6"/>
    <w:rsid w:val="4F0C6BA3"/>
    <w:rsid w:val="4F186D58"/>
    <w:rsid w:val="4FF06232"/>
    <w:rsid w:val="50F06B6E"/>
    <w:rsid w:val="51D21804"/>
    <w:rsid w:val="52234D33"/>
    <w:rsid w:val="522F6E0C"/>
    <w:rsid w:val="52463BA1"/>
    <w:rsid w:val="52F163D4"/>
    <w:rsid w:val="531A2DB4"/>
    <w:rsid w:val="535145E6"/>
    <w:rsid w:val="53C0244D"/>
    <w:rsid w:val="53DD4D4E"/>
    <w:rsid w:val="53E578CE"/>
    <w:rsid w:val="541330F0"/>
    <w:rsid w:val="54272666"/>
    <w:rsid w:val="543B029D"/>
    <w:rsid w:val="54471615"/>
    <w:rsid w:val="54702D57"/>
    <w:rsid w:val="54861779"/>
    <w:rsid w:val="54DF1C92"/>
    <w:rsid w:val="552256E1"/>
    <w:rsid w:val="554E5773"/>
    <w:rsid w:val="555829E0"/>
    <w:rsid w:val="555A3CBC"/>
    <w:rsid w:val="5582012B"/>
    <w:rsid w:val="558E4E05"/>
    <w:rsid w:val="55BE2E85"/>
    <w:rsid w:val="56530F5D"/>
    <w:rsid w:val="567700D3"/>
    <w:rsid w:val="56FF7E9E"/>
    <w:rsid w:val="578867FC"/>
    <w:rsid w:val="5842572D"/>
    <w:rsid w:val="58AB6EE9"/>
    <w:rsid w:val="5A3B59D6"/>
    <w:rsid w:val="5AD134D8"/>
    <w:rsid w:val="5B9A01F8"/>
    <w:rsid w:val="5C263CE4"/>
    <w:rsid w:val="5C5D2777"/>
    <w:rsid w:val="5CF66BF3"/>
    <w:rsid w:val="5D290C69"/>
    <w:rsid w:val="5D5647B5"/>
    <w:rsid w:val="5DD230AF"/>
    <w:rsid w:val="5ED37E66"/>
    <w:rsid w:val="5F2D4A41"/>
    <w:rsid w:val="60C74F6C"/>
    <w:rsid w:val="61025A59"/>
    <w:rsid w:val="613D5BBC"/>
    <w:rsid w:val="61536C39"/>
    <w:rsid w:val="62944DD7"/>
    <w:rsid w:val="62C07245"/>
    <w:rsid w:val="6319381F"/>
    <w:rsid w:val="63C25DC5"/>
    <w:rsid w:val="63C62057"/>
    <w:rsid w:val="64571EF5"/>
    <w:rsid w:val="64FB113D"/>
    <w:rsid w:val="656152C6"/>
    <w:rsid w:val="6587477F"/>
    <w:rsid w:val="658C3A08"/>
    <w:rsid w:val="65C031CA"/>
    <w:rsid w:val="65CE6852"/>
    <w:rsid w:val="660B1854"/>
    <w:rsid w:val="66267C04"/>
    <w:rsid w:val="663F505A"/>
    <w:rsid w:val="66485387"/>
    <w:rsid w:val="66BF6EA0"/>
    <w:rsid w:val="66EE5541"/>
    <w:rsid w:val="672D5683"/>
    <w:rsid w:val="67924660"/>
    <w:rsid w:val="67B33D24"/>
    <w:rsid w:val="68407834"/>
    <w:rsid w:val="68794857"/>
    <w:rsid w:val="6883293E"/>
    <w:rsid w:val="688412AD"/>
    <w:rsid w:val="68EB1B71"/>
    <w:rsid w:val="6A6C7940"/>
    <w:rsid w:val="6A784F62"/>
    <w:rsid w:val="6AAD2300"/>
    <w:rsid w:val="6B474EF5"/>
    <w:rsid w:val="6BD0030E"/>
    <w:rsid w:val="6C0A5AC5"/>
    <w:rsid w:val="6C560CAE"/>
    <w:rsid w:val="6C576495"/>
    <w:rsid w:val="6D903FF5"/>
    <w:rsid w:val="6DA955B8"/>
    <w:rsid w:val="6DE346AB"/>
    <w:rsid w:val="6DE5391A"/>
    <w:rsid w:val="6EA16471"/>
    <w:rsid w:val="6EFD1324"/>
    <w:rsid w:val="6F041661"/>
    <w:rsid w:val="6F5A53AC"/>
    <w:rsid w:val="6FAC003D"/>
    <w:rsid w:val="6FE55E12"/>
    <w:rsid w:val="6FFB2E76"/>
    <w:rsid w:val="708F6F7F"/>
    <w:rsid w:val="70BB3E83"/>
    <w:rsid w:val="70D94BD3"/>
    <w:rsid w:val="71C34D91"/>
    <w:rsid w:val="728D45F8"/>
    <w:rsid w:val="72DB435C"/>
    <w:rsid w:val="72E2613A"/>
    <w:rsid w:val="72F771F4"/>
    <w:rsid w:val="73934AD2"/>
    <w:rsid w:val="750837F0"/>
    <w:rsid w:val="7539424B"/>
    <w:rsid w:val="754758CF"/>
    <w:rsid w:val="763A0087"/>
    <w:rsid w:val="764F62AB"/>
    <w:rsid w:val="765C45EC"/>
    <w:rsid w:val="768A7619"/>
    <w:rsid w:val="772E1EBA"/>
    <w:rsid w:val="77D777E8"/>
    <w:rsid w:val="781926BC"/>
    <w:rsid w:val="781C1459"/>
    <w:rsid w:val="782146A4"/>
    <w:rsid w:val="78520C1D"/>
    <w:rsid w:val="796D60A4"/>
    <w:rsid w:val="79A031D5"/>
    <w:rsid w:val="7A0C0820"/>
    <w:rsid w:val="7A1525F7"/>
    <w:rsid w:val="7B420052"/>
    <w:rsid w:val="7BD06A28"/>
    <w:rsid w:val="7C3A7C0B"/>
    <w:rsid w:val="7C5248E4"/>
    <w:rsid w:val="7C566698"/>
    <w:rsid w:val="7C5866A3"/>
    <w:rsid w:val="7C9B04F7"/>
    <w:rsid w:val="7D7406BB"/>
    <w:rsid w:val="7DE94331"/>
    <w:rsid w:val="7F446A19"/>
    <w:rsid w:val="7F5A6452"/>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8877</Words>
  <Characters>11363</Characters>
  <Lines>101</Lines>
  <Paragraphs>28</Paragraphs>
  <TotalTime>15</TotalTime>
  <ScaleCrop>false</ScaleCrop>
  <LinksUpToDate>false</LinksUpToDate>
  <CharactersWithSpaces>12421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毕欢</cp:lastModifiedBy>
  <dcterms:modified xsi:type="dcterms:W3CDTF">2025-09-16T06:43:49Z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FBC37C5AF4AD478D95EA1904258E9A47</vt:lpwstr>
  </property>
  <property fmtid="{D5CDD505-2E9C-101B-9397-08002B2CF9AE}" pid="4" name="KSOTemplateDocerSaveRecord">
    <vt:lpwstr>eyJoZGlkIjoiMDUwMjYyMTAwZTM5NTcxOGVhNzI3YWZjMDRhMjZkZDEifQ==</vt:lpwstr>
  </property>
</Properties>
</file>